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8"/>
          <w:sz w:val="48"/>
        </w:rPr>
        <w:t>FIELDWISE</w:t>
      </w:r>
    </w:p>
    <w:p>
      <w:pPr>
        <w:spacing w:after="80"/>
        <w:jc w:val="center"/>
      </w:pPr>
      <w:r>
        <w:rPr>
          <w:b/>
          <w:sz w:val="32"/>
        </w:rPr>
        <w:t>Consolidated Scientific, Implementation and Partner Review Pack</w:t>
      </w:r>
    </w:p>
    <w:p>
      <w:pPr>
        <w:spacing w:after="60"/>
        <w:jc w:val="center"/>
      </w:pPr>
      <w:r>
        <w:rPr>
          <w:b w:val="0"/>
          <w:color w:val="505050"/>
          <w:sz w:val="24"/>
        </w:rPr>
        <w:t>From Plant Water-Stress Signatures to Transferable Irrigation Decision Support for High-Value Horticulture</w:t>
      </w:r>
    </w:p>
    <w:p>
      <w:pPr>
        <w:spacing w:after="280"/>
        <w:jc w:val="center"/>
      </w:pPr>
      <w:r>
        <w:rPr>
          <w:b/>
          <w:color w:val="505050"/>
          <w:sz w:val="22"/>
        </w:rPr>
        <w:t>Processing tomato as the first validated crop module</w:t>
      </w:r>
    </w:p>
    <w:p>
      <w:pPr>
        <w:spacing w:after="60"/>
        <w:jc w:val="center"/>
      </w:pPr>
      <w:r>
        <w:rPr>
          <w:b/>
          <w:sz w:val="20"/>
        </w:rPr>
        <w:t>Version for partner review - 28 August 2026</w:t>
      </w:r>
    </w:p>
    <w:p>
      <w:pPr>
        <w:spacing w:after="320"/>
        <w:jc w:val="center"/>
      </w:pPr>
      <w:r>
        <w:rPr>
          <w:b w:val="0"/>
          <w:color w:val="5A5A5A"/>
          <w:sz w:val="19"/>
        </w:rPr>
        <w:t>Prepared for discussion among HUN-REN, ELTE, MATE, AgroVIR, Krumatic and the wider FIELDWISE collaborators</w:t>
      </w:r>
    </w:p>
    <w:tbl>
      <w:tblPr>
        <w:tblStyle w:val="TableGrid"/>
        <w:tblW w:type="auto" w:w="0"/>
        <w:jc w:val="center"/>
        <w:tblLook w:firstColumn="1" w:firstRow="1" w:lastColumn="0" w:lastRow="0" w:noHBand="0" w:noVBand="1" w:val="04A0"/>
      </w:tblPr>
      <w:tblGrid>
        <w:gridCol w:w="10540"/>
      </w:tblGrid>
      <w:tr>
        <w:tc>
          <w:tcPr>
            <w:tcW w:type="dxa" w:w="10540"/>
            <w:shd w:fill="FFF2CC"/>
          </w:tcPr>
          <w:p>
            <w:pPr>
              <w:spacing w:after="0"/>
            </w:pPr>
            <w:r>
              <w:rPr>
                <w:sz w:val="17"/>
              </w:rPr>
            </w:r>
            <w:r>
              <w:rPr>
                <w:b/>
                <w:sz w:val="20"/>
              </w:rPr>
              <w:t>IMPORTANT - WORKING PARTNER DOCUMENT</w:t>
              <w:br/>
            </w:r>
            <w:r>
              <w:rPr>
                <w:sz w:val="18"/>
              </w:rPr>
              <w:t>This pack consolidates the current agreed scientific concept and the latest proposed division of roles. It is not the final 10-page MSCA Part B submission. Statements marked as requiring confirmation must not be presented as established facts in the submitted proposal until the relevant partner confirms them in writing.</w:t>
            </w:r>
          </w:p>
        </w:tc>
      </w:tr>
    </w:tbl>
    <w:p>
      <w:pPr>
        <w:spacing w:after="60"/>
      </w:pPr>
    </w:p>
    <w:p>
      <w:pPr>
        <w:pStyle w:val="Heading1"/>
        <w:spacing w:after="100"/>
      </w:pPr>
      <w:r>
        <w:rPr>
          <w:b/>
          <w:color w:val="1F4E78"/>
          <w:sz w:val="28"/>
        </w:rPr>
        <w:t>A. Executive snapshot</w:t>
      </w:r>
    </w:p>
    <w:tbl>
      <w:tblPr>
        <w:tblStyle w:val="TableGrid"/>
        <w:tblW w:type="auto" w:w="0"/>
        <w:jc w:val="center"/>
        <w:tblLook w:firstColumn="1" w:firstRow="1" w:lastColumn="0" w:lastRow="0" w:noHBand="0" w:noVBand="1" w:val="04A0"/>
      </w:tblPr>
      <w:tblGrid>
        <w:gridCol w:w="5270"/>
        <w:gridCol w:w="5270"/>
      </w:tblGrid>
      <w:tr>
        <w:trPr>
          <w:tblHeader w:val="true"/>
        </w:trPr>
        <w:tc>
          <w:tcPr>
            <w:tcW w:type="dxa" w:w="5270"/>
            <w:vAlign w:val="center"/>
            <w:shd w:fill="1F4E78"/>
          </w:tcPr>
          <w:p>
            <w:pPr>
              <w:spacing w:after="0"/>
            </w:pPr>
            <w:r>
              <w:rPr>
                <w:color w:val="FFFFFF"/>
                <w:sz w:val="17"/>
              </w:rPr>
            </w:r>
            <w:r>
              <w:rPr>
                <w:b/>
                <w:color w:val="FFFFFF"/>
                <w:sz w:val="18"/>
              </w:rPr>
              <w:t>Element</w:t>
            </w:r>
          </w:p>
        </w:tc>
        <w:tc>
          <w:tcPr>
            <w:tcW w:type="dxa" w:w="5270"/>
            <w:vAlign w:val="center"/>
            <w:shd w:fill="1F4E78"/>
          </w:tcPr>
          <w:p>
            <w:pPr>
              <w:spacing w:after="0"/>
            </w:pPr>
            <w:r>
              <w:rPr>
                <w:color w:val="FFFFFF"/>
                <w:sz w:val="17"/>
              </w:rPr>
            </w:r>
            <w:r>
              <w:rPr>
                <w:b/>
                <w:color w:val="FFFFFF"/>
                <w:sz w:val="18"/>
              </w:rPr>
              <w:t>Current consolidated position</w:t>
            </w:r>
          </w:p>
        </w:tc>
      </w:tr>
      <w:tr>
        <w:tc>
          <w:tcPr>
            <w:tcW w:type="dxa" w:w="5270"/>
            <w:vAlign w:val="center"/>
          </w:tcPr>
          <w:p>
            <w:pPr>
              <w:spacing w:after="0"/>
            </w:pPr>
            <w:r>
              <w:rPr>
                <w:sz w:val="17"/>
              </w:rPr>
            </w:r>
            <w:r>
              <w:rPr>
                <w:b w:val="0"/>
                <w:sz w:val="18"/>
              </w:rPr>
              <w:t>Recruiting organisation / host</w:t>
            </w:r>
          </w:p>
        </w:tc>
        <w:tc>
          <w:tcPr>
            <w:tcW w:type="dxa" w:w="5270"/>
            <w:vAlign w:val="center"/>
          </w:tcPr>
          <w:p>
            <w:pPr>
              <w:spacing w:after="0"/>
            </w:pPr>
            <w:r>
              <w:rPr>
                <w:sz w:val="17"/>
              </w:rPr>
            </w:r>
            <w:r>
              <w:rPr>
                <w:b w:val="0"/>
                <w:sz w:val="18"/>
              </w:rPr>
              <w:t>HUN-REN Centre for Agricultural Research (ATK), Martonvásár - proposed/decided internally; exact legal identity, PIC and hosting unit require institutional confirmation.</w:t>
            </w:r>
          </w:p>
        </w:tc>
      </w:tr>
      <w:tr>
        <w:tc>
          <w:tcPr>
            <w:tcW w:type="dxa" w:w="5270"/>
            <w:vAlign w:val="center"/>
          </w:tcPr>
          <w:p>
            <w:pPr>
              <w:spacing w:after="0"/>
            </w:pPr>
            <w:r>
              <w:rPr>
                <w:sz w:val="17"/>
              </w:rPr>
            </w:r>
            <w:r>
              <w:rPr>
                <w:b w:val="0"/>
                <w:sz w:val="18"/>
              </w:rPr>
              <w:t>Primary supervisor</w:t>
            </w:r>
          </w:p>
        </w:tc>
        <w:tc>
          <w:tcPr>
            <w:tcW w:type="dxa" w:w="5270"/>
            <w:vAlign w:val="center"/>
          </w:tcPr>
          <w:p>
            <w:pPr>
              <w:spacing w:after="0"/>
            </w:pPr>
            <w:r>
              <w:rPr>
                <w:sz w:val="17"/>
              </w:rPr>
            </w:r>
            <w:r>
              <w:rPr>
                <w:b w:val="0"/>
                <w:sz w:val="18"/>
              </w:rPr>
              <w:t>Dr. Roland Hollós - modelling, heterogeneous data integration, AI/ML, transferability and scientific integration; acceptance/effort/employment details require confirmation.</w:t>
            </w:r>
          </w:p>
        </w:tc>
      </w:tr>
      <w:tr>
        <w:tc>
          <w:tcPr>
            <w:tcW w:type="dxa" w:w="5270"/>
            <w:vAlign w:val="center"/>
          </w:tcPr>
          <w:p>
            <w:pPr>
              <w:spacing w:after="0"/>
            </w:pPr>
            <w:r>
              <w:rPr>
                <w:sz w:val="17"/>
              </w:rPr>
            </w:r>
            <w:r>
              <w:rPr>
                <w:b w:val="0"/>
                <w:sz w:val="18"/>
              </w:rPr>
              <w:t>Co-supervisor / EO partner</w:t>
            </w:r>
          </w:p>
        </w:tc>
        <w:tc>
          <w:tcPr>
            <w:tcW w:type="dxa" w:w="5270"/>
            <w:vAlign w:val="center"/>
          </w:tcPr>
          <w:p>
            <w:pPr>
              <w:spacing w:after="0"/>
            </w:pPr>
            <w:r>
              <w:rPr>
                <w:sz w:val="17"/>
              </w:rPr>
            </w:r>
            <w:r>
              <w:rPr>
                <w:b w:val="0"/>
                <w:sz w:val="18"/>
              </w:rPr>
              <w:t>Prof. András Jung, ELTE - hyperspectral/UAV/EO, sensing-scale harmonisation and data fusion; instrument-access arrangement requires confirmation.</w:t>
            </w:r>
          </w:p>
        </w:tc>
      </w:tr>
      <w:tr>
        <w:tc>
          <w:tcPr>
            <w:tcW w:type="dxa" w:w="5270"/>
            <w:vAlign w:val="center"/>
          </w:tcPr>
          <w:p>
            <w:pPr>
              <w:spacing w:after="0"/>
            </w:pPr>
            <w:r>
              <w:rPr>
                <w:sz w:val="17"/>
              </w:rPr>
            </w:r>
            <w:r>
              <w:rPr>
                <w:b w:val="0"/>
                <w:sz w:val="18"/>
              </w:rPr>
              <w:t>Development crop</w:t>
            </w:r>
          </w:p>
        </w:tc>
        <w:tc>
          <w:tcPr>
            <w:tcW w:type="dxa" w:w="5270"/>
            <w:vAlign w:val="center"/>
          </w:tcPr>
          <w:p>
            <w:pPr>
              <w:spacing w:after="0"/>
            </w:pPr>
            <w:r>
              <w:rPr>
                <w:sz w:val="17"/>
              </w:rPr>
            </w:r>
            <w:r>
              <w:rPr>
                <w:b w:val="0"/>
                <w:sz w:val="18"/>
              </w:rPr>
              <w:t>Processing tomato, selected because approximately five years (2022-2026) of heterogeneous MATE data and strong experimental relationships already exist.</w:t>
            </w:r>
          </w:p>
        </w:tc>
      </w:tr>
      <w:tr>
        <w:tc>
          <w:tcPr>
            <w:tcW w:type="dxa" w:w="5270"/>
            <w:vAlign w:val="center"/>
          </w:tcPr>
          <w:p>
            <w:pPr>
              <w:spacing w:after="0"/>
            </w:pPr>
            <w:r>
              <w:rPr>
                <w:sz w:val="17"/>
              </w:rPr>
            </w:r>
            <w:r>
              <w:rPr>
                <w:b w:val="0"/>
                <w:sz w:val="18"/>
              </w:rPr>
              <w:t>Wider application domain</w:t>
            </w:r>
          </w:p>
        </w:tc>
        <w:tc>
          <w:tcPr>
            <w:tcW w:type="dxa" w:w="5270"/>
            <w:vAlign w:val="center"/>
          </w:tcPr>
          <w:p>
            <w:pPr>
              <w:spacing w:after="0"/>
            </w:pPr>
            <w:r>
              <w:rPr>
                <w:sz w:val="17"/>
              </w:rPr>
            </w:r>
            <w:r>
              <w:rPr>
                <w:b w:val="0"/>
                <w:sz w:val="18"/>
              </w:rPr>
              <w:t>Irrigated high-value horticultural crops. Transferable core + crop-specific physiology/phenology/calibration modules.</w:t>
            </w:r>
          </w:p>
        </w:tc>
      </w:tr>
      <w:tr>
        <w:tc>
          <w:tcPr>
            <w:tcW w:type="dxa" w:w="5270"/>
            <w:vAlign w:val="center"/>
          </w:tcPr>
          <w:p>
            <w:pPr>
              <w:spacing w:after="0"/>
            </w:pPr>
            <w:r>
              <w:rPr>
                <w:sz w:val="17"/>
              </w:rPr>
            </w:r>
            <w:r>
              <w:rPr>
                <w:b w:val="0"/>
                <w:sz w:val="18"/>
              </w:rPr>
              <w:t>Historical scientific base</w:t>
            </w:r>
          </w:p>
        </w:tc>
        <w:tc>
          <w:tcPr>
            <w:tcW w:type="dxa" w:w="5270"/>
            <w:vAlign w:val="center"/>
          </w:tcPr>
          <w:p>
            <w:pPr>
              <w:spacing w:after="0"/>
            </w:pPr>
            <w:r>
              <w:rPr>
                <w:sz w:val="17"/>
              </w:rPr>
            </w:r>
            <w:r>
              <w:rPr>
                <w:b w:val="0"/>
                <w:sz w:val="18"/>
              </w:rPr>
              <w:t>MATE 2022-2026 archive: soil moisture, stomatal resistance/conductance, SPAD, VIS-NIR reflectance, meteorology/leaf temperature and, in later years, CWSI, VIS-NIR-SWIR, physiological endpoints and UAV imagery according to actual availability.</w:t>
            </w:r>
          </w:p>
        </w:tc>
      </w:tr>
      <w:tr>
        <w:tc>
          <w:tcPr>
            <w:tcW w:type="dxa" w:w="5270"/>
            <w:vAlign w:val="center"/>
          </w:tcPr>
          <w:p>
            <w:pPr>
              <w:spacing w:after="0"/>
            </w:pPr>
            <w:r>
              <w:rPr>
                <w:sz w:val="17"/>
              </w:rPr>
            </w:r>
            <w:r>
              <w:rPr>
                <w:b w:val="0"/>
                <w:sz w:val="18"/>
              </w:rPr>
              <w:t>Prospective validation</w:t>
            </w:r>
          </w:p>
        </w:tc>
        <w:tc>
          <w:tcPr>
            <w:tcW w:type="dxa" w:w="5270"/>
            <w:vAlign w:val="center"/>
          </w:tcPr>
          <w:p>
            <w:pPr>
              <w:spacing w:after="0"/>
            </w:pPr>
            <w:r>
              <w:rPr>
                <w:sz w:val="17"/>
              </w:rPr>
            </w:r>
            <w:r>
              <w:rPr>
                <w:b w:val="0"/>
                <w:sz w:val="18"/>
              </w:rPr>
              <w:t>Independent commercial farmer in Hungary, introduced through the fellow's established professional relationship; new meteorological station + soil sensors installed for FIELDWISE.</w:t>
            </w:r>
          </w:p>
        </w:tc>
      </w:tr>
      <w:tr>
        <w:tc>
          <w:tcPr>
            <w:tcW w:type="dxa" w:w="5270"/>
            <w:vAlign w:val="center"/>
          </w:tcPr>
          <w:p>
            <w:pPr>
              <w:spacing w:after="0"/>
            </w:pPr>
            <w:r>
              <w:rPr>
                <w:sz w:val="17"/>
              </w:rPr>
            </w:r>
            <w:r>
              <w:rPr>
                <w:b w:val="0"/>
                <w:sz w:val="18"/>
              </w:rPr>
              <w:t>Contingency site</w:t>
            </w:r>
          </w:p>
        </w:tc>
        <w:tc>
          <w:tcPr>
            <w:tcW w:type="dxa" w:w="5270"/>
            <w:vAlign w:val="center"/>
          </w:tcPr>
          <w:p>
            <w:pPr>
              <w:spacing w:after="0"/>
            </w:pPr>
            <w:r>
              <w:rPr>
                <w:sz w:val="17"/>
              </w:rPr>
            </w:r>
            <w:r>
              <w:rPr>
                <w:b w:val="0"/>
                <w:sz w:val="18"/>
              </w:rPr>
              <w:t>Potential Szentendre Skanzen Bulgarian model garden - backup/complementary only, subject to formal agreement and scientific suitability.</w:t>
            </w:r>
          </w:p>
        </w:tc>
      </w:tr>
      <w:tr>
        <w:tc>
          <w:tcPr>
            <w:tcW w:type="dxa" w:w="5270"/>
            <w:vAlign w:val="center"/>
          </w:tcPr>
          <w:p>
            <w:pPr>
              <w:spacing w:after="0"/>
            </w:pPr>
            <w:r>
              <w:rPr>
                <w:sz w:val="17"/>
              </w:rPr>
            </w:r>
            <w:r>
              <w:rPr>
                <w:b w:val="0"/>
                <w:sz w:val="18"/>
              </w:rPr>
              <w:t>DrR status today</w:t>
            </w:r>
          </w:p>
        </w:tc>
        <w:tc>
          <w:tcPr>
            <w:tcW w:type="dxa" w:w="5270"/>
            <w:vAlign w:val="center"/>
          </w:tcPr>
          <w:p>
            <w:pPr>
              <w:spacing w:after="0"/>
            </w:pPr>
            <w:r>
              <w:rPr>
                <w:sz w:val="17"/>
              </w:rPr>
            </w:r>
            <w:r>
              <w:rPr>
                <w:b w:val="0"/>
                <w:sz w:val="18"/>
              </w:rPr>
              <w:t>Researcher-developed pre-existing tool, financed/developed by the fellow in her own time; currently used by the fellow in her research at MVCRI as a sensor/EO monitoring and data-integration tool, not as a validated irrigation advisory product.</w:t>
            </w:r>
          </w:p>
        </w:tc>
      </w:tr>
      <w:tr>
        <w:tc>
          <w:tcPr>
            <w:tcW w:type="dxa" w:w="5270"/>
            <w:vAlign w:val="center"/>
          </w:tcPr>
          <w:p>
            <w:pPr>
              <w:spacing w:after="0"/>
            </w:pPr>
            <w:r>
              <w:rPr>
                <w:sz w:val="17"/>
              </w:rPr>
            </w:r>
            <w:r>
              <w:rPr>
                <w:b w:val="0"/>
                <w:sz w:val="18"/>
              </w:rPr>
              <w:t>DrR target</w:t>
            </w:r>
          </w:p>
        </w:tc>
        <w:tc>
          <w:tcPr>
            <w:tcW w:type="dxa" w:w="5270"/>
            <w:vAlign w:val="center"/>
          </w:tcPr>
          <w:p>
            <w:pPr>
              <w:spacing w:after="0"/>
            </w:pPr>
            <w:r>
              <w:rPr>
                <w:sz w:val="17"/>
              </w:rPr>
            </w:r>
            <w:r>
              <w:rPr>
                <w:b w:val="0"/>
                <w:sz w:val="18"/>
              </w:rPr>
              <w:t>Scientifically validated, crop-configurable, farmer-oriented web MVP providing plant-water-stress probability/class, uncertainty, temporal trend and irrigation-attention support.</w:t>
            </w:r>
          </w:p>
        </w:tc>
      </w:tr>
      <w:tr>
        <w:tc>
          <w:tcPr>
            <w:tcW w:type="dxa" w:w="5270"/>
            <w:vAlign w:val="center"/>
          </w:tcPr>
          <w:p>
            <w:pPr>
              <w:spacing w:after="0"/>
            </w:pPr>
            <w:r>
              <w:rPr>
                <w:sz w:val="17"/>
              </w:rPr>
            </w:r>
            <w:r>
              <w:rPr>
                <w:b w:val="0"/>
                <w:sz w:val="18"/>
              </w:rPr>
              <w:t>Krumatic</w:t>
            </w:r>
          </w:p>
        </w:tc>
        <w:tc>
          <w:tcPr>
            <w:tcW w:type="dxa" w:w="5270"/>
            <w:vAlign w:val="center"/>
          </w:tcPr>
          <w:p>
            <w:pPr>
              <w:spacing w:after="0"/>
            </w:pPr>
            <w:r>
              <w:rPr>
                <w:sz w:val="17"/>
              </w:rPr>
            </w:r>
            <w:r>
              <w:rPr>
                <w:b w:val="0"/>
                <w:sz w:val="18"/>
              </w:rPr>
              <w:t>Coding/software implementation from project start + later Bulgarian farmer-facing dissemination/uptake; IP terms for code must be defined.</w:t>
            </w:r>
          </w:p>
        </w:tc>
      </w:tr>
      <w:tr>
        <w:tc>
          <w:tcPr>
            <w:tcW w:type="dxa" w:w="5270"/>
            <w:vAlign w:val="center"/>
          </w:tcPr>
          <w:p>
            <w:pPr>
              <w:spacing w:after="0"/>
            </w:pPr>
            <w:r>
              <w:rPr>
                <w:sz w:val="17"/>
              </w:rPr>
            </w:r>
            <w:r>
              <w:rPr>
                <w:b w:val="0"/>
                <w:sz w:val="18"/>
              </w:rPr>
              <w:t>AgroVIR</w:t>
            </w:r>
          </w:p>
        </w:tc>
        <w:tc>
          <w:tcPr>
            <w:tcW w:type="dxa" w:w="5270"/>
            <w:vAlign w:val="center"/>
          </w:tcPr>
          <w:p>
            <w:pPr>
              <w:spacing w:after="0"/>
            </w:pPr>
            <w:r>
              <w:rPr>
                <w:sz w:val="17"/>
              </w:rPr>
            </w:r>
            <w:r>
              <w:rPr>
                <w:b w:val="0"/>
                <w:sz w:val="18"/>
              </w:rPr>
              <w:t>Requirements consultation from project start + formal M25-M30 non-academic placement for usability/interoperability/FMIS assessment.</w:t>
            </w:r>
          </w:p>
        </w:tc>
      </w:tr>
      <w:tr>
        <w:tc>
          <w:tcPr>
            <w:tcW w:type="dxa" w:w="5270"/>
            <w:vAlign w:val="center"/>
          </w:tcPr>
          <w:p>
            <w:pPr>
              <w:spacing w:after="0"/>
            </w:pPr>
            <w:r>
              <w:rPr>
                <w:sz w:val="17"/>
              </w:rPr>
            </w:r>
            <w:r>
              <w:rPr>
                <w:b w:val="0"/>
                <w:sz w:val="18"/>
              </w:rPr>
              <w:t>Bulgaria / MVCRI</w:t>
            </w:r>
          </w:p>
        </w:tc>
        <w:tc>
          <w:tcPr>
            <w:tcW w:type="dxa" w:w="5270"/>
            <w:vAlign w:val="center"/>
          </w:tcPr>
          <w:p>
            <w:pPr>
              <w:spacing w:after="0"/>
            </w:pPr>
            <w:r>
              <w:rPr>
                <w:sz w:val="17"/>
              </w:rPr>
            </w:r>
            <w:r>
              <w:rPr>
                <w:b w:val="0"/>
                <w:sz w:val="18"/>
              </w:rPr>
              <w:t>Post-MSCA replication, local recalibration and extension to other horticultural crops; platform for stronger Hungary-Bulgaria scientific, teaching and mobility collaboration.</w:t>
            </w:r>
          </w:p>
        </w:tc>
      </w:tr>
    </w:tbl>
    <w:p>
      <w:pPr>
        <w:spacing w:after="100"/>
      </w:pPr>
    </w:p>
    <w:p>
      <w:pPr>
        <w:pStyle w:val="Heading1"/>
        <w:spacing w:after="100"/>
      </w:pPr>
      <w:r>
        <w:rPr>
          <w:b/>
          <w:color w:val="1F4E78"/>
          <w:sz w:val="28"/>
        </w:rPr>
        <w:t>B. The project logic in one chain</w:t>
      </w:r>
    </w:p>
    <w:p>
      <w:pPr>
        <w:spacing w:after="200"/>
      </w:pPr>
      <w:r>
        <w:rPr>
          <w:b/>
          <w:sz w:val="21"/>
        </w:rPr>
        <w:t>MATE longitudinal evidence -&gt; physiological stress definition -&gt; HUN-REN modelling and uncertainty -&gt; ELTE proximal/UAV/Sentinel scale bridging -&gt; independent commercial-farmer validation -&gt; validated crop module -&gt; Krumatic software implementation -&gt; DrR web MVP -&gt; AgroVIR operational/FMIS evaluation -&gt; post-MSCA Bulgarian replication and additional crop modules.</w:t>
      </w:r>
    </w:p>
    <w:p>
      <w:pPr>
        <w:spacing w:after="200"/>
      </w:pPr>
      <w:r>
        <w:rPr>
          <w:b w:val="0"/>
          <w:sz w:val="20"/>
        </w:rPr>
        <w:t>The scientific objective is not to build an app. The objective is to establish and validate a physiologically grounded water-stress decision framework. DrR is the pre-existing research-to-application vehicle through which validated outputs become usable decision support.</w:t>
      </w:r>
    </w:p>
    <w:p>
      <w:pPr>
        <w:pStyle w:val="Heading1"/>
        <w:spacing w:after="100"/>
      </w:pPr>
      <w:r>
        <w:rPr>
          <w:b/>
          <w:color w:val="1F4E78"/>
          <w:sz w:val="28"/>
        </w:rPr>
        <w:t>C. What partners are being asked to confirm</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shd w:fill="1F4E78"/>
          </w:tcPr>
          <w:p>
            <w:pPr>
              <w:spacing w:after="0"/>
            </w:pPr>
            <w:r>
              <w:rPr>
                <w:color w:val="FFFFFF"/>
                <w:sz w:val="17"/>
              </w:rPr>
            </w:r>
            <w:r>
              <w:rPr>
                <w:b/>
                <w:color w:val="FFFFFF"/>
                <w:sz w:val="18"/>
              </w:rPr>
              <w:t>Partner / owner</w:t>
            </w:r>
          </w:p>
        </w:tc>
        <w:tc>
          <w:tcPr>
            <w:tcW w:type="dxa" w:w="3513"/>
            <w:vAlign w:val="center"/>
            <w:shd w:fill="1F4E78"/>
          </w:tcPr>
          <w:p>
            <w:pPr>
              <w:spacing w:after="0"/>
            </w:pPr>
            <w:r>
              <w:rPr>
                <w:color w:val="FFFFFF"/>
                <w:sz w:val="17"/>
              </w:rPr>
            </w:r>
            <w:r>
              <w:rPr>
                <w:b/>
                <w:color w:val="FFFFFF"/>
                <w:sz w:val="18"/>
              </w:rPr>
              <w:t>Confirmation required before final submission</w:t>
            </w:r>
          </w:p>
        </w:tc>
        <w:tc>
          <w:tcPr>
            <w:tcW w:type="dxa" w:w="3513"/>
            <w:vAlign w:val="center"/>
            <w:shd w:fill="1F4E78"/>
          </w:tcPr>
          <w:p>
            <w:pPr>
              <w:spacing w:after="0"/>
            </w:pPr>
            <w:r>
              <w:rPr>
                <w:color w:val="FFFFFF"/>
                <w:sz w:val="17"/>
              </w:rPr>
            </w:r>
            <w:r>
              <w:rPr>
                <w:b/>
                <w:color w:val="FFFFFF"/>
                <w:sz w:val="18"/>
              </w:rPr>
              <w:t>Status</w:t>
            </w:r>
          </w:p>
        </w:tc>
      </w:tr>
      <w:tr>
        <w:tc>
          <w:tcPr>
            <w:tcW w:type="dxa" w:w="3513"/>
            <w:vAlign w:val="center"/>
          </w:tcPr>
          <w:p>
            <w:pPr>
              <w:spacing w:after="0"/>
            </w:pPr>
            <w:r>
              <w:rPr>
                <w:sz w:val="17"/>
              </w:rPr>
            </w:r>
            <w:r>
              <w:rPr>
                <w:b w:val="0"/>
                <w:sz w:val="18"/>
              </w:rPr>
              <w:t>HUN-REN ATK</w:t>
            </w:r>
          </w:p>
        </w:tc>
        <w:tc>
          <w:tcPr>
            <w:tcW w:type="dxa" w:w="3513"/>
            <w:vAlign w:val="center"/>
          </w:tcPr>
          <w:p>
            <w:pPr>
              <w:spacing w:after="0"/>
            </w:pPr>
            <w:r>
              <w:rPr>
                <w:sz w:val="17"/>
              </w:rPr>
            </w:r>
            <w:r>
              <w:rPr>
                <w:b w:val="0"/>
                <w:sz w:val="18"/>
              </w:rPr>
              <w:t>Agreement to host; legal identity/PIC; exact hosting unit; office/lab/support arrangements; Dr. Hollós employment/acceptance/supervision routine/effort; research infrastructure; data/IP support; prior MSCA hosting/teaching route.</w:t>
            </w:r>
          </w:p>
        </w:tc>
        <w:tc>
          <w:tcPr>
            <w:tcW w:type="dxa" w:w="3513"/>
            <w:vAlign w:val="center"/>
            <w:shd w:fill="FCE4D6"/>
          </w:tcPr>
          <w:p>
            <w:pPr>
              <w:spacing w:after="0"/>
            </w:pPr>
            <w:r>
              <w:rPr>
                <w:sz w:val="17"/>
              </w:rPr>
            </w:r>
            <w:r>
              <w:rPr>
                <w:b w:val="0"/>
                <w:sz w:val="18"/>
              </w:rPr>
              <w:t>OPEN</w:t>
            </w:r>
          </w:p>
        </w:tc>
      </w:tr>
      <w:tr>
        <w:tc>
          <w:tcPr>
            <w:tcW w:type="dxa" w:w="3513"/>
            <w:vAlign w:val="center"/>
          </w:tcPr>
          <w:p>
            <w:pPr>
              <w:spacing w:after="0"/>
            </w:pPr>
            <w:r>
              <w:rPr>
                <w:sz w:val="17"/>
              </w:rPr>
            </w:r>
            <w:r>
              <w:rPr>
                <w:b w:val="0"/>
                <w:sz w:val="18"/>
              </w:rPr>
              <w:t>ELTE / Prof. Jung</w:t>
            </w:r>
          </w:p>
        </w:tc>
        <w:tc>
          <w:tcPr>
            <w:tcW w:type="dxa" w:w="3513"/>
            <w:vAlign w:val="center"/>
          </w:tcPr>
          <w:p>
            <w:pPr>
              <w:spacing w:after="0"/>
            </w:pPr>
            <w:r>
              <w:rPr>
                <w:sz w:val="17"/>
              </w:rPr>
            </w:r>
            <w:r>
              <w:rPr>
                <w:b w:val="0"/>
                <w:sz w:val="18"/>
              </w:rPr>
              <w:t>Associated-partner agreement; co-supervision/effort; precise instrument list; written UAV/hyperspectral access arrangement (who operates, site, months, terms).</w:t>
            </w:r>
          </w:p>
        </w:tc>
        <w:tc>
          <w:tcPr>
            <w:tcW w:type="dxa" w:w="3513"/>
            <w:vAlign w:val="center"/>
            <w:shd w:fill="FCE4D6"/>
          </w:tcPr>
          <w:p>
            <w:pPr>
              <w:spacing w:after="0"/>
            </w:pPr>
            <w:r>
              <w:rPr>
                <w:sz w:val="17"/>
              </w:rPr>
            </w:r>
            <w:r>
              <w:rPr>
                <w:b w:val="0"/>
                <w:sz w:val="18"/>
              </w:rPr>
              <w:t>OPEN</w:t>
            </w:r>
          </w:p>
        </w:tc>
      </w:tr>
      <w:tr>
        <w:tc>
          <w:tcPr>
            <w:tcW w:type="dxa" w:w="3513"/>
            <w:vAlign w:val="center"/>
          </w:tcPr>
          <w:p>
            <w:pPr>
              <w:spacing w:after="0"/>
            </w:pPr>
            <w:r>
              <w:rPr>
                <w:sz w:val="17"/>
              </w:rPr>
            </w:r>
            <w:r>
              <w:rPr>
                <w:b w:val="0"/>
                <w:sz w:val="18"/>
              </w:rPr>
              <w:t>MATE / Dr. Takács</w:t>
            </w:r>
          </w:p>
        </w:tc>
        <w:tc>
          <w:tcPr>
            <w:tcW w:type="dxa" w:w="3513"/>
            <w:vAlign w:val="center"/>
          </w:tcPr>
          <w:p>
            <w:pPr>
              <w:spacing w:after="0"/>
            </w:pPr>
            <w:r>
              <w:rPr>
                <w:sz w:val="17"/>
              </w:rPr>
            </w:r>
            <w:r>
              <w:rPr>
                <w:b w:val="0"/>
                <w:sz w:val="18"/>
              </w:rPr>
              <w:t>Rights/access to 2022-2026 dataset; data-use conditions; experimental metadata; instrument availability; contact person and effort.</w:t>
            </w:r>
          </w:p>
        </w:tc>
        <w:tc>
          <w:tcPr>
            <w:tcW w:type="dxa" w:w="3513"/>
            <w:vAlign w:val="center"/>
            <w:shd w:fill="FCE4D6"/>
          </w:tcPr>
          <w:p>
            <w:pPr>
              <w:spacing w:after="0"/>
            </w:pPr>
            <w:r>
              <w:rPr>
                <w:sz w:val="17"/>
              </w:rPr>
            </w:r>
            <w:r>
              <w:rPr>
                <w:b w:val="0"/>
                <w:sz w:val="18"/>
              </w:rPr>
              <w:t>OPEN</w:t>
            </w:r>
          </w:p>
        </w:tc>
      </w:tr>
      <w:tr>
        <w:tc>
          <w:tcPr>
            <w:tcW w:type="dxa" w:w="3513"/>
            <w:vAlign w:val="center"/>
          </w:tcPr>
          <w:p>
            <w:pPr>
              <w:spacing w:after="0"/>
            </w:pPr>
            <w:r>
              <w:rPr>
                <w:sz w:val="17"/>
              </w:rPr>
            </w:r>
            <w:r>
              <w:rPr>
                <w:b w:val="0"/>
                <w:sz w:val="18"/>
              </w:rPr>
              <w:t>Commercial farmer</w:t>
            </w:r>
          </w:p>
        </w:tc>
        <w:tc>
          <w:tcPr>
            <w:tcW w:type="dxa" w:w="3513"/>
            <w:vAlign w:val="center"/>
          </w:tcPr>
          <w:p>
            <w:pPr>
              <w:spacing w:after="0"/>
            </w:pPr>
            <w:r>
              <w:rPr>
                <w:sz w:val="17"/>
              </w:rPr>
            </w:r>
            <w:r>
              <w:rPr>
                <w:b w:val="0"/>
                <w:sz w:val="18"/>
              </w:rPr>
              <w:t>Written access confirmation; site location/area; crop/irrigation management; permission for sensor installation, field measurements and UAV campaigns; treatment implementation responsibilities.</w:t>
            </w:r>
          </w:p>
        </w:tc>
        <w:tc>
          <w:tcPr>
            <w:tcW w:type="dxa" w:w="3513"/>
            <w:vAlign w:val="center"/>
            <w:shd w:fill="FCE4D6"/>
          </w:tcPr>
          <w:p>
            <w:pPr>
              <w:spacing w:after="0"/>
            </w:pPr>
            <w:r>
              <w:rPr>
                <w:sz w:val="17"/>
              </w:rPr>
            </w:r>
            <w:r>
              <w:rPr>
                <w:b w:val="0"/>
                <w:sz w:val="18"/>
              </w:rPr>
              <w:t>OPEN</w:t>
            </w:r>
          </w:p>
        </w:tc>
      </w:tr>
      <w:tr>
        <w:tc>
          <w:tcPr>
            <w:tcW w:type="dxa" w:w="3513"/>
            <w:vAlign w:val="center"/>
          </w:tcPr>
          <w:p>
            <w:pPr>
              <w:spacing w:after="0"/>
            </w:pPr>
            <w:r>
              <w:rPr>
                <w:sz w:val="17"/>
              </w:rPr>
            </w:r>
            <w:r>
              <w:rPr>
                <w:b w:val="0"/>
                <w:sz w:val="18"/>
              </w:rPr>
              <w:t>Krumatic</w:t>
            </w:r>
          </w:p>
        </w:tc>
        <w:tc>
          <w:tcPr>
            <w:tcW w:type="dxa" w:w="3513"/>
            <w:vAlign w:val="center"/>
          </w:tcPr>
          <w:p>
            <w:pPr>
              <w:spacing w:after="0"/>
            </w:pPr>
            <w:r>
              <w:rPr>
                <w:sz w:val="17"/>
              </w:rPr>
            </w:r>
            <w:r>
              <w:rPr>
                <w:b w:val="0"/>
                <w:sz w:val="18"/>
              </w:rPr>
              <w:t>Associated-partner role and effort; developer role; software-development scope; ownership/licence of code produced for FIELDWISE; company/contact details.</w:t>
            </w:r>
          </w:p>
        </w:tc>
        <w:tc>
          <w:tcPr>
            <w:tcW w:type="dxa" w:w="3513"/>
            <w:vAlign w:val="center"/>
            <w:shd w:fill="FCE4D6"/>
          </w:tcPr>
          <w:p>
            <w:pPr>
              <w:spacing w:after="0"/>
            </w:pPr>
            <w:r>
              <w:rPr>
                <w:sz w:val="17"/>
              </w:rPr>
            </w:r>
            <w:r>
              <w:rPr>
                <w:b w:val="0"/>
                <w:sz w:val="18"/>
              </w:rPr>
              <w:t>OPEN</w:t>
            </w:r>
          </w:p>
        </w:tc>
      </w:tr>
      <w:tr>
        <w:tc>
          <w:tcPr>
            <w:tcW w:type="dxa" w:w="3513"/>
            <w:vAlign w:val="center"/>
          </w:tcPr>
          <w:p>
            <w:pPr>
              <w:spacing w:after="0"/>
            </w:pPr>
            <w:r>
              <w:rPr>
                <w:sz w:val="17"/>
              </w:rPr>
            </w:r>
            <w:r>
              <w:rPr>
                <w:b w:val="0"/>
                <w:sz w:val="18"/>
              </w:rPr>
              <w:t>AgroVIR</w:t>
            </w:r>
          </w:p>
        </w:tc>
        <w:tc>
          <w:tcPr>
            <w:tcW w:type="dxa" w:w="3513"/>
            <w:vAlign w:val="center"/>
          </w:tcPr>
          <w:p>
            <w:pPr>
              <w:spacing w:after="0"/>
            </w:pPr>
            <w:r>
              <w:rPr>
                <w:sz w:val="17"/>
              </w:rPr>
            </w:r>
            <w:r>
              <w:rPr>
                <w:b w:val="0"/>
                <w:sz w:val="18"/>
              </w:rPr>
              <w:t>M1 requirements consultation; M25-M30 placement structure; supervisor/contact; remote + monthly face-to-face routine; protected/coded data pathway; operational evaluation scope and effort.</w:t>
            </w:r>
          </w:p>
        </w:tc>
        <w:tc>
          <w:tcPr>
            <w:tcW w:type="dxa" w:w="3513"/>
            <w:vAlign w:val="center"/>
            <w:shd w:fill="FCE4D6"/>
          </w:tcPr>
          <w:p>
            <w:pPr>
              <w:spacing w:after="0"/>
            </w:pPr>
            <w:r>
              <w:rPr>
                <w:sz w:val="17"/>
              </w:rPr>
            </w:r>
            <w:r>
              <w:rPr>
                <w:b w:val="0"/>
                <w:sz w:val="18"/>
              </w:rPr>
              <w:t>OPEN</w:t>
            </w:r>
          </w:p>
        </w:tc>
      </w:tr>
      <w:tr>
        <w:tc>
          <w:tcPr>
            <w:tcW w:type="dxa" w:w="3513"/>
            <w:vAlign w:val="center"/>
          </w:tcPr>
          <w:p>
            <w:pPr>
              <w:spacing w:after="0"/>
            </w:pPr>
            <w:r>
              <w:rPr>
                <w:sz w:val="17"/>
              </w:rPr>
            </w:r>
            <w:r>
              <w:rPr>
                <w:b w:val="0"/>
                <w:sz w:val="18"/>
              </w:rPr>
              <w:t>MVCRI / Bulgarian Agricultural Academy</w:t>
            </w:r>
          </w:p>
        </w:tc>
        <w:tc>
          <w:tcPr>
            <w:tcW w:type="dxa" w:w="3513"/>
            <w:vAlign w:val="center"/>
          </w:tcPr>
          <w:p>
            <w:pPr>
              <w:spacing w:after="0"/>
            </w:pPr>
            <w:r>
              <w:rPr>
                <w:sz w:val="17"/>
              </w:rPr>
            </w:r>
            <w:r>
              <w:rPr>
                <w:b w:val="0"/>
                <w:sz w:val="18"/>
              </w:rPr>
              <w:t>Clarify that DrR development was not financed/commissioned by the institute (if factually correct); rights to MVCRI research data; post-MSCA replication/teaching interest.</w:t>
            </w:r>
          </w:p>
        </w:tc>
        <w:tc>
          <w:tcPr>
            <w:tcW w:type="dxa" w:w="3513"/>
            <w:vAlign w:val="center"/>
            <w:shd w:fill="FCE4D6"/>
          </w:tcPr>
          <w:p>
            <w:pPr>
              <w:spacing w:after="0"/>
            </w:pPr>
            <w:r>
              <w:rPr>
                <w:sz w:val="17"/>
              </w:rPr>
            </w:r>
            <w:r>
              <w:rPr>
                <w:b w:val="0"/>
                <w:sz w:val="18"/>
              </w:rPr>
              <w:t>OPEN</w:t>
            </w:r>
          </w:p>
        </w:tc>
      </w:tr>
      <w:tr>
        <w:tc>
          <w:tcPr>
            <w:tcW w:type="dxa" w:w="3513"/>
            <w:vAlign w:val="center"/>
          </w:tcPr>
          <w:p>
            <w:pPr>
              <w:spacing w:after="0"/>
            </w:pPr>
            <w:r>
              <w:rPr>
                <w:sz w:val="17"/>
              </w:rPr>
            </w:r>
            <w:r>
              <w:rPr>
                <w:b w:val="0"/>
                <w:sz w:val="18"/>
              </w:rPr>
              <w:t>Szentendre/Skanzen route</w:t>
            </w:r>
          </w:p>
        </w:tc>
        <w:tc>
          <w:tcPr>
            <w:tcW w:type="dxa" w:w="3513"/>
            <w:vAlign w:val="center"/>
          </w:tcPr>
          <w:p>
            <w:pPr>
              <w:spacing w:after="0"/>
            </w:pPr>
            <w:r>
              <w:rPr>
                <w:sz w:val="17"/>
              </w:rPr>
            </w:r>
            <w:r>
              <w:rPr>
                <w:b w:val="0"/>
                <w:sz w:val="18"/>
              </w:rPr>
              <w:t>Formal interest, garden timing/size/crop management and scientific suitability if retained as contingency/communication route.</w:t>
            </w:r>
          </w:p>
        </w:tc>
        <w:tc>
          <w:tcPr>
            <w:tcW w:type="dxa" w:w="3513"/>
            <w:vAlign w:val="center"/>
            <w:shd w:fill="FCE4D6"/>
          </w:tcPr>
          <w:p>
            <w:pPr>
              <w:spacing w:after="0"/>
            </w:pPr>
            <w:r>
              <w:rPr>
                <w:sz w:val="17"/>
              </w:rPr>
            </w:r>
            <w:r>
              <w:rPr>
                <w:b w:val="0"/>
                <w:sz w:val="18"/>
              </w:rPr>
              <w:t>OPTIONAL / CONTINGENCY</w:t>
            </w:r>
          </w:p>
        </w:tc>
      </w:tr>
    </w:tbl>
    <w:p>
      <w:pPr>
        <w:spacing w:after="120"/>
      </w:pPr>
    </w:p>
    <w:p>
      <w:pPr>
        <w:pStyle w:val="Heading1"/>
        <w:spacing w:after="100"/>
      </w:pPr>
      <w:r>
        <w:rPr>
          <w:b/>
          <w:color w:val="1F4E78"/>
          <w:sz w:val="28"/>
        </w:rPr>
        <w:t>D. Critical IP and data-rights principle</w:t>
      </w:r>
    </w:p>
    <w:p>
      <w:pPr>
        <w:spacing w:after="120"/>
      </w:pPr>
      <w:r>
        <w:rPr>
          <w:b w:val="0"/>
          <w:sz w:val="20"/>
        </w:rPr>
        <w:t>Pre-MSCA DrR background, FIELDWISE scientific foreground, institutional datasets and Krumatic-developed code must be treated as separate rights layers. Personal financing/development of DrR is important evidence, but ownership and permitted use should be documented explicitly before the action starts. The proposal should not imply that ownership of the DrR software automatically confers ownership of MATE, MVCRI, farmer or other institutional data.</w:t>
      </w:r>
    </w:p>
    <w:p>
      <w:pPr>
        <w:spacing w:after="200"/>
      </w:pPr>
      <w:r>
        <w:rPr>
          <w:b w:val="0"/>
          <w:sz w:val="20"/>
        </w:rPr>
        <w:t>Recommended documentation before project start: (1) dated DrR background declaration/version inventory; (2) HUN-REN licence/access arrangement for use of the pre-existing DrR background; (3) MATE/MVCRI/farmer data-use permissions; (4) Krumatic development agreement defining ownership or sufficient exploitation rights for new code; (5) foreground/IP decision route for model components and later commercial exploitation.</w:t>
      </w:r>
    </w:p>
    <w:p>
      <w:pPr>
        <w:pStyle w:val="Heading1"/>
        <w:spacing w:after="100"/>
      </w:pPr>
      <w:r>
        <w:rPr>
          <w:b/>
          <w:color w:val="1F4E78"/>
          <w:sz w:val="28"/>
        </w:rPr>
        <w:t>E. Evidence-based impact magnitude</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shd w:fill="1F4E78"/>
          </w:tcPr>
          <w:p>
            <w:pPr>
              <w:spacing w:after="0"/>
            </w:pPr>
            <w:r>
              <w:rPr>
                <w:color w:val="FFFFFF"/>
                <w:sz w:val="17"/>
              </w:rPr>
            </w:r>
            <w:r>
              <w:rPr>
                <w:b/>
                <w:color w:val="FFFFFF"/>
                <w:sz w:val="18"/>
              </w:rPr>
              <w:t>Evidence</w:t>
            </w:r>
          </w:p>
        </w:tc>
        <w:tc>
          <w:tcPr>
            <w:tcW w:type="dxa" w:w="3513"/>
            <w:vAlign w:val="center"/>
            <w:shd w:fill="1F4E78"/>
          </w:tcPr>
          <w:p>
            <w:pPr>
              <w:spacing w:after="0"/>
            </w:pPr>
            <w:r>
              <w:rPr>
                <w:color w:val="FFFFFF"/>
                <w:sz w:val="17"/>
              </w:rPr>
            </w:r>
            <w:r>
              <w:rPr>
                <w:b/>
                <w:color w:val="FFFFFF"/>
                <w:sz w:val="18"/>
              </w:rPr>
              <w:t>Published reference point</w:t>
            </w:r>
          </w:p>
        </w:tc>
        <w:tc>
          <w:tcPr>
            <w:tcW w:type="dxa" w:w="3513"/>
            <w:vAlign w:val="center"/>
            <w:shd w:fill="1F4E78"/>
          </w:tcPr>
          <w:p>
            <w:pPr>
              <w:spacing w:after="0"/>
            </w:pPr>
            <w:r>
              <w:rPr>
                <w:color w:val="FFFFFF"/>
                <w:sz w:val="17"/>
              </w:rPr>
            </w:r>
            <w:r>
              <w:rPr>
                <w:b/>
                <w:color w:val="FFFFFF"/>
                <w:sz w:val="18"/>
              </w:rPr>
              <w:t>How FIELDWISE should use it</w:t>
            </w:r>
          </w:p>
        </w:tc>
      </w:tr>
      <w:tr>
        <w:tc>
          <w:tcPr>
            <w:tcW w:type="dxa" w:w="3513"/>
            <w:vAlign w:val="center"/>
          </w:tcPr>
          <w:p>
            <w:pPr>
              <w:spacing w:after="0"/>
            </w:pPr>
            <w:r>
              <w:rPr>
                <w:sz w:val="17"/>
              </w:rPr>
            </w:r>
            <w:r>
              <w:rPr>
                <w:b w:val="0"/>
                <w:sz w:val="18"/>
              </w:rPr>
              <w:t>Processing tomato - plant + soil monitoring</w:t>
            </w:r>
          </w:p>
        </w:tc>
        <w:tc>
          <w:tcPr>
            <w:tcW w:type="dxa" w:w="3513"/>
            <w:vAlign w:val="center"/>
          </w:tcPr>
          <w:p>
            <w:pPr>
              <w:spacing w:after="0"/>
            </w:pPr>
            <w:r>
              <w:rPr>
                <w:sz w:val="17"/>
              </w:rPr>
            </w:r>
            <w:r>
              <w:rPr>
                <w:b w:val="0"/>
                <w:sz w:val="18"/>
              </w:rPr>
              <w:t>~30% less irrigation water vs empirical farmer management; ~7.5% less vs ET-based scheduling in a two-year field trial; yield differences also reported.</w:t>
            </w:r>
          </w:p>
        </w:tc>
        <w:tc>
          <w:tcPr>
            <w:tcW w:type="dxa" w:w="3513"/>
            <w:vAlign w:val="center"/>
          </w:tcPr>
          <w:p>
            <w:pPr>
              <w:spacing w:after="0"/>
            </w:pPr>
            <w:r>
              <w:rPr>
                <w:sz w:val="17"/>
              </w:rPr>
            </w:r>
            <w:r>
              <w:rPr>
                <w:b w:val="0"/>
                <w:sz w:val="18"/>
              </w:rPr>
              <w:t>Bounded context only; demonstrates plausible magnitude and the need to quantify water-yield trade-offs.</w:t>
            </w:r>
          </w:p>
        </w:tc>
      </w:tr>
      <w:tr>
        <w:tc>
          <w:tcPr>
            <w:tcW w:type="dxa" w:w="3513"/>
            <w:vAlign w:val="center"/>
          </w:tcPr>
          <w:p>
            <w:pPr>
              <w:spacing w:after="0"/>
            </w:pPr>
            <w:r>
              <w:rPr>
                <w:sz w:val="17"/>
              </w:rPr>
            </w:r>
            <w:r>
              <w:rPr>
                <w:b w:val="0"/>
                <w:sz w:val="18"/>
              </w:rPr>
              <w:t>Processing tomato - timing of deficit</w:t>
            </w:r>
          </w:p>
        </w:tc>
        <w:tc>
          <w:tcPr>
            <w:tcW w:type="dxa" w:w="3513"/>
            <w:vAlign w:val="center"/>
          </w:tcPr>
          <w:p>
            <w:pPr>
              <w:spacing w:after="0"/>
            </w:pPr>
            <w:r>
              <w:rPr>
                <w:sz w:val="17"/>
              </w:rPr>
            </w:r>
            <w:r>
              <w:rPr>
                <w:b w:val="0"/>
                <w:sz w:val="18"/>
              </w:rPr>
              <w:t>25% water saving with early-stage controlled deficit in a 2024 experiment without statistically significant yield loss; poorly timed/prolonged deficits reduced yield.</w:t>
            </w:r>
          </w:p>
        </w:tc>
        <w:tc>
          <w:tcPr>
            <w:tcW w:type="dxa" w:w="3513"/>
            <w:vAlign w:val="center"/>
          </w:tcPr>
          <w:p>
            <w:pPr>
              <w:spacing w:after="0"/>
            </w:pPr>
            <w:r>
              <w:rPr>
                <w:sz w:val="17"/>
              </w:rPr>
            </w:r>
            <w:r>
              <w:rPr>
                <w:b w:val="0"/>
                <w:sz w:val="18"/>
              </w:rPr>
              <w:t>Supports plant-stage/physiology-aware timing premise; not a project promise.</w:t>
            </w:r>
          </w:p>
        </w:tc>
      </w:tr>
      <w:tr>
        <w:tc>
          <w:tcPr>
            <w:tcW w:type="dxa" w:w="3513"/>
            <w:vAlign w:val="center"/>
          </w:tcPr>
          <w:p>
            <w:pPr>
              <w:spacing w:after="0"/>
            </w:pPr>
            <w:r>
              <w:rPr>
                <w:sz w:val="17"/>
              </w:rPr>
            </w:r>
            <w:r>
              <w:rPr>
                <w:b w:val="0"/>
                <w:sz w:val="18"/>
              </w:rPr>
              <w:t>EU scale</w:t>
            </w:r>
          </w:p>
        </w:tc>
        <w:tc>
          <w:tcPr>
            <w:tcW w:type="dxa" w:w="3513"/>
            <w:vAlign w:val="center"/>
          </w:tcPr>
          <w:p>
            <w:pPr>
              <w:spacing w:after="0"/>
            </w:pPr>
            <w:r>
              <w:rPr>
                <w:sz w:val="17"/>
              </w:rPr>
            </w:r>
            <w:r>
              <w:rPr>
                <w:b w:val="0"/>
                <w:sz w:val="18"/>
              </w:rPr>
              <w:t>Fresh vegetables cultivated on ~2.0 million ha in the EU in 2023; ~0.7 million EU farms cultivated fresh vegetables in 2020.</w:t>
            </w:r>
          </w:p>
        </w:tc>
        <w:tc>
          <w:tcPr>
            <w:tcW w:type="dxa" w:w="3513"/>
            <w:vAlign w:val="center"/>
          </w:tcPr>
          <w:p>
            <w:pPr>
              <w:spacing w:after="0"/>
            </w:pPr>
            <w:r>
              <w:rPr>
                <w:sz w:val="17"/>
              </w:rPr>
            </w:r>
            <w:r>
              <w:rPr>
                <w:b w:val="0"/>
                <w:sz w:val="18"/>
              </w:rPr>
              <w:t>Shows scale of the potential application domain, not an immediate addressable market.</w:t>
            </w:r>
          </w:p>
        </w:tc>
      </w:tr>
      <w:tr>
        <w:tc>
          <w:tcPr>
            <w:tcW w:type="dxa" w:w="3513"/>
            <w:vAlign w:val="center"/>
          </w:tcPr>
          <w:p>
            <w:pPr>
              <w:spacing w:after="0"/>
            </w:pPr>
            <w:r>
              <w:rPr>
                <w:sz w:val="17"/>
              </w:rPr>
            </w:r>
            <w:r>
              <w:rPr>
                <w:b w:val="0"/>
                <w:sz w:val="18"/>
              </w:rPr>
              <w:t>Bulgaria scale</w:t>
            </w:r>
          </w:p>
        </w:tc>
        <w:tc>
          <w:tcPr>
            <w:tcW w:type="dxa" w:w="3513"/>
            <w:vAlign w:val="center"/>
          </w:tcPr>
          <w:p>
            <w:pPr>
              <w:spacing w:after="0"/>
            </w:pPr>
            <w:r>
              <w:rPr>
                <w:sz w:val="17"/>
              </w:rPr>
            </w:r>
            <w:r>
              <w:rPr>
                <w:b w:val="0"/>
                <w:sz w:val="18"/>
              </w:rPr>
              <w:t>35.6 thousand ha main vegetable-production area in harvest 2024; ~128 thousand tonnes tomato production.</w:t>
            </w:r>
          </w:p>
        </w:tc>
        <w:tc>
          <w:tcPr>
            <w:tcW w:type="dxa" w:w="3513"/>
            <w:vAlign w:val="center"/>
          </w:tcPr>
          <w:p>
            <w:pPr>
              <w:spacing w:after="0"/>
            </w:pPr>
            <w:r>
              <w:rPr>
                <w:sz w:val="17"/>
              </w:rPr>
            </w:r>
            <w:r>
              <w:rPr>
                <w:b w:val="0"/>
                <w:sz w:val="18"/>
              </w:rPr>
              <w:t>Concrete downstream replication/dissemination context.</w:t>
            </w:r>
          </w:p>
        </w:tc>
      </w:tr>
    </w:tbl>
    <w:p>
      <w:pPr>
        <w:spacing w:after="240"/>
      </w:pPr>
      <w:r>
        <w:rPr>
          <w:b/>
          <w:sz w:val="20"/>
        </w:rPr>
        <w:t>Recommended claim: comparable published studies demonstrate water-saving effects in the approximate 8-30% range under specific strategies, but FIELDWISE will quantify its own outcome prospectively and report water saving together with yield, quality and uncertainty. Do not write "FIELDWISE will save 25% water."</w:t>
      </w:r>
    </w:p>
    <w:p>
      <w:pPr>
        <w:spacing w:after="160"/>
        <w:jc w:val="center"/>
      </w:pPr>
      <w:r>
        <w:rPr>
          <w:b/>
          <w:color w:val="1F4E78"/>
          <w:sz w:val="32"/>
        </w:rPr>
        <w:t>FULL CONSOLIDATED FIELDWISE CONCEPT</w:t>
      </w:r>
    </w:p>
    <w:p>
      <w:pPr>
        <w:spacing w:after="240"/>
        <w:jc w:val="center"/>
      </w:pPr>
      <w:r>
        <w:rPr>
          <w:b w:val="0"/>
          <w:color w:val="5A5A5A"/>
          <w:sz w:val="19"/>
        </w:rPr>
        <w:t>The following pages contain the integrated scientific and implementation concept. The appendices after the concept provide partner-facing clarification on DrR background/IP, impact evidence and the Hungary-Bulgaria continuation route.</w:t>
      </w:r>
    </w:p>
    <w:p>
      <w:r>
        <w:br/>
      </w:r>
    </w:p>
    <w:p>
      <w:pPr>
        <w:pStyle w:val="Title"/>
        <w:jc w:val="center"/>
      </w:pPr>
      <w:r>
        <w:t>FIELDWISE</w:t>
      </w:r>
    </w:p>
    <w:p>
      <w:pPr>
        <w:spacing w:after="120"/>
        <w:jc w:val="center"/>
      </w:pPr>
      <w:r>
        <w:t>From Plant Water-Stress Signatures to Transferable Irrigation Decision Support for High-Value Horticulture: Processing Tomato as the Model Crop</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EAF0F8"/>
          </w:tcPr>
          <w:p>
            <w:pPr>
              <w:spacing w:after="0"/>
            </w:pPr>
            <w:r>
              <w:rPr>
                <w:sz w:val="17"/>
              </w:rPr>
            </w:r>
            <w:r>
              <w:rPr>
                <w:rFonts w:ascii="Times New Roman" w:hAnsi="Times New Roman"/>
                <w:b/>
                <w:sz w:val="17"/>
              </w:rPr>
              <w:t>Acronym</w:t>
            </w:r>
          </w:p>
        </w:tc>
        <w:tc>
          <w:tcPr>
            <w:tcW w:type="dxa" w:w="5270"/>
            <w:vAlign w:val="center"/>
            <w:shd w:fill="EAF0F8"/>
          </w:tcPr>
          <w:p>
            <w:pPr>
              <w:spacing w:after="0"/>
            </w:pPr>
            <w:r>
              <w:rPr>
                <w:sz w:val="17"/>
              </w:rPr>
            </w:r>
            <w:r>
              <w:rPr>
                <w:rFonts w:ascii="Times New Roman" w:hAnsi="Times New Roman"/>
                <w:b w:val="0"/>
                <w:sz w:val="17"/>
              </w:rPr>
              <w:t>FIELDWISE</w:t>
            </w:r>
          </w:p>
        </w:tc>
      </w:tr>
      <w:tr>
        <w:tc>
          <w:tcPr>
            <w:tcW w:type="dxa" w:w="5270"/>
            <w:vAlign w:val="center"/>
          </w:tcPr>
          <w:p>
            <w:pPr>
              <w:spacing w:after="0"/>
            </w:pPr>
            <w:r>
              <w:rPr>
                <w:sz w:val="17"/>
              </w:rPr>
              <w:t>Development / model crop</w:t>
            </w:r>
          </w:p>
        </w:tc>
        <w:tc>
          <w:tcPr>
            <w:tcW w:type="dxa" w:w="5270"/>
            <w:vAlign w:val="center"/>
          </w:tcPr>
          <w:p>
            <w:pPr>
              <w:spacing w:after="0"/>
            </w:pPr>
            <w:r>
              <w:rPr>
                <w:sz w:val="17"/>
              </w:rPr>
              <w:t>Processing tomato - selected because approximately five years of scientific data, strong experimental expertise and established collaborations are already available</w:t>
            </w:r>
          </w:p>
        </w:tc>
      </w:tr>
      <w:tr>
        <w:tc>
          <w:tcPr>
            <w:tcW w:type="dxa" w:w="5270"/>
            <w:vAlign w:val="center"/>
          </w:tcPr>
          <w:p>
            <w:pPr>
              <w:spacing w:after="0"/>
            </w:pPr>
            <w:r>
              <w:rPr>
                <w:sz w:val="17"/>
              </w:rPr>
              <w:t>Wider application domain</w:t>
            </w:r>
          </w:p>
        </w:tc>
        <w:tc>
          <w:tcPr>
            <w:tcW w:type="dxa" w:w="5270"/>
            <w:vAlign w:val="center"/>
          </w:tcPr>
          <w:p>
            <w:pPr>
              <w:spacing w:after="0"/>
            </w:pPr>
            <w:r>
              <w:rPr>
                <w:sz w:val="17"/>
              </w:rPr>
              <w:t>Irrigated high-value horticultural crops - DrR is designed as a crop-configurable framework; each new crop requires crop-specific physiological validation and calibration before operational use</w:t>
            </w:r>
          </w:p>
        </w:tc>
      </w:tr>
      <w:tr>
        <w:tc>
          <w:tcPr>
            <w:tcW w:type="dxa" w:w="5270"/>
            <w:vAlign w:val="center"/>
            <w:shd w:fill="EAF0F8"/>
          </w:tcPr>
          <w:p>
            <w:pPr>
              <w:spacing w:after="0"/>
            </w:pPr>
            <w:r>
              <w:rPr>
                <w:sz w:val="17"/>
              </w:rPr>
            </w:r>
            <w:r>
              <w:rPr>
                <w:rFonts w:ascii="Times New Roman" w:hAnsi="Times New Roman"/>
                <w:b/>
                <w:sz w:val="17"/>
              </w:rPr>
              <w:t>MSCA beneficiary / host</w:t>
            </w:r>
          </w:p>
        </w:tc>
        <w:tc>
          <w:tcPr>
            <w:tcW w:type="dxa" w:w="5270"/>
            <w:vAlign w:val="center"/>
            <w:shd w:fill="EAF0F8"/>
          </w:tcPr>
          <w:p>
            <w:pPr>
              <w:spacing w:after="0"/>
            </w:pPr>
            <w:r>
              <w:rPr>
                <w:sz w:val="17"/>
              </w:rPr>
            </w:r>
            <w:r>
              <w:rPr>
                <w:rFonts w:ascii="Times New Roman" w:hAnsi="Times New Roman"/>
                <w:b w:val="0"/>
                <w:sz w:val="17"/>
              </w:rPr>
              <w:t>HUN-REN Centre for Agricultural Research (HUN-REN ATK), Martonvásár, Hungary</w:t>
            </w:r>
          </w:p>
        </w:tc>
      </w:tr>
      <w:tr>
        <w:tc>
          <w:tcPr>
            <w:tcW w:type="dxa" w:w="5270"/>
            <w:vAlign w:val="center"/>
          </w:tcPr>
          <w:p>
            <w:pPr>
              <w:spacing w:after="0"/>
            </w:pPr>
            <w:r>
              <w:rPr>
                <w:sz w:val="17"/>
              </w:rPr>
            </w:r>
            <w:r>
              <w:rPr>
                <w:rFonts w:ascii="Times New Roman" w:hAnsi="Times New Roman"/>
                <w:b/>
                <w:sz w:val="17"/>
              </w:rPr>
              <w:t>Primary supervisor</w:t>
            </w:r>
          </w:p>
        </w:tc>
        <w:tc>
          <w:tcPr>
            <w:tcW w:type="dxa" w:w="5270"/>
            <w:vAlign w:val="center"/>
          </w:tcPr>
          <w:p>
            <w:pPr>
              <w:spacing w:after="0"/>
            </w:pPr>
            <w:r>
              <w:rPr>
                <w:sz w:val="17"/>
              </w:rPr>
            </w:r>
            <w:r>
              <w:rPr>
                <w:rFonts w:ascii="Times New Roman" w:hAnsi="Times New Roman"/>
                <w:b w:val="0"/>
                <w:sz w:val="17"/>
              </w:rPr>
              <w:t>Dr. Roland Hollós, HUN-REN</w:t>
            </w:r>
          </w:p>
        </w:tc>
      </w:tr>
      <w:tr>
        <w:tc>
          <w:tcPr>
            <w:tcW w:type="dxa" w:w="5270"/>
            <w:vAlign w:val="center"/>
            <w:shd w:fill="EAF0F8"/>
          </w:tcPr>
          <w:p>
            <w:pPr>
              <w:spacing w:after="0"/>
            </w:pPr>
            <w:r>
              <w:rPr>
                <w:sz w:val="17"/>
              </w:rPr>
            </w:r>
            <w:r>
              <w:rPr>
                <w:rFonts w:ascii="Times New Roman" w:hAnsi="Times New Roman"/>
                <w:b/>
                <w:sz w:val="17"/>
              </w:rPr>
              <w:t>Associated remote-sensing partner</w:t>
            </w:r>
          </w:p>
        </w:tc>
        <w:tc>
          <w:tcPr>
            <w:tcW w:type="dxa" w:w="5270"/>
            <w:vAlign w:val="center"/>
            <w:shd w:fill="EAF0F8"/>
          </w:tcPr>
          <w:p>
            <w:pPr>
              <w:spacing w:after="0"/>
            </w:pPr>
            <w:r>
              <w:rPr>
                <w:sz w:val="17"/>
              </w:rPr>
            </w:r>
            <w:r>
              <w:rPr>
                <w:rFonts w:ascii="Times New Roman" w:hAnsi="Times New Roman"/>
                <w:b w:val="0"/>
                <w:sz w:val="17"/>
              </w:rPr>
              <w:t>Eötvös Loránd University (ELTE), Hungary - Prof. András Jung, co-supervisor</w:t>
            </w:r>
          </w:p>
        </w:tc>
      </w:tr>
      <w:tr>
        <w:tc>
          <w:tcPr>
            <w:tcW w:type="dxa" w:w="5270"/>
            <w:vAlign w:val="center"/>
          </w:tcPr>
          <w:p>
            <w:pPr>
              <w:spacing w:after="0"/>
            </w:pPr>
            <w:r>
              <w:rPr>
                <w:sz w:val="17"/>
              </w:rPr>
            </w:r>
            <w:r>
              <w:rPr>
                <w:rFonts w:ascii="Times New Roman" w:hAnsi="Times New Roman"/>
                <w:b/>
                <w:sz w:val="17"/>
              </w:rPr>
              <w:t>Historical scientific dataset</w:t>
            </w:r>
          </w:p>
        </w:tc>
        <w:tc>
          <w:tcPr>
            <w:tcW w:type="dxa" w:w="5270"/>
            <w:vAlign w:val="center"/>
          </w:tcPr>
          <w:p>
            <w:pPr>
              <w:spacing w:after="0"/>
            </w:pPr>
            <w:r>
              <w:rPr>
                <w:sz w:val="17"/>
              </w:rPr>
            </w:r>
            <w:r>
              <w:rPr>
                <w:rFonts w:ascii="Times New Roman" w:hAnsi="Times New Roman"/>
                <w:b w:val="0"/>
                <w:sz w:val="17"/>
              </w:rPr>
              <w:t>MATE, Hungary - approximately five experimental seasons (2022-2026)</w:t>
            </w:r>
          </w:p>
        </w:tc>
      </w:tr>
      <w:tr>
        <w:tc>
          <w:tcPr>
            <w:tcW w:type="dxa" w:w="5270"/>
            <w:vAlign w:val="center"/>
            <w:shd w:fill="EAF0F8"/>
          </w:tcPr>
          <w:p>
            <w:pPr>
              <w:spacing w:after="0"/>
            </w:pPr>
            <w:r>
              <w:rPr>
                <w:sz w:val="17"/>
              </w:rPr>
            </w:r>
            <w:r>
              <w:rPr>
                <w:rFonts w:ascii="Times New Roman" w:hAnsi="Times New Roman"/>
                <w:b/>
                <w:sz w:val="17"/>
              </w:rPr>
              <w:t>Primary prospective validation</w:t>
            </w:r>
          </w:p>
        </w:tc>
        <w:tc>
          <w:tcPr>
            <w:tcW w:type="dxa" w:w="5270"/>
            <w:vAlign w:val="center"/>
            <w:shd w:fill="EAF0F8"/>
          </w:tcPr>
          <w:p>
            <w:pPr>
              <w:spacing w:after="0"/>
            </w:pPr>
            <w:r>
              <w:rPr>
                <w:sz w:val="17"/>
              </w:rPr>
            </w:r>
            <w:r>
              <w:rPr>
                <w:rFonts w:ascii="Times New Roman" w:hAnsi="Times New Roman"/>
                <w:b w:val="0"/>
                <w:sz w:val="17"/>
              </w:rPr>
              <w:t>Independent commercial farmer site in Hungary, introduced through the fellow's established professional collaboration</w:t>
            </w:r>
          </w:p>
        </w:tc>
      </w:tr>
      <w:tr>
        <w:tc>
          <w:tcPr>
            <w:tcW w:type="dxa" w:w="5270"/>
            <w:vAlign w:val="center"/>
          </w:tcPr>
          <w:p>
            <w:pPr>
              <w:spacing w:after="0"/>
            </w:pPr>
            <w:r>
              <w:rPr>
                <w:sz w:val="17"/>
              </w:rPr>
            </w:r>
            <w:r>
              <w:rPr>
                <w:rFonts w:ascii="Times New Roman" w:hAnsi="Times New Roman"/>
                <w:b/>
                <w:sz w:val="17"/>
              </w:rPr>
              <w:t>Contingency validation option</w:t>
            </w:r>
          </w:p>
        </w:tc>
        <w:tc>
          <w:tcPr>
            <w:tcW w:type="dxa" w:w="5270"/>
            <w:vAlign w:val="center"/>
          </w:tcPr>
          <w:p>
            <w:pPr>
              <w:spacing w:after="0"/>
            </w:pPr>
            <w:r>
              <w:rPr>
                <w:sz w:val="17"/>
              </w:rPr>
            </w:r>
            <w:r>
              <w:rPr>
                <w:rFonts w:ascii="Times New Roman" w:hAnsi="Times New Roman"/>
                <w:b w:val="0"/>
                <w:sz w:val="17"/>
              </w:rPr>
              <w:t>Planned Bulgarian model garden at the Szentendre Skanzen, subject to formal agreement and suitability</w:t>
            </w:r>
          </w:p>
        </w:tc>
      </w:tr>
      <w:tr>
        <w:tc>
          <w:tcPr>
            <w:tcW w:type="dxa" w:w="5270"/>
            <w:vAlign w:val="center"/>
            <w:shd w:fill="EAF0F8"/>
          </w:tcPr>
          <w:p>
            <w:pPr>
              <w:spacing w:after="0"/>
            </w:pPr>
            <w:r>
              <w:rPr>
                <w:sz w:val="17"/>
              </w:rPr>
            </w:r>
            <w:r>
              <w:rPr>
                <w:rFonts w:ascii="Times New Roman" w:hAnsi="Times New Roman"/>
                <w:b/>
                <w:sz w:val="17"/>
              </w:rPr>
              <w:t>Existing research prototype</w:t>
            </w:r>
          </w:p>
        </w:tc>
        <w:tc>
          <w:tcPr>
            <w:tcW w:type="dxa" w:w="5270"/>
            <w:vAlign w:val="center"/>
            <w:shd w:fill="EAF0F8"/>
          </w:tcPr>
          <w:p>
            <w:pPr>
              <w:spacing w:after="0"/>
            </w:pPr>
            <w:r>
              <w:rPr>
                <w:sz w:val="17"/>
              </w:rPr>
            </w:r>
            <w:r>
              <w:rPr>
                <w:rFonts w:ascii="Times New Roman" w:hAnsi="Times New Roman"/>
                <w:b w:val="0"/>
                <w:sz w:val="17"/>
              </w:rPr>
              <w:t>DrR - Digital Agronomist</w:t>
            </w:r>
          </w:p>
        </w:tc>
      </w:tr>
      <w:tr>
        <w:tc>
          <w:tcPr>
            <w:tcW w:type="dxa" w:w="5270"/>
            <w:vAlign w:val="center"/>
          </w:tcPr>
          <w:p>
            <w:pPr>
              <w:spacing w:after="0"/>
            </w:pPr>
            <w:r>
              <w:rPr>
                <w:sz w:val="17"/>
              </w:rPr>
            </w:r>
            <w:r>
              <w:rPr>
                <w:rFonts w:ascii="Times New Roman" w:hAnsi="Times New Roman"/>
                <w:b/>
                <w:sz w:val="17"/>
              </w:rPr>
              <w:t>Software-development / Bulgarian uptake partner</w:t>
            </w:r>
          </w:p>
        </w:tc>
        <w:tc>
          <w:tcPr>
            <w:tcW w:type="dxa" w:w="5270"/>
            <w:vAlign w:val="center"/>
          </w:tcPr>
          <w:p>
            <w:pPr>
              <w:spacing w:after="0"/>
            </w:pPr>
            <w:r>
              <w:rPr>
                <w:sz w:val="17"/>
              </w:rPr>
            </w:r>
            <w:r>
              <w:rPr>
                <w:rFonts w:ascii="Times New Roman" w:hAnsi="Times New Roman"/>
                <w:b w:val="0"/>
                <w:sz w:val="17"/>
              </w:rPr>
              <w:t>Krumatic Ltd. (Krumatic EOOD), Bulgaria</w:t>
            </w:r>
          </w:p>
        </w:tc>
      </w:tr>
      <w:tr>
        <w:tc>
          <w:tcPr>
            <w:tcW w:type="dxa" w:w="5270"/>
            <w:vAlign w:val="center"/>
            <w:shd w:fill="EAF0F8"/>
          </w:tcPr>
          <w:p>
            <w:pPr>
              <w:spacing w:after="0"/>
            </w:pPr>
            <w:r>
              <w:rPr>
                <w:sz w:val="17"/>
              </w:rPr>
            </w:r>
            <w:r>
              <w:rPr>
                <w:rFonts w:ascii="Times New Roman" w:hAnsi="Times New Roman"/>
                <w:b/>
                <w:sz w:val="17"/>
              </w:rPr>
              <w:t>Operational evaluator / placement host</w:t>
            </w:r>
          </w:p>
        </w:tc>
        <w:tc>
          <w:tcPr>
            <w:tcW w:type="dxa" w:w="5270"/>
            <w:vAlign w:val="center"/>
            <w:shd w:fill="EAF0F8"/>
          </w:tcPr>
          <w:p>
            <w:pPr>
              <w:spacing w:after="0"/>
            </w:pPr>
            <w:r>
              <w:rPr>
                <w:sz w:val="17"/>
              </w:rPr>
            </w:r>
            <w:r>
              <w:rPr>
                <w:rFonts w:ascii="Times New Roman" w:hAnsi="Times New Roman"/>
                <w:b w:val="0"/>
                <w:sz w:val="17"/>
              </w:rPr>
              <w:t>AgroVIR, Hungary; early consultation M1-M24 and non-academic placement M25-M30</w:t>
            </w:r>
          </w:p>
        </w:tc>
      </w:tr>
    </w:tbl>
    <w:p>
      <w:pPr>
        <w:keepNext w:val="0"/>
        <w:spacing w:after="60" w:line="240" w:lineRule="auto"/>
      </w:pPr>
      <w:r>
        <w:t>Core design principle: FIELDWISE develops a physiologically grounded, plant-based water-stress decision-support framework for irrigated high-value horticultural crops, using processing tomato as the development and validation crop because the consortium already has approximately five years of scientific data, strong crop-specific expertise and established collaborations. HUN-REN-led data integration and modelling predict the biologically defined stress state; ELTE UAV/hyperspectral/EO expertise bridges sensing scales; and a prospectively instrumented commercial farmer site tests the framework under real production conditions. DrR is developed as a crop-configurable MVP with Krumatic coding support and AgroVIR requirements feedback, so the architecture can later be adapted to other irrigated high-value horticultural crops through crop-specific validation and calibration rather than rebuilt from zero.</w:t>
      </w:r>
    </w:p>
    <w:p>
      <w:pPr>
        <w:pStyle w:val="Heading1"/>
        <w:keepNext/>
        <w:spacing w:before="140" w:after="60"/>
      </w:pPr>
      <w:r>
        <w:t>1. EXCELLENCE</w:t>
      </w:r>
    </w:p>
    <w:p>
      <w:pPr>
        <w:pStyle w:val="Heading2"/>
        <w:keepNext/>
        <w:spacing w:before="100" w:after="60"/>
      </w:pPr>
      <w:r>
        <w:t>1.1 Quality and pertinence of the project’s research and innovation objectives and the extent to which they are ambitious and go beyond the state of the art</w:t>
      </w:r>
    </w:p>
    <w:p>
      <w:pPr>
        <w:pStyle w:val="Heading3"/>
        <w:keepNext/>
        <w:spacing w:before="100" w:after="60"/>
      </w:pPr>
      <w:r>
        <w:t>1.1.1 European challenge and scientific rationale</w:t>
      </w:r>
    </w:p>
    <w:p>
      <w:pPr>
        <w:keepNext w:val="0"/>
        <w:spacing w:after="60" w:line="240" w:lineRule="auto"/>
      </w:pPr>
      <w:r>
        <w:t>Water scarcity and increasing climatic variability are intensifying the need for more efficient irrigation management in European high-value horticulture. Processing tomato is used in FIELDWISE as the model crop because water availability strongly influences plant functioning, yield formation, water-use efficiency and fruit quality, while the consortium already has a uniquely strong combination of longitudinal scientific evidence, experimental expertise and established working relationships around this crop. Yet irrigation decisions in horticulture are still frequently based on delayed visual symptoms, isolated sensor thresholds or retrospective crop-performance information.</w:t>
      </w:r>
    </w:p>
    <w:p>
      <w:pPr/>
      <w:r>
        <w:t>Processing tomato is therefore the scientifically justified starting point, not the intended limit of the technology. FIELDWISE will distinguish between (i) a transferable core consisting of the data architecture, physiology-to-prediction workflow, uncertainty logic, sensing-scale integration and irrigation-attention interface, and (ii) crop-specific components such as physiological reference ranges, phenological interpretation, stress thresholds and calibration parameters. The long-term objective is a crop-configurable DrR framework that can be extended to other irrigated high-value horticultural crops once appropriate crop-specific validation data are available. FIELDWISE will not claim that a tomato-trained model can be applied unchanged to every crop; it will build and document the methodology required for scientifically controlled transfer.</w:t>
      </w:r>
    </w:p>
    <w:p>
      <w:pPr>
        <w:keepNext w:val="0"/>
        <w:spacing w:after="60" w:line="240" w:lineRule="auto"/>
      </w:pPr>
      <w:r>
        <w:t>FIELDWISE addresses a more demanding question: can crop water stress be identified in a physiologically meaningful way and predicted from operationally obtainable data early enough to support irrigation management, can that relationship remain reliable when moved from historical research experiments into a new commercial production environment, and can the resulting workflow be structured so that it is transferable to other irrigated high-value horticultural crops through explicit crop-specific adaptation?</w:t>
      </w:r>
    </w:p>
    <w:p>
      <w:pPr>
        <w:keepNext w:val="0"/>
        <w:spacing w:after="60" w:line="240" w:lineRule="auto"/>
      </w:pPr>
      <w:r>
        <w:t>Central challenge: Can a water-stress signal discovered in a data-rich processing-tomato system remain biologically meaningful across seasons and sensing scales, survive prospective validation under real farmer conditions, and be encoded in a crop-configurable decision-support framework that can later be adapted to other irrigated high-value horticultural crops?</w:t>
      </w:r>
    </w:p>
    <w:p>
      <w:pPr>
        <w:pStyle w:val="Heading3"/>
        <w:keepNext/>
        <w:spacing w:before="100" w:after="60"/>
      </w:pPr>
      <w:r>
        <w:t>1.1.2 Why prediction accuracy alone is insufficient</w:t>
      </w:r>
    </w:p>
    <w:p>
      <w:pPr>
        <w:keepNext w:val="0"/>
        <w:spacing w:after="60" w:line="240" w:lineRule="auto"/>
      </w:pPr>
      <w:r>
        <w:t>Agricultural sensing and modelling studies increasingly combine proximal spectroscopy, soil and weather sensing, UAV observations, satellite Earth Observation (EO) and machine learning. However, strong retrospective accuracy does not guarantee operational usefulness. Models may exploit year-, treatment- or site-specific correlations; random train-test splitting may overestimate generalisation; and a diagnosis of established stress may arrive too late to alter irrigation.</w:t>
      </w:r>
    </w:p>
    <w:p>
      <w:pPr>
        <w:keepNext w:val="0"/>
        <w:spacing w:after="60" w:line="240" w:lineRule="auto"/>
      </w:pPr>
      <w:r>
        <w:t>FIELDWISE therefore evaluates success through four linked criteria: physiological validity, predictive performance, transferability to unseen conditions and management relevance. The aim is not to develop novel AI algorithms or maximise the number of models tested, but to identify a parsimonious, interpretable and uncertainty-aware modelling strategy that remains robust under leakage-safe temporal validation and prospective commercial-field testing.</w:t>
      </w:r>
    </w:p>
    <w:p>
      <w:pPr>
        <w:pStyle w:val="Heading3"/>
        <w:keepNext/>
        <w:spacing w:before="100" w:after="60"/>
      </w:pPr>
      <w:r>
        <w:t>1.1.3 Preliminary basis: DrR - Digital Agronomist</w:t>
      </w:r>
    </w:p>
    <w:p>
      <w:pPr>
        <w:keepNext w:val="0"/>
        <w:spacing w:after="60" w:line="240" w:lineRule="auto"/>
      </w:pPr>
      <w:r>
        <w:t>DrR - Digital Agronomist is a pre-existing research tool initiated and developed independently by the fellow, Rositsa Cholakova, using her own time and personal financial resources. It was not commissioned or financed as an institutional software-development project by the Maritsa Vegetable Crops Research Institute (MVCRI). The fellow currently uses DrR in the conduct of her own research activities at MVCRI as a data-collection, monitoring and integration tool for field sensors, environmental observations and Sentinel-2-derived information. At this stage DrR is not a validated irrigation advisory product and should not be described as an institutional MVCRI software platform. It constitutes pre-existing project background whose ownership, version and access conditions will be documented before the MSCA action starts.</w:t>
      </w:r>
    </w:p>
    <w:p>
      <w:pPr>
        <w:keepNext w:val="0"/>
        <w:spacing w:after="60" w:line="240" w:lineRule="auto"/>
      </w:pPr>
      <w:r>
        <w:t>FIELDWISE will use this existing prototype as a research-to-application vehicle rather than making software development the scientific objective of the fellowship. The scientific work will define physiologically meaningful plant water stress, identify robust predictors, quantify uncertainty and validate performance under unseen and prospective field conditions. Only validated scientific components will then be progressively incorporated into DrR. The intended pathway is: existing monitoring/data-integration tool -&gt; FIELDWISE physiological and modelling research -&gt; scientifically validated stress-prediction component -&gt; crop-configurable decision-support architecture -&gt; web MVP -&gt; operational farmer-oriented evaluation. Krumatic will support software engineering, while AgroVIR will provide requirements-oriented consultation from project start and later operational/FMIS evaluation. The software follows the science, not the other way around.</w:t>
      </w:r>
    </w:p>
    <w:p>
      <w:pPr>
        <w:pStyle w:val="Heading3"/>
        <w:keepNext/>
        <w:spacing w:before="100" w:after="60"/>
      </w:pPr>
      <w:r>
        <w:t>1.1.4 Three focused scientific gaps</w:t>
      </w:r>
    </w:p>
    <w:p>
      <w:pPr>
        <w:keepNext w:val="0"/>
        <w:spacing w:after="60" w:line="240" w:lineRule="auto"/>
      </w:pPr>
      <w:r>
        <w:rPr>
          <w:b/>
        </w:rPr>
        <w:t xml:space="preserve">G1 - </w:t>
      </w:r>
      <w:r>
        <w:t>Physiological grounding of plant water-stress indicators</w:t>
      </w:r>
    </w:p>
    <w:p>
      <w:pPr>
        <w:keepNext w:val="0"/>
        <w:spacing w:after="60" w:line="240" w:lineRule="auto"/>
      </w:pPr>
      <w:r>
        <w:t>Spectral and environmental variables are often treated as stress proxies without demonstrating that they correspond to actual plant responses. FIELDWISE will define a physiologically meaningful stress target and identify a restricted set of proximal spectral, soil-water and meteorological indicators that track that target.</w:t>
      </w:r>
    </w:p>
    <w:p>
      <w:pPr>
        <w:keepNext w:val="0"/>
        <w:spacing w:after="60" w:line="240" w:lineRule="auto"/>
      </w:pPr>
      <w:r>
        <w:t>G2 - Transferability across unseen conditions, sensing scales and horticultural crops</w:t>
      </w:r>
    </w:p>
    <w:p>
      <w:pPr>
        <w:keepNext w:val="0"/>
        <w:spacing w:after="60" w:line="240" w:lineRule="auto"/>
      </w:pPr>
      <w:r>
        <w:t>The MATE archive provides valuable multi-year processing-tomato information, but relationships learned from controlled research plots may not survive a new production environment and cannot automatically be assumed to hold for other crops. FIELDWISE therefore separates three levels of transferability: temporal transfer across unseen years; environmental transfer from research experiments to an independent commercial field; and methodological/crop transfer, in which the stable data architecture and decision workflow are separated from crop-specific physiological targets and calibration parameters. UAV observations bridge plant/plot measurements toward field-scale Sentinel-2 monitoring where pixel support is physically meaningful.</w:t>
      </w:r>
    </w:p>
    <w:p>
      <w:pPr>
        <w:keepNext w:val="0"/>
        <w:spacing w:after="60" w:line="240" w:lineRule="auto"/>
      </w:pPr>
      <w:r>
        <w:rPr>
          <w:b/>
        </w:rPr>
        <w:t xml:space="preserve">G3 - </w:t>
      </w:r>
      <w:r>
        <w:t>Irrigation decision relevance</w:t>
      </w:r>
    </w:p>
    <w:p>
      <w:pPr>
        <w:keepNext w:val="0"/>
        <w:spacing w:after="60" w:line="240" w:lineRule="auto"/>
      </w:pPr>
      <w:r>
        <w:t>A model may be statistically accurate yet provide little management value if warnings are unstable, uncertain or too late. FIELDWISE will translate validated stress predictions into interpretable irrigation-attention information and evaluate usability and interoperability through AgroVIR.</w:t>
      </w:r>
    </w:p>
    <w:p>
      <w:pPr>
        <w:pStyle w:val="Heading3"/>
        <w:keepNext/>
        <w:spacing w:before="100" w:after="60"/>
      </w:pPr>
      <w:r>
        <w:t>1.1.5 Central research question</w:t>
      </w:r>
    </w:p>
    <w:p>
      <w:pPr>
        <w:keepNext w:val="0"/>
        <w:spacing w:after="60" w:line="240" w:lineRule="auto"/>
      </w:pPr>
      <w:r>
        <w:t>Can physiologically grounded water-stress signatures derived from heterogeneous multi-year processing-tomato observations be converted into a parsimonious predictive framework that remains reliable under unseen-year and prospective commercial-field validation, and can the validated architecture be made crop-configurable so that the same physiology-to-decision workflow can later be transferred to other irrigated high-value horticultural crops through explicit crop-specific validation and calibration?</w:t>
      </w:r>
    </w:p>
    <w:p>
      <w:pPr>
        <w:pStyle w:val="Heading3"/>
        <w:keepNext/>
        <w:spacing w:before="100" w:after="60"/>
      </w:pPr>
      <w:r>
        <w:t>1.1.6 Research questions</w:t>
      </w:r>
    </w:p>
    <w:p>
      <w:pPr>
        <w:pStyle w:val="ListBullet"/>
        <w:spacing w:after="30"/>
        <w:ind w:left="259" w:hanging="144"/>
      </w:pPr>
      <w:r>
        <w:rPr>
          <w:rFonts w:ascii="Times New Roman" w:hAnsi="Times New Roman"/>
          <w:sz w:val="20"/>
        </w:rPr>
        <w:t>RQ1. Which soil-water, meteorological, physiological and proximal spectral variables provide the most robust indication of developing water stress in processing tomato across the heterogeneous 2022-2026 MATE archive?</w:t>
      </w:r>
    </w:p>
    <w:p>
      <w:pPr>
        <w:pStyle w:val="ListBullet"/>
        <w:spacing w:after="30"/>
        <w:ind w:left="259" w:hanging="144"/>
      </w:pPr>
      <w:r>
        <w:rPr>
          <w:rFonts w:ascii="Times New Roman" w:hAnsi="Times New Roman"/>
          <w:sz w:val="20"/>
        </w:rPr>
        <w:t>RQ2. Can a parsimonious process-informed/AI-supported model predict the defined physiological stress state from operationally obtainable data streams that can be integrated through DrR?</w:t>
      </w:r>
    </w:p>
    <w:p>
      <w:pPr>
        <w:pStyle w:val="ListBullet"/>
        <w:spacing w:after="30"/>
        <w:ind w:left="259" w:hanging="144"/>
      </w:pPr>
      <w:r>
        <w:rPr>
          <w:rFonts w:ascii="Times New Roman" w:hAnsi="Times New Roman"/>
          <w:sz w:val="20"/>
        </w:rPr>
        <w:t>RQ3. Which relationships remain stable under blocked unseen-year validation and when transferred prospectively to an independent commercial farmer field, and what limited recalibration is required if transfer is incomplete?</w:t>
      </w:r>
    </w:p>
    <w:p>
      <w:pPr>
        <w:pStyle w:val="ListBullet"/>
        <w:spacing w:after="30"/>
        <w:ind w:left="259" w:hanging="144"/>
      </w:pPr>
      <w:r>
        <w:rPr>
          <w:rFonts w:ascii="Times New Roman" w:hAnsi="Times New Roman"/>
          <w:sz w:val="20"/>
        </w:rPr>
        <w:t>RQ4. Which physiological and proximal signals can be translated across sensing scales through ELTE UAV/hyperspectral expertise toward Sentinel-2 field monitoring without assuming equivalence between leaf-, plot- and satellite-scale measurements?</w:t>
      </w:r>
    </w:p>
    <w:p>
      <w:pPr>
        <w:pStyle w:val="ListBullet"/>
        <w:spacing w:after="30"/>
        <w:ind w:left="259" w:hanging="144"/>
      </w:pPr>
      <w:r>
        <w:t>RQ5. Can the validated framework be implemented incrementally in a crop-configurable web MVP that meets scientifically defined performance gates and practical AgroVIR usability/interoperability requirements while clearly separating reusable system components from crop-specific calibration parameters?</w:t>
      </w:r>
    </w:p>
    <w:p>
      <w:pPr>
        <w:pStyle w:val="Heading3"/>
        <w:keepNext/>
        <w:spacing w:before="100" w:after="60"/>
      </w:pPr>
      <w:r>
        <w:t>1.1.7 Hypotheses</w:t>
      </w:r>
    </w:p>
    <w:p>
      <w:pPr>
        <w:pStyle w:val="ListBullet"/>
        <w:spacing w:after="30"/>
        <w:ind w:left="259" w:hanging="144"/>
      </w:pPr>
      <w:r>
        <w:rPr>
          <w:rFonts w:ascii="Times New Roman" w:hAnsi="Times New Roman"/>
          <w:sz w:val="20"/>
        </w:rPr>
        <w:t>H1 - Physiological signature hypothesis. Declining soil-water availability and increasing atmospheric demand produce coordinated plant responses that can be captured by a parsimonious subset of proximal spectral and environmental indicators.</w:t>
      </w:r>
    </w:p>
    <w:p>
      <w:pPr>
        <w:pStyle w:val="ListBullet"/>
        <w:spacing w:after="30"/>
        <w:ind w:left="259" w:hanging="144"/>
      </w:pPr>
      <w:r>
        <w:t>H2 - Transferability hypothesis. Performance will decrease when moving from internal fitting to unseen-year and independent commercial-field validation, but a stable core of the physiology-to-prediction workflow can be identified. That transferable core will form the basis for later extension to other irrigated high-value horticultural crops, while crop-specific physiological targets, phenological interpretation and calibration will be treated explicitly rather than assumed universal.</w:t>
      </w:r>
    </w:p>
    <w:p>
      <w:pPr>
        <w:pStyle w:val="ListBullet"/>
        <w:spacing w:after="30"/>
        <w:ind w:left="259" w:hanging="144"/>
      </w:pPr>
      <w:r>
        <w:rPr>
          <w:rFonts w:ascii="Times New Roman" w:hAnsi="Times New Roman"/>
          <w:sz w:val="20"/>
        </w:rPr>
        <w:t>H3 - Scale-transition hypothesis. Physiologically meaningful proximal signatures will not map one-to-one to satellite bands, but a subset of relationships can be retained through explicit hyperspectral/UAV-to-Sentinel harmonisation at spatial scales where field geometry supports valid EO interpretation.</w:t>
      </w:r>
    </w:p>
    <w:p>
      <w:pPr>
        <w:pStyle w:val="ListBullet"/>
        <w:spacing w:after="30"/>
        <w:ind w:left="259" w:hanging="144"/>
      </w:pPr>
      <w:r>
        <w:rPr>
          <w:rFonts w:ascii="Times New Roman" w:hAnsi="Times New Roman"/>
          <w:sz w:val="20"/>
        </w:rPr>
        <w:t>H4 - Operational relevance hypothesis. A model selected for physiological validity, calibration, uncertainty and stability will provide more useful irrigation-attention information than one selected solely for retrospective predictive accuracy.</w:t>
      </w:r>
    </w:p>
    <w:p>
      <w:pPr>
        <w:pStyle w:val="Heading3"/>
        <w:keepNext/>
        <w:spacing w:before="100" w:after="60"/>
      </w:pPr>
      <w:r>
        <w:t>1.1.8 Objectives and measurable outputs</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Pr>
                <w:sz w:val="17"/>
              </w:rPr>
            </w:r>
            <w:r>
              <w:rPr>
                <w:rFonts w:ascii="Times New Roman" w:hAnsi="Times New Roman"/>
                <w:b/>
                <w:sz w:val="16"/>
              </w:rPr>
              <w:t>Objective</w:t>
            </w:r>
          </w:p>
        </w:tc>
        <w:tc>
          <w:tcPr>
            <w:tcW w:type="dxa" w:w="3513"/>
            <w:vAlign w:val="center"/>
            <w:shd w:fill="D9EAF7"/>
          </w:tcPr>
          <w:p>
            <w:pPr>
              <w:spacing w:after="0"/>
            </w:pPr>
            <w:r>
              <w:rPr>
                <w:sz w:val="17"/>
              </w:rPr>
            </w:r>
            <w:r>
              <w:rPr>
                <w:rFonts w:ascii="Times New Roman" w:hAnsi="Times New Roman"/>
                <w:b/>
                <w:sz w:val="16"/>
              </w:rPr>
              <w:t>Purpose</w:t>
            </w:r>
          </w:p>
        </w:tc>
        <w:tc>
          <w:tcPr>
            <w:tcW w:type="dxa" w:w="3513"/>
            <w:vAlign w:val="center"/>
            <w:shd w:fill="D9EAF7"/>
          </w:tcPr>
          <w:p>
            <w:pPr>
              <w:spacing w:after="0"/>
            </w:pPr>
            <w:r>
              <w:rPr>
                <w:sz w:val="17"/>
              </w:rPr>
            </w:r>
            <w:r>
              <w:rPr>
                <w:rFonts w:ascii="Times New Roman" w:hAnsi="Times New Roman"/>
                <w:b/>
                <w:sz w:val="16"/>
              </w:rPr>
              <w:t>Verification / output</w:t>
            </w:r>
          </w:p>
        </w:tc>
      </w:tr>
      <w:tr>
        <w:tc>
          <w:tcPr>
            <w:tcW w:type="dxa" w:w="3513"/>
            <w:vAlign w:val="center"/>
          </w:tcPr>
          <w:p>
            <w:pPr>
              <w:spacing w:after="0"/>
            </w:pPr>
            <w:r>
              <w:rPr>
                <w:sz w:val="17"/>
              </w:rPr>
            </w:r>
            <w:r>
              <w:rPr>
                <w:rFonts w:ascii="Times New Roman" w:hAnsi="Times New Roman"/>
                <w:b w:val="0"/>
                <w:sz w:val="16"/>
              </w:rPr>
              <w:t>O1</w:t>
            </w:r>
          </w:p>
        </w:tc>
        <w:tc>
          <w:tcPr>
            <w:tcW w:type="dxa" w:w="3513"/>
            <w:vAlign w:val="center"/>
          </w:tcPr>
          <w:p>
            <w:pPr>
              <w:spacing w:after="0"/>
            </w:pPr>
            <w:r>
              <w:rPr>
                <w:sz w:val="17"/>
              </w:rPr>
            </w:r>
            <w:r>
              <w:rPr>
                <w:rFonts w:ascii="Times New Roman" w:hAnsi="Times New Roman"/>
                <w:b w:val="0"/>
                <w:sz w:val="16"/>
              </w:rPr>
              <w:t>Harmonise the heterogeneous 2022-2026 MATE archive and define a physiologically meaningful water-stress target.</w:t>
            </w:r>
          </w:p>
        </w:tc>
        <w:tc>
          <w:tcPr>
            <w:tcW w:type="dxa" w:w="3513"/>
            <w:vAlign w:val="center"/>
          </w:tcPr>
          <w:p>
            <w:pPr>
              <w:spacing w:after="0"/>
            </w:pPr>
            <w:r>
              <w:rPr>
                <w:sz w:val="17"/>
              </w:rPr>
            </w:r>
            <w:r>
              <w:rPr>
                <w:rFonts w:ascii="Times New Roman" w:hAnsi="Times New Roman"/>
                <w:b w:val="0"/>
                <w:sz w:val="16"/>
              </w:rPr>
              <w:t>QC-controlled common-variable matrix; missingness/measurement-frequency map; target and validation protocol.</w:t>
            </w:r>
          </w:p>
        </w:tc>
      </w:tr>
      <w:tr>
        <w:tc>
          <w:tcPr>
            <w:tcW w:type="dxa" w:w="3513"/>
            <w:vAlign w:val="center"/>
          </w:tcPr>
          <w:p>
            <w:pPr>
              <w:spacing w:after="0"/>
            </w:pPr>
            <w:r>
              <w:rPr>
                <w:sz w:val="17"/>
              </w:rPr>
            </w:r>
            <w:r>
              <w:rPr>
                <w:rFonts w:ascii="Times New Roman" w:hAnsi="Times New Roman"/>
                <w:b w:val="0"/>
                <w:sz w:val="16"/>
              </w:rPr>
              <w:t>O2</w:t>
            </w:r>
          </w:p>
        </w:tc>
        <w:tc>
          <w:tcPr>
            <w:tcW w:type="dxa" w:w="3513"/>
            <w:vAlign w:val="center"/>
          </w:tcPr>
          <w:p>
            <w:pPr>
              <w:spacing w:after="0"/>
            </w:pPr>
            <w:r>
              <w:rPr>
                <w:sz w:val="17"/>
              </w:rPr>
              <w:t>Develop a parsimonious, interpretable and uncertainty-aware predictive framework under HUN-REN supervision, with ELTE spectral/EO harmonisation, and separate reusable system components from crop-specific biological/calibration parameters.</w:t>
            </w:r>
          </w:p>
        </w:tc>
        <w:tc>
          <w:tcPr>
            <w:tcW w:type="dxa" w:w="3513"/>
            <w:vAlign w:val="center"/>
          </w:tcPr>
          <w:p>
            <w:pPr>
              <w:spacing w:after="0"/>
            </w:pPr>
            <w:r>
              <w:rPr>
                <w:sz w:val="17"/>
              </w:rPr>
              <w:t>Ranked predictor set; primary model and nonlinear benchmark where justified; calibration/uncertainty assessment; model card; crop-transfer specification.</w:t>
            </w:r>
          </w:p>
        </w:tc>
      </w:tr>
      <w:tr>
        <w:tc>
          <w:tcPr>
            <w:tcW w:type="dxa" w:w="3513"/>
            <w:vAlign w:val="center"/>
          </w:tcPr>
          <w:p>
            <w:pPr>
              <w:spacing w:after="0"/>
            </w:pPr>
            <w:r>
              <w:rPr>
                <w:sz w:val="17"/>
              </w:rPr>
            </w:r>
            <w:r>
              <w:rPr>
                <w:rFonts w:ascii="Times New Roman" w:hAnsi="Times New Roman"/>
                <w:b w:val="0"/>
                <w:sz w:val="16"/>
              </w:rPr>
              <w:t>O3</w:t>
            </w:r>
          </w:p>
        </w:tc>
        <w:tc>
          <w:tcPr>
            <w:tcW w:type="dxa" w:w="3513"/>
            <w:vAlign w:val="center"/>
          </w:tcPr>
          <w:p>
            <w:pPr>
              <w:spacing w:after="0"/>
            </w:pPr>
            <w:r>
              <w:rPr>
                <w:sz w:val="17"/>
              </w:rPr>
            </w:r>
            <w:r>
              <w:rPr>
                <w:rFonts w:ascii="Times New Roman" w:hAnsi="Times New Roman"/>
                <w:b w:val="0"/>
                <w:sz w:val="16"/>
              </w:rPr>
              <w:t>Prospectively validate the framework at an independent commercial farmer site equipped with project meteorological and soil sensing, supported by physiological, proximal, UAV and Sentinel observations.</w:t>
            </w:r>
          </w:p>
        </w:tc>
        <w:tc>
          <w:tcPr>
            <w:tcW w:type="dxa" w:w="3513"/>
            <w:vAlign w:val="center"/>
          </w:tcPr>
          <w:p>
            <w:pPr>
              <w:spacing w:after="0"/>
            </w:pPr>
            <w:r>
              <w:rPr>
                <w:sz w:val="17"/>
              </w:rPr>
            </w:r>
            <w:r>
              <w:rPr>
                <w:rFonts w:ascii="Times New Roman" w:hAnsi="Times New Roman"/>
                <w:b w:val="0"/>
                <w:sz w:val="16"/>
              </w:rPr>
              <w:t>Prospective validation dataset; unseen-environment benchmark; spatial scaling assessment; limited-recalibration protocol if required.</w:t>
            </w:r>
          </w:p>
        </w:tc>
      </w:tr>
      <w:tr>
        <w:tc>
          <w:tcPr>
            <w:tcW w:type="dxa" w:w="3513"/>
            <w:vAlign w:val="center"/>
          </w:tcPr>
          <w:p>
            <w:pPr>
              <w:spacing w:after="0"/>
            </w:pPr>
            <w:r>
              <w:rPr>
                <w:sz w:val="17"/>
              </w:rPr>
            </w:r>
            <w:r>
              <w:rPr>
                <w:rFonts w:ascii="Times New Roman" w:hAnsi="Times New Roman"/>
                <w:b w:val="0"/>
                <w:sz w:val="16"/>
              </w:rPr>
              <w:t>O4</w:t>
            </w:r>
          </w:p>
        </w:tc>
        <w:tc>
          <w:tcPr>
            <w:tcW w:type="dxa" w:w="3513"/>
            <w:vAlign w:val="center"/>
          </w:tcPr>
          <w:p>
            <w:pPr>
              <w:spacing w:after="0"/>
            </w:pPr>
            <w:r>
              <w:rPr>
                <w:sz w:val="17"/>
              </w:rPr>
              <w:t>Operationalise validated outputs in a crop-configurable DrR architecture through continuous Krumatic software development and AgroVIR requirements feedback, followed by industrial evaluation in M25-M30.</w:t>
            </w:r>
          </w:p>
        </w:tc>
        <w:tc>
          <w:tcPr>
            <w:tcW w:type="dxa" w:w="3513"/>
            <w:vAlign w:val="center"/>
          </w:tcPr>
          <w:p>
            <w:pPr>
              <w:spacing w:after="0"/>
            </w:pPr>
            <w:r>
              <w:rPr>
                <w:sz w:val="17"/>
              </w:rPr>
              <w:t>Web MVP with validated processing-tomato module; irrigation-attention output; crop-extension specification; AgroVIR requirements/interoperability report; post-MSCA integration and exploitation roadmap.</w:t>
            </w:r>
          </w:p>
        </w:tc>
      </w:tr>
    </w:tbl>
    <w:p>
      <w:pPr>
        <w:pStyle w:val="Heading3"/>
        <w:keepNext/>
        <w:spacing w:before="100" w:after="60"/>
      </w:pPr>
      <w:r>
        <w:t>1.1.9 Ambition beyond the state of the art</w:t>
      </w:r>
    </w:p>
    <w:p>
      <w:pPr>
        <w:keepNext w:val="0"/>
        <w:spacing w:after="60" w:line="240" w:lineRule="auto"/>
      </w:pPr>
      <w:r>
        <w:t>FIELDWISE is ambitious because it connects biological truth, rigorous transferability testing, sensing scale and operational decision support within one validation chain, while deliberately designing the resulting digital framework for reuse beyond the development crop. It does not assume that a vegetation index is equivalent to water stress, that proximal and satellite indices are interchangeable, that internal cross-validation proves field transferability, or that one tomato-trained model can be transferred unchanged to another horticultural crop.</w:t>
      </w:r>
    </w:p>
    <w:p>
      <w:pPr>
        <w:pStyle w:val="ListBullet"/>
        <w:spacing w:after="30"/>
        <w:ind w:left="259" w:hanging="144"/>
      </w:pPr>
      <w:r>
        <w:rPr>
          <w:rFonts w:ascii="Times New Roman" w:hAnsi="Times New Roman"/>
          <w:sz w:val="20"/>
        </w:rPr>
        <w:t>Stress proxy -&gt; physiologically defined stress target</w:t>
      </w:r>
    </w:p>
    <w:p>
      <w:pPr>
        <w:pStyle w:val="ListBullet"/>
        <w:spacing w:after="30"/>
        <w:ind w:left="259" w:hanging="144"/>
      </w:pPr>
      <w:r>
        <w:rPr>
          <w:rFonts w:ascii="Times New Roman" w:hAnsi="Times New Roman"/>
          <w:sz w:val="20"/>
        </w:rPr>
        <w:t>Heterogeneous five-season archive -&gt; explicit common-variable/missingness design</w:t>
      </w:r>
    </w:p>
    <w:p>
      <w:pPr>
        <w:pStyle w:val="ListBullet"/>
        <w:spacing w:after="30"/>
        <w:ind w:left="259" w:hanging="144"/>
      </w:pPr>
      <w:r>
        <w:rPr>
          <w:rFonts w:ascii="Times New Roman" w:hAnsi="Times New Roman"/>
          <w:sz w:val="20"/>
        </w:rPr>
        <w:t>Internal fit -&gt; blocked unseen-year validation -&gt; independent commercial-field validation</w:t>
      </w:r>
    </w:p>
    <w:p>
      <w:pPr>
        <w:pStyle w:val="ListBullet"/>
        <w:spacing w:after="30"/>
        <w:ind w:left="259" w:hanging="144"/>
      </w:pPr>
      <w:r>
        <w:rPr>
          <w:rFonts w:ascii="Times New Roman" w:hAnsi="Times New Roman"/>
          <w:sz w:val="20"/>
        </w:rPr>
        <w:t>Leaf/proximal sensing -&gt; ELTE hyperspectral/UAV bridge -&gt; Sentinel-2 field-scale operational inputs</w:t>
      </w:r>
    </w:p>
    <w:p>
      <w:pPr>
        <w:pStyle w:val="ListBullet"/>
        <w:spacing w:after="30"/>
        <w:ind w:left="259" w:hanging="144"/>
      </w:pPr>
      <w:r>
        <w:rPr>
          <w:rFonts w:ascii="Times New Roman" w:hAnsi="Times New Roman"/>
          <w:sz w:val="20"/>
        </w:rPr>
        <w:t>Standalone model -&gt; continuously developed DrR web MVP -&gt; AgroVIR industrial evaluation</w:t>
      </w:r>
    </w:p>
    <w:p>
      <w:pPr>
        <w:pStyle w:val="ListBullet"/>
        <w:spacing w:after="30"/>
        <w:ind w:left="259" w:hanging="144"/>
      </w:pPr>
      <w:r>
        <w:rPr>
          <w:rFonts w:ascii="Times New Roman" w:hAnsi="Times New Roman"/>
          <w:sz w:val="20"/>
        </w:rPr>
        <w:t>Academic-only validation -&gt; farmer-facing real-world test plus a defined post-MSCA Bulgarian replication route through MVCRI</w:t>
      </w:r>
    </w:p>
    <w:p>
      <w:pPr>
        <w:pStyle w:val="ListBullet"/>
      </w:pPr>
      <w:r>
        <w:t>Tomato-specific prototype -&gt; crop-configurable high-value-horticulture framework with explicit crop-specific validation/calibration gates</w:t>
      </w:r>
    </w:p>
    <w:p>
      <w:pPr>
        <w:pStyle w:val="Heading2"/>
        <w:keepNext/>
        <w:spacing w:before="100" w:after="60"/>
      </w:pPr>
      <w:r>
        <w:t>1.2 Soundness of the proposed methodology</w:t>
      </w:r>
    </w:p>
    <w:p>
      <w:pPr>
        <w:pStyle w:val="Heading3"/>
        <w:keepNext/>
        <w:spacing w:before="100" w:after="60"/>
      </w:pPr>
      <w:r>
        <w:t>1.2.1 Overall methodological architecture</w:t>
      </w:r>
    </w:p>
    <w:p>
      <w:pPr>
        <w:keepNext w:val="0"/>
        <w:spacing w:after="60" w:line="240" w:lineRule="auto"/>
      </w:pPr>
      <w:r>
        <w:t>FIELDWISE uses a two-layer validation logic. The reference layer defines and independently measures plant water stress using physiology, soil-water status, proximal spectral sensing and thermal indicators. The operational layer uses data streams that can realistically feed DrR at field scale - soil sensors, meteorology, Sentinel-2 and management metadata - to predict that reference stress state. A third design principle separates the reusable framework from crop-specific parameters: data ingestion, model governance, uncertainty handling and irrigation-attention logic are designed as transferable components, whereas physiological targets, phenological interpretation, thresholds and calibration remain crop-specific. This separation prevents circular validation and creates a scientifically controlled route for later transfer beyond processing tomato.</w:t>
      </w:r>
    </w:p>
    <w:p>
      <w:pPr>
        <w:keepNext w:val="0"/>
        <w:spacing w:after="60" w:line="240" w:lineRule="auto"/>
      </w:pPr>
      <w:r>
        <w:t>The historical MATE archive is structured, moderate-sized and manually collected. It will not be treated as big data. Modelling will prioritise statistical validity, biological interpretability, temporal leakage control and uncertainty communication over computational complexity.</w:t>
      </w:r>
    </w:p>
    <w:p>
      <w:pPr>
        <w:pStyle w:val="Heading3"/>
        <w:keepNext/>
        <w:spacing w:before="100" w:after="60"/>
      </w:pPr>
      <w:r>
        <w:t>Stage 1 - MATE historical knowledge base and target definition</w:t>
      </w:r>
    </w:p>
    <w:p>
      <w:pPr>
        <w:keepNext w:val="0"/>
        <w:spacing w:after="60" w:line="240" w:lineRule="auto"/>
      </w:pPr>
      <w:r>
        <w:t>MATE provides approximately five experimental seasons of processing-tomato observations (2022-2026), which is the principal reason processing tomato is used as the FIELDWISE development crop. The archive is heterogeneous rather than perfectly balanced, but it gives the project a longitudinal evidence base that would be costly and time-consuming to recreate for another horticultural crop at project start. Variables available across the period include combinations of soil moisture at 15 and/or 30 cm, stomatal resistance/conductance measurements, SPAD, VIS-NIR leaf reflectance (approximately 325-1075 nm), VIS-NIR-SWIR reflectance (approximately 350-2500 nm in later seasons), meteorology, leaf-surface temperature, CWSI in later seasons, chlorophyll/carotenoid and relative water content measurements in selected years, UAV imagery in 2025-2026, and irrigation treatments including unirrigated and approximately 50%, 75% and 100% water treatments.</w:t>
      </w:r>
    </w:p>
    <w:p>
      <w:pPr>
        <w:keepNext w:val="0"/>
        <w:spacing w:after="60" w:line="240" w:lineRule="auto"/>
      </w:pPr>
      <w:r>
        <w:t>FIELDWISE will explicitly record missingness, measurement frequency and experimental hierarchy by year. The effective statistical unit will follow the experimental design and repeated-measure structure; pseudo-replication will be avoided. The primary stress target will be selected after the audit from the most consistently available and biologically defensible plant/soil-water response, while secondary physiological variables will serve as corroborating endpoints.</w:t>
      </w:r>
    </w:p>
    <w:p>
      <w:pPr>
        <w:pStyle w:val="Heading3"/>
        <w:keepNext/>
        <w:spacing w:before="100" w:after="60"/>
      </w:pPr>
      <w:r>
        <w:t>Stage 2 - Proximal stress signatures, remote-sensing harmonisation and predictive modelling</w:t>
      </w:r>
    </w:p>
    <w:p>
      <w:pPr>
        <w:keepNext w:val="0"/>
        <w:spacing w:after="60" w:line="240" w:lineRule="auto"/>
      </w:pPr>
      <w:r>
        <w:t>Historical proximal spectral observations will be screened according to physiological association, treatment sensitivity, temporal stability and redundancy. High-dimensional spectral information will be reduced conservatively before modelling. ELTE will guide spectral harmonisation and the interpretation of what can and cannot be transferred across proximal, hyperspectral, UAV and Sentinel sensing scales.</w:t>
      </w:r>
    </w:p>
    <w:p>
      <w:pPr>
        <w:keepNext w:val="0"/>
        <w:spacing w:after="60" w:line="240" w:lineRule="auto"/>
      </w:pPr>
      <w:r>
        <w:t>Under primary supervision by Dr. Roland Hollós at HUN-REN, the modelling framework will combine process-informed predictors derived from soil-water, meteorological and irrigation information with a transparent statistical baseline and, where justified by effective sample size, one established nonlinear machine-learning benchmark. Model selection will consider predictive error, calibration, uncertainty, interpretability and blocked temporal performance. The project will apply established AI/ML approaches rather than develop new algorithms.</w:t>
      </w:r>
    </w:p>
    <w:p>
      <w:pPr>
        <w:pStyle w:val="Heading3"/>
        <w:keepNext/>
        <w:spacing w:before="100" w:after="60"/>
      </w:pPr>
      <w:r>
        <w:t>Stage 3 - Independent prospective validation at a commercial farmer site</w:t>
      </w:r>
    </w:p>
    <w:p>
      <w:pPr>
        <w:keepNext w:val="0"/>
        <w:spacing w:after="60" w:line="240" w:lineRule="auto"/>
      </w:pPr>
      <w:r>
        <w:t>The principal new FIELDWISE trial will be conducted with a commercial farmer in Hungary with whom the fellow, Rositsa Cholakova, has previously worked and already has an established professional relationship. The farmer will be introduced to the consortium by the fellow. The site offers practical capacity for crop husbandry and plant care but does not currently operate the advanced monitoring infrastructure required by FIELDWISE. A written field-access and measurement arrangement will therefore be obtained before the campaign.</w:t>
      </w:r>
    </w:p>
    <w:p>
      <w:pPr>
        <w:keepNext w:val="0"/>
        <w:spacing w:after="60" w:line="240" w:lineRule="auto"/>
      </w:pPr>
      <w:r>
        <w:t>At the start of the validation campaign, FIELDWISE will install an automated meteorological station and soil sensors sufficient to create a continuous environmental record around scheduled plant measurements. The minimum monitoring set will include soil moisture at predefined depths, air temperature, relative humidity, precipitation and the meteorological variables needed to characterise atmospheric water demand, together with documented irrigation timing/amounts and management/phenology records.</w:t>
      </w:r>
    </w:p>
    <w:p>
      <w:pPr>
        <w:keepNext w:val="0"/>
        <w:spacing w:after="60" w:line="240" w:lineRule="auto"/>
      </w:pPr>
      <w:r>
        <w:t>The farmer will provide the field, routine crop management, agreed irrigation implementation and access for scheduled research activities. Specialised scientific measurements will remain the responsibility of the fellow and scientific partners. The fellow will coordinate the validation protocol, sensor installation and quality control, measurement dates, data synchronisation and partner communication.</w:t>
      </w:r>
    </w:p>
    <w:p>
      <w:pPr>
        <w:keepNext w:val="0"/>
        <w:spacing w:after="60" w:line="240" w:lineRule="auto"/>
      </w:pPr>
      <w:r>
        <w:t>Prospective reference measurements will include, according to validated protocol and instrument availability, stomatal resistance/conductance, SPAD/chlorophyll status, leaf temperature, CWSI/thermal indicators, relative water content where justified, proximal spectral measurements, and other physiological endpoints required to confirm the biological stress state. The new site is intentionally independent from the historical MATE experiments: it tests whether learned relationships survive a real production environment that was not used to establish them.</w:t>
      </w:r>
    </w:p>
    <w:p>
      <w:pPr>
        <w:pStyle w:val="Heading3"/>
        <w:keepNext/>
        <w:spacing w:before="100" w:after="60"/>
      </w:pPr>
      <w:r>
        <w:t>Stage 4 - UAV/Sentinel scale transition and contingency pathway</w:t>
      </w:r>
    </w:p>
    <w:p>
      <w:pPr>
        <w:keepNext w:val="0"/>
        <w:spacing w:after="60" w:line="240" w:lineRule="auto"/>
      </w:pPr>
      <w:r>
        <w:t>ELTE will provide the principal UAV, hyperspectral and geoinformatics capability for the spatial component. UAV campaigns will be scheduled around key physiological measurement dates to bridge plant/plot observations to field-scale patterns. Sentinel-2 will be used only where field geometry and valid-pixel support permit physically meaningful interpretation. The project will not force treatment-level satellite analysis in spatial settings that are too small for 10 m pixels.</w:t>
      </w:r>
    </w:p>
    <w:p>
      <w:pPr>
        <w:keepNext w:val="0"/>
        <w:spacing w:after="60" w:line="240" w:lineRule="auto"/>
      </w:pPr>
      <w:r>
        <w:t>The fellow holds an EU A1/A3 UAV pilot licence and will conduct or co-conduct UAV measurements within the applicable regulatory and institutional framework, supported by Dr. Zsófia Varga for flight planning, sensor operation and data-acquisition practice. ELTE instrument use will be governed by a written access arrangement specifying the platform/sensors, operator responsibilities, sites, measurement periods and terms of use.</w:t>
      </w:r>
    </w:p>
    <w:p>
      <w:pPr>
        <w:keepNext w:val="0"/>
        <w:spacing w:after="60" w:line="240" w:lineRule="auto"/>
      </w:pPr>
      <w:r>
        <w:t>If the primary commercial field becomes unavailable, a contingency route will be pursued through the Bulgarian Republican Self-Government in Hungary and the Hungarian Open-Air Ethnographic Museum (Skanzen) in Szentendre, where a larger model Bulgarian garden is being developed to demonstrate traditional Bulgarian gardening and high-value horticultural crops, beginning with Bulgarian tomato varieties. This site will be treated as a contingency/complementary option only after formal agreement and confirmation that plot size, management and measurement access are scientifically suitable. It will not be presented as a guaranteed second experiment.</w:t>
      </w:r>
    </w:p>
    <w:p>
      <w:pPr>
        <w:keepNext w:val="0"/>
        <w:spacing w:after="60" w:line="240" w:lineRule="auto"/>
      </w:pPr>
      <w:r>
        <w:t>MVCRI in Plovdiv will remain a strategic post-MSCA Bulgarian replication and transferability route. This avoids overloading the 24-month scientific fellowship with a second national field campaign while preserving a credible pathway for later validation under Bulgarian vegetable-production conditions and additional tomato material.</w:t>
      </w:r>
    </w:p>
    <w:p>
      <w:pPr>
        <w:pStyle w:val="Heading3"/>
        <w:keepNext/>
        <w:spacing w:before="100" w:after="60"/>
      </w:pPr>
      <w:r>
        <w:t>Stage 5 - Iterative DrR web MVP development and AgroVIR evaluation</w:t>
      </w:r>
    </w:p>
    <w:p>
      <w:pPr>
        <w:keepNext w:val="0"/>
        <w:spacing w:after="60" w:line="240" w:lineRule="auto"/>
      </w:pPr>
      <w:r>
        <w:t>Krumatic will contribute from the beginning of the project by providing software-development support for the existing DrR prototype. A developer will implement the coding needed to improve the architecture, integrate new data-processing and model outputs, refine usability and progressively migrate the validated core functions toward a web MVP. Scientific development and software implementation will therefore proceed in parallel rather than sequentially.</w:t>
      </w:r>
    </w:p>
    <w:p>
      <w:pPr>
        <w:keepNext w:val="0"/>
        <w:spacing w:after="60" w:line="240" w:lineRule="auto"/>
      </w:pPr>
      <w:r>
        <w:t>AgroVIR will also be involved from the beginning through structured consultation on realistic farm-management inputs, field representation, missing-data behaviour, usability and interoperability requirements. This early consultation will inform software design without substituting for scientific validation. The most intensive operational evaluation will take place during the six-month non-academic placement (M25-M30).</w:t>
      </w:r>
    </w:p>
    <w:p>
      <w:pPr>
        <w:keepNext w:val="0"/>
        <w:spacing w:after="60" w:line="240" w:lineRule="auto"/>
      </w:pPr>
      <w:r>
        <w:t>For processing tomato, the validated MVP will provide field-level stress probability/class, uncertainty/confidence, temporal trend and an irrigation-attention output such as LOW, MONITOR, HIGH or URGENT. The software architecture will store crop identity, phenological information and crop-specific calibration/threshold parameters separately from the reusable environmental/EO data pipeline and decision interface. This is the technical basis for later extension to additional irrigated high-value horticultural crops. The MVP will support decisions rather than automatically control irrigation, and any new crop will require a defined validation/calibration step before operational use.</w:t>
      </w:r>
    </w:p>
    <w:p>
      <w:pPr>
        <w:pStyle w:val="Heading3"/>
        <w:keepNext/>
        <w:spacing w:before="100" w:after="60"/>
      </w:pPr>
      <w:r>
        <w:t>Interdisciplinarity</w:t>
      </w:r>
    </w:p>
    <w:p>
      <w:pPr>
        <w:keepNext w:val="0"/>
        <w:spacing w:after="60" w:line="240" w:lineRule="auto"/>
      </w:pPr>
      <w:r>
        <w:t>FIELDWISE integrates plant physiology, high-value horticulture, soil-water relations, proximal spectroscopy, hyperspectral imaging, UAV/geospatial analysis, Sentinel-2 EO, environmental sensing, statistics/AI modelling, research software and farm-management informatics. Plant physiology defines the biological target; processing tomato provides the data-rich development system; MATE supplies the longitudinal experimental knowledge; HUN-REN leads modelling and data integration; ELTE supports scale-aware remote sensing; the farmer site provides independent real-world validation; Krumatic implements a crop-configurable software architecture; and AgroVIR evaluates operational relevance. The transferable scientific product is therefore not only a tomato model, but a documented workflow for adapting physiology-grounded irrigation intelligence to other irrigated high-value horticultural crops.</w:t>
      </w:r>
    </w:p>
    <w:p>
      <w:pPr>
        <w:pStyle w:val="Heading3"/>
        <w:keepNext/>
        <w:spacing w:before="100" w:after="60"/>
      </w:pPr>
      <w:r>
        <w:t>Open Science, data governance and intellectual property</w:t>
      </w:r>
    </w:p>
    <w:p>
      <w:pPr>
        <w:keepNext w:val="0"/>
        <w:spacing w:after="60" w:line="240" w:lineRule="auto"/>
      </w:pPr>
      <w:r>
        <w:t>FIELDWISE will follow the principle 'as open as possible, as closed as necessary'. At project start, HUN-REN ATK, ELTE, MATE, Krumatic, AgroVIR and the fellow will establish an inventory of relevant background datasets, software, code, methods and other assets. MATE data will be used for approved scientific purposes according to institutional permissions. Any use of MATE-derived models or institutional assets in a future marketable product will be subject to separate legal and institutional assessment. Farmer and AgroVIR operational information will be minimised, coded/anonymised where appropriate and processed only for agreed research/validation purposes. Potentially protectable foreground will be evaluated before public disclosure; otherwise methods, metadata and publications will be made reusable where possible.</w:t>
      </w:r>
    </w:p>
    <w:p>
      <w:pPr>
        <w:pStyle w:val="Heading2"/>
        <w:keepNext/>
        <w:spacing w:before="100" w:after="60"/>
      </w:pPr>
      <w:r>
        <w:t>1.3 Quality of supervision, training and two-way transfer of knowledge</w:t>
      </w:r>
    </w:p>
    <w:p>
      <w:pPr>
        <w:keepNext w:val="0"/>
        <w:spacing w:after="60" w:line="240" w:lineRule="auto"/>
      </w:pPr>
      <w:r>
        <w:t>HUN-REN ATK is the recruiting organisation and primary scientific host. Dr. Roland Hollós will serve as primary supervisor and provide the central training environment for heterogeneous agricultural-data integration, AI/ML-supported modelling, feature engineering, validation design, uncertainty analysis, model interpretation and scientific integration. His current role as an AI researcher and HUN-REN AI Ambassador for the Centre for Agricultural Research provides a strong link to the network-wide AI 4 Science environment. The final proposal will insert the formally confirmed supervision routine, committed effort and hosting unit.</w:t>
      </w:r>
    </w:p>
    <w:p>
      <w:pPr>
        <w:keepNext w:val="0"/>
        <w:spacing w:after="60" w:line="240" w:lineRule="auto"/>
      </w:pPr>
      <w:r>
        <w:t>ELTE will participate as an associated partner, with Prof. András Jung as co-supervisor for geoinformatics, field spectroscopy, hyperspectral/UAV methods, multisensor fusion and scale-aware EO interpretation. ELTE will provide the main spatial-sensing training environment and access to the agreed UAV/hyperspectral infrastructure. Dr. Zsófia Varga will support practical UAV operation, mission planning and imaging-sensor deployment.</w:t>
      </w:r>
    </w:p>
    <w:p>
      <w:pPr>
        <w:keepNext w:val="0"/>
        <w:spacing w:after="60" w:line="240" w:lineRule="auto"/>
      </w:pPr>
      <w:r>
        <w:t>MATE will provide the longitudinal processing-tomato dataset and agronomic/irrigation expertise through Dr. Sándor Takács. Prof. Gábor Milics will provide senior consultation in precision agriculture, GIS, agricultural digitalisation and translation of model outputs into farm-level decision-support concepts. Prof. Tibor Janda at the HUN-REN Centre for Agricultural Research will provide complementary plant-physiology and abiotic-stress expertise, strengthening the interpretation of physiological validation parameters and ensuring that remotely sensed/model-derived signals are assessed against genuine plant responses.</w:t>
      </w:r>
    </w:p>
    <w:p>
      <w:pPr>
        <w:keepNext w:val="0"/>
        <w:spacing w:after="60" w:line="240" w:lineRule="auto"/>
      </w:pPr>
      <w:r>
        <w:t>The two-way knowledge transfer is deliberately complementary. The fellow contributes agronomy, plant protection, plant physiology, plant-stress biology, physiological phenotyping, horticultural field experimentation, proximal spectral interpretation and the existing DrR concept. The host/partners provide advanced agricultural data science, robust modelling, uncertainty analysis, hyperspectral/UAV/EO integration, precision-agriculture workflows and research-to-software/industry translation.</w:t>
      </w:r>
    </w:p>
    <w:p>
      <w:pPr>
        <w:keepNext w:val="0"/>
        <w:spacing w:after="60" w:line="240" w:lineRule="auto"/>
      </w:pPr>
      <w:r>
        <w:t>Teaching and academic transfer are also built into the career-development plan. The fellow has approximately five years of university teaching experience in Plant Physiology and Plant Stress Physiology at the Agricultural University of Plovdiv. She will seek short guest lectures, seminars or practical sessions at MATE and, where institutionally possible, the Agricultural University of Plovdiv, linking plant-stress physiology with UAV/EO monitoring, precision agriculture and agricultural data science. This provides a concrete teaching route despite HUN-REN ATK being a research organisation rather than a university and builds on established Bulgarian-Hungarian academic links.</w:t>
      </w:r>
    </w:p>
    <w:p>
      <w:pPr>
        <w:pStyle w:val="Heading2"/>
        <w:keepNext/>
        <w:spacing w:before="100" w:after="60"/>
      </w:pPr>
      <w:r>
        <w:t>1.4 Quality and appropriateness of the researcher’s professional experience</w:t>
      </w:r>
    </w:p>
    <w:p>
      <w:pPr>
        <w:keepNext w:val="0"/>
        <w:spacing w:after="60" w:line="240" w:lineRule="auto"/>
      </w:pPr>
      <w:r>
        <w:t>The researcher combines a BSc and MSc background in Plant Protection/Agronomy, a PhD in Plant Physiology, approximately five years of university teaching and research in plant stress physiology, and an expanding technical profile in remote sensing, hyperspectral sensing, UAV applications, GIS and agricultural data analysis. She has deliberately moved from biological stress measurement toward multi-source crop monitoring and decision support rather than changing scientific field.</w:t>
      </w:r>
    </w:p>
    <w:p>
      <w:pPr>
        <w:keepNext w:val="0"/>
        <w:spacing w:after="60" w:line="240" w:lineRule="auto"/>
      </w:pPr>
      <w:r>
        <w:t>Her previous work includes crop stress physiology, physiological phenotyping, drought-related tomato research, UAV/multispectral/hyperspectral training, geoinformatics/remote-sensing mobility at ELTE and MATE, an EU A1/A3 UAV pilot licence, and data-analysis experience using tools including Python, R, QGIS, Power BI and Excel. She has also initiated DrR - Digital Agronomist, demonstrating early research-software and multi-source data-integration experience.</w:t>
      </w:r>
    </w:p>
    <w:p>
      <w:pPr>
        <w:keepNext w:val="0"/>
        <w:spacing w:after="60" w:line="240" w:lineRule="auto"/>
      </w:pPr>
      <w:r>
        <w:t>The fellowship addresses the remaining competence gap: rigorous predictive modelling and model validation across time, sensing scales and environments. The intended progression is from plant physiologist/agronomist using digital tools to an independent Agricultural Data Scientist specialised in plant stress, Earth observation and decision-support systems. FIELDWISE is therefore a consolidation of an already established interdisciplinary trajectory.</w:t>
      </w:r>
    </w:p>
    <w:p>
      <w:pPr>
        <w:pStyle w:val="Heading1"/>
        <w:keepNext/>
        <w:spacing w:before="140" w:after="60"/>
      </w:pPr>
      <w:r>
        <w:t>2. IMPACT</w:t>
      </w:r>
    </w:p>
    <w:p>
      <w:pPr>
        <w:pStyle w:val="Heading2"/>
        <w:keepNext/>
        <w:spacing w:before="100" w:after="60"/>
      </w:pPr>
      <w:r>
        <w:t>2.1 Credibility of measures to enhance career perspectives and employability</w:t>
      </w:r>
    </w:p>
    <w:p>
      <w:pPr>
        <w:keepNext w:val="0"/>
        <w:spacing w:after="60" w:line="240" w:lineRule="auto"/>
      </w:pPr>
      <w:r>
        <w:t>FIELDWISE will position the fellow at the interface of crop physiology, precision irrigation, geospatial sensing, agricultural AI and research software. The project provides end-to-end experience from multi-year scientific evidence, through leakage-safe modelling and independent commercial-field validation, to a web-accessible MVP and industrial assessment. This profile is relevant to universities, European research organisations, precision-agriculture and irrigation-technology companies, EO/geospatial organisations, crop-phenotyping groups and farm-management-information-system providers.</w:t>
      </w:r>
    </w:p>
    <w:p>
      <w:pPr>
        <w:keepNext w:val="0"/>
        <w:spacing w:after="60" w:line="240" w:lineRule="auto"/>
      </w:pPr>
      <w:r>
        <w:t>The strongest intersectoral measure is the six-month non-academic placement at AgroVIR (M25-M30). It supplies competences that the academic host cannot provide alone: operational model evaluation, research-to-MVP translation, agricultural-software requirements, interoperability assessment, user-centred decision support and exploitation planning. The placement will be conducted mainly through remote collaboration with monthly face-to-face technical meetings, subject to final company confirmation. It will not require unrestricted access to proprietary customer databases or internal production systems; where operational information is needed, AgroVIR will provide protected, coded or anonymised extracts suitable for the agreed evaluation task.</w:t>
      </w:r>
    </w:p>
    <w:p>
      <w:pPr>
        <w:keepNext w:val="0"/>
        <w:spacing w:after="60" w:line="240" w:lineRule="auto"/>
      </w:pPr>
      <w:r>
        <w:t>The placement will be supervised by Miklós Maróti, Managing Director of AgroVIR, subject to written confirmation of the supervision arrangement. By completion, the fellow will be able to demonstrate that she has carried a scientific concept through biological definition, model development, unseen-condition validation, software implementation and industrial evaluation - a distinctive competence profile for both academic and non-academic agricultural data-science careers.</w:t>
      </w:r>
    </w:p>
    <w:p>
      <w:pPr>
        <w:pStyle w:val="Heading2"/>
        <w:keepNext/>
        <w:spacing w:before="100" w:after="60"/>
      </w:pPr>
      <w:r>
        <w:t>2.2 Dissemination, exploitation and communication</w:t>
      </w:r>
    </w:p>
    <w:p>
      <w:pPr>
        <w:keepNext w:val="0"/>
        <w:spacing w:after="60" w:line="240" w:lineRule="auto"/>
      </w:pPr>
      <w:r>
        <w:t>Scientific dissemination will target at least two high-quality peer-reviewed submissions during or shortly after the fellowship: (P1) physiologically grounded water-stress signatures from the heterogeneous MATE archive; and (P2) modelling, uncertainty and transfer from historical experiments to prospective commercial-field validation. A third methods/application paper on multi-scale UAV/Sentinel operationalisation and DrR may be prepared if the independent dataset supports it.</w:t>
      </w:r>
    </w:p>
    <w:p>
      <w:pPr>
        <w:keepNext w:val="0"/>
        <w:spacing w:after="60" w:line="240" w:lineRule="auto"/>
      </w:pPr>
      <w:r>
        <w:t>Communication will combine research audiences with farmer and student audiences. Activities will include conference presentations; MATE/HUN-REN/ELTE seminars; short teaching/knowledge-transfer sessions at MATE and, where possible, the Agricultural University of Plovdiv; practitioner-oriented demonstrations of stress/uncertainty outputs; and an AgroVIR evaluation session. If the Szentendre model Bulgarian garden is formally established and suitable, it may host a public-facing demonstration linking traditional horticultural knowledge with modern environmental sensing, UAV/EO monitoring and irrigation decision support.</w:t>
      </w:r>
    </w:p>
    <w:p>
      <w:pPr>
        <w:keepNext w:val="0"/>
        <w:spacing w:after="60" w:line="240" w:lineRule="auto"/>
      </w:pPr>
      <w:r>
        <w:t>Krumatic will support Bulgarian dissemination, demonstration and implementation of the MVP among farmers. Its role is distinct from AgroVIR: Krumatic provides continuous software-development support and farmer-facing uptake in Bulgaria, while AgroVIR provides early FMIS-oriented requirements consultation, operational evaluation and the M25-M30 industrial placement.</w:t>
      </w:r>
    </w:p>
    <w:p>
      <w:pPr>
        <w:keepNext w:val="0"/>
        <w:spacing w:after="60" w:line="240" w:lineRule="auto"/>
      </w:pPr>
      <w:r>
        <w:t>Exploitation pathway: Existing DrR desktop prototype -&gt; FIELDWISE scientific validation in processing tomato -&gt; crop-configurable DrR web MVP -&gt; farmer-field prospective testing -&gt; AgroVIR operational/interoperability evaluation -&gt; post-MSCA crop-extension, FMIS integration and Bulgarian replication/uptake pathway. The tomato module will be the first validated crop implementation; additional irrigated high-value horticultural crops will enter only after crop-specific physiological targets, calibration needs and validation evidence are established. Commercial exploitation will proceed only after institutional background/foreground and data-rights assessment.</w:t>
      </w:r>
    </w:p>
    <w:p>
      <w:pPr>
        <w:pStyle w:val="Heading2"/>
        <w:keepNext/>
        <w:spacing w:before="100" w:after="60"/>
      </w:pPr>
      <w:r>
        <w:t>2.3 Magnitude and importance of expected impacts</w:t>
      </w:r>
    </w:p>
    <w:p>
      <w:pPr>
        <w:keepNext w:val="0"/>
        <w:spacing w:after="60" w:line="240" w:lineRule="auto"/>
      </w:pPr>
      <w:r>
        <w:t>Scientific impact. FIELDWISE will provide a validation framework in which operationally obtainable data streams are judged against independent plant-level ground truth and challenged under both unseen-year and new commercial-field conditions. It will also clarify which stress relationships survive the transition from proximal measurements toward UAV and Sentinel-2 field monitoring and which components of the modelling/decision workflow are genuinely reusable beyond the development crop. This creates a methodological basis for later crop-by-crop extension across irrigated high-value horticulture rather than unsupported universalisation from tomato.</w:t>
      </w:r>
    </w:p>
    <w:p>
      <w:pPr>
        <w:keepNext w:val="0"/>
        <w:spacing w:after="60" w:line="240" w:lineRule="auto"/>
      </w:pPr>
      <w:r>
        <w:t>Agricultural and environmental impact. FIELDWISE starts with processing tomato because the consortium can build on approximately five years of heterogeneous scientific observations (2022-2026), mature experimental knowledge and established collaborations, allowing the fellowship to build from evidence rather than create a longitudinal dataset from zero. The intended application domain, however, is irrigated high-value horticulture. FIELDWISE will not promise a fixed percentage reduction in irrigation water because actual savings depend on crop, cultivar, soil, weather, growth stage, irrigation system and the management action taken. Published processing-tomato evidence nevertheless provides a credible magnitude context: a two-year plant-plus-soil monitoring study reported about 30% less irrigation water than empirical farmer management and about 7.5% less than evapotranspiration-based scheduling, with associated yield differences that underline the need to quantify water-yield trade-offs [1]. A 2026 processing-tomato study reported 25% water saving when deficit irrigation was timed early in the season without a statistically significant yield loss, while poorly timed or prolonged deficits reduced yield [2]. FIELDWISE therefore uses an external benchmark range of roughly 8-30% only as bounded literature context, not as a project promise; project-specific water saving, yield, quality and uncertainty will be reported from the prospective validation data.</w:t>
      </w:r>
    </w:p>
    <w:p>
      <w:pPr>
        <w:keepNext w:val="0"/>
        <w:spacing w:after="60" w:line="240" w:lineRule="auto"/>
      </w:pPr>
      <w:r>
        <w:t>Technological and economic impact. The web-based DrR MVP provides a tangible route from validated research to external testing, while preserving a clear distinction between the fellow's pre-existing DrR background and foreground generated during FIELDWISE. The architecture will be crop-configurable: processing tomato supplies the first validated crop module, while reusable data-ingestion, uncertainty, visualisation and irrigation-attention components can support later modules after crop-specific validation. AgroVIR will identify the data, usability, interoperability and workflow requirements that must be satisfied before future FMIS integration, while Krumatic supports software implementation and Bulgarian farmer-facing uptake. Economic value will not be expressed as an invented EUR/ha promise; instead FIELDWISE will quantify irrigation water applied, water productivity, yield/marketable yield, relevant quality indicators, intervention timing, warning lead time and operational requirements from which later economic value can be assessed.</w:t>
      </w:r>
    </w:p>
    <w:p>
      <w:pPr>
        <w:keepNext w:val="0"/>
        <w:spacing w:after="60" w:line="240" w:lineRule="auto"/>
      </w:pPr>
      <w:r>
        <w:t>European and societal relevance. Eurostat reports that fresh vegetables were cultivated over approximately 2.0 million hectares in the EU in 2023, while about 0.7 million EU farms cultivated fresh vegetables in the 2020 agricultural census [3,4]. These figures are not presented as an immediate FIELDWISE market; they indicate the scale of the horticultural domain in which scientifically transferable plant-based irrigation decision support could ultimately matter. Bulgaria provides a concrete downstream context: official statistics for harvest 2024 report 35.6 thousand hectares as the main area for vegetable production and about 128 thousand tonnes of tomato production [5]. The combination of Hungarian scientific and industrial environments, a real farmer validation setting, Bulgarian software/dissemination links and a defined post-MSCA MVCRI replication route provides a realistic pathway toward wider reuse while avoiding claims of immediate universal crop coverage. FIELDWISE contributes particularly to SDG 2, SDG 6, SDG 12 and SDG 13.</w:t>
      </w:r>
    </w:p>
    <w:p>
      <w:pPr>
        <w:pStyle w:val="Heading1"/>
        <w:keepNext/>
        <w:spacing w:before="140" w:after="60"/>
      </w:pPr>
      <w:r>
        <w:t>3. QUALITY AND EFFICIENCY OF IMPLEMENTATION</w:t>
      </w:r>
    </w:p>
    <w:p>
      <w:pPr>
        <w:pStyle w:val="Heading2"/>
        <w:keepNext/>
        <w:spacing w:before="100" w:after="60"/>
      </w:pPr>
      <w:r>
        <w:t>3.1 Work plan</w:t>
      </w:r>
    </w:p>
    <w:p>
      <w:pPr>
        <w:keepNext w:val="0"/>
        <w:spacing w:after="60" w:line="240" w:lineRule="auto"/>
      </w:pPr>
      <w:r>
        <w:t>The action comprises a 24-month European Fellowship at HUN-REN ATK (M1-M24) followed by a six-month non-academic placement at AgroVIR (M25-M30). The work packages overlap deliberately so that modelling, field validation and software implementation inform one another rather than occurring as isolated sequential blocks.</w:t>
      </w:r>
    </w:p>
    <w:p>
      <w:pPr>
        <w:pStyle w:val="Heading3"/>
        <w:keepNext/>
        <w:spacing w:before="100" w:after="60"/>
      </w:pPr>
      <w:r>
        <w:t>WP1 - Data Harmonisation and Physiological Stress Definition</w:t>
      </w:r>
    </w:p>
    <w:p>
      <w:pPr>
        <w:keepNext w:val="0"/>
        <w:spacing w:after="60" w:line="240" w:lineRule="auto"/>
      </w:pPr>
      <w:r>
        <w:rPr>
          <w:b/>
        </w:rPr>
        <w:t>M1-M6 | HUN-REN + MATE + ELTE</w:t>
      </w:r>
      <w:r/>
    </w:p>
    <w:p>
      <w:pPr>
        <w:pStyle w:val="ListBullet"/>
        <w:spacing w:after="30"/>
        <w:ind w:left="259" w:hanging="144"/>
      </w:pPr>
      <w:r>
        <w:rPr>
          <w:rFonts w:ascii="Times New Roman" w:hAnsi="Times New Roman"/>
          <w:sz w:val="19"/>
        </w:rPr>
        <w:t>T1.1 Audit the 2022-2026 MATE archive by variable, year, frequency and replicate structure.</w:t>
      </w:r>
    </w:p>
    <w:p>
      <w:pPr>
        <w:pStyle w:val="ListBullet"/>
        <w:spacing w:after="30"/>
        <w:ind w:left="259" w:hanging="144"/>
      </w:pPr>
      <w:r>
        <w:rPr>
          <w:rFonts w:ascii="Times New Roman" w:hAnsi="Times New Roman"/>
          <w:sz w:val="19"/>
        </w:rPr>
        <w:t>T1.2 Define the common-variable matrix, missingness strategy and effective statistical unit.</w:t>
      </w:r>
    </w:p>
    <w:p>
      <w:pPr>
        <w:pStyle w:val="ListBullet"/>
        <w:spacing w:after="30"/>
        <w:ind w:left="259" w:hanging="144"/>
      </w:pPr>
      <w:r>
        <w:rPr>
          <w:rFonts w:ascii="Times New Roman" w:hAnsi="Times New Roman"/>
          <w:sz w:val="19"/>
        </w:rPr>
        <w:t>T1.3 Select the primary physiological stress target and corroborating endpoints.</w:t>
      </w:r>
    </w:p>
    <w:p>
      <w:pPr>
        <w:pStyle w:val="ListBullet"/>
        <w:spacing w:after="30"/>
        <w:ind w:left="259" w:hanging="144"/>
      </w:pPr>
      <w:r>
        <w:rPr>
          <w:rFonts w:ascii="Times New Roman" w:hAnsi="Times New Roman"/>
          <w:sz w:val="19"/>
        </w:rPr>
        <w:t>T1.4 Identify candidate soil-water, meteorological and proximal spectral stress signatures.</w:t>
      </w:r>
    </w:p>
    <w:p>
      <w:pPr>
        <w:pStyle w:val="ListBullet"/>
        <w:spacing w:after="30"/>
        <w:ind w:left="259" w:hanging="144"/>
      </w:pPr>
      <w:r>
        <w:rPr>
          <w:rFonts w:ascii="Times New Roman" w:hAnsi="Times New Roman"/>
          <w:sz w:val="19"/>
        </w:rPr>
        <w:t>T1.5 Predefine blocked temporal validation and model-selection criteria.</w:t>
      </w:r>
    </w:p>
    <w:p>
      <w:pPr>
        <w:keepNext w:val="0"/>
        <w:spacing w:after="60" w:line="240" w:lineRule="auto"/>
      </w:pPr>
      <w:r>
        <w:rPr>
          <w:b/>
        </w:rPr>
        <w:t>Deliverables / milestone:</w:t>
      </w:r>
      <w:r/>
    </w:p>
    <w:p>
      <w:pPr>
        <w:pStyle w:val="ListBullet"/>
        <w:spacing w:after="30"/>
        <w:ind w:left="259" w:hanging="144"/>
      </w:pPr>
      <w:r>
        <w:rPr>
          <w:rFonts w:ascii="Times New Roman" w:hAnsi="Times New Roman"/>
          <w:sz w:val="19"/>
        </w:rPr>
        <w:t>D1.1 Harmonised database/metadata and variable-availability map.</w:t>
      </w:r>
    </w:p>
    <w:p>
      <w:pPr>
        <w:pStyle w:val="ListBullet"/>
        <w:spacing w:after="30"/>
        <w:ind w:left="259" w:hanging="144"/>
      </w:pPr>
      <w:r>
        <w:rPr>
          <w:rFonts w:ascii="Times New Roman" w:hAnsi="Times New Roman"/>
          <w:sz w:val="19"/>
        </w:rPr>
        <w:t>D1.2 Stress-target, feature-selection and validation protocol.</w:t>
      </w:r>
    </w:p>
    <w:p>
      <w:pPr>
        <w:pStyle w:val="ListBullet"/>
        <w:spacing w:after="30"/>
        <w:ind w:left="259" w:hanging="144"/>
      </w:pPr>
      <w:r>
        <w:rPr>
          <w:rFonts w:ascii="Times New Roman" w:hAnsi="Times New Roman"/>
          <w:sz w:val="19"/>
        </w:rPr>
        <w:t>MS1 M6: Historical knowledge base and target definition complete.</w:t>
      </w:r>
    </w:p>
    <w:p>
      <w:pPr>
        <w:pStyle w:val="Heading3"/>
        <w:keepNext/>
        <w:spacing w:before="100" w:after="60"/>
      </w:pPr>
      <w:r>
        <w:t>WP2 - HUN-REN Modelling and ELTE Scale Harmonisation</w:t>
      </w:r>
    </w:p>
    <w:p>
      <w:pPr>
        <w:keepNext w:val="0"/>
        <w:spacing w:after="60" w:line="240" w:lineRule="auto"/>
      </w:pPr>
      <w:r>
        <w:rPr>
          <w:b/>
        </w:rPr>
        <w:t>M3-M14 | HUN-REN + ELTE + MATE</w:t>
      </w:r>
      <w:r/>
    </w:p>
    <w:p>
      <w:pPr>
        <w:pStyle w:val="ListBullet"/>
        <w:spacing w:after="30"/>
        <w:ind w:left="259" w:hanging="144"/>
      </w:pPr>
      <w:r>
        <w:rPr>
          <w:rFonts w:ascii="Times New Roman" w:hAnsi="Times New Roman"/>
          <w:sz w:val="19"/>
        </w:rPr>
        <w:t>T2.1 Construct process-informed water-status predictors from meteorology, irrigation and soil data.</w:t>
      </w:r>
    </w:p>
    <w:p>
      <w:pPr>
        <w:pStyle w:val="ListBullet"/>
        <w:spacing w:after="30"/>
        <w:ind w:left="259" w:hanging="144"/>
      </w:pPr>
      <w:r>
        <w:rPr>
          <w:rFonts w:ascii="Times New Roman" w:hAnsi="Times New Roman"/>
          <w:sz w:val="19"/>
        </w:rPr>
        <w:t>T2.2 Develop the parsimonious primary model and one nonlinear benchmark where justified.</w:t>
      </w:r>
    </w:p>
    <w:p>
      <w:pPr>
        <w:pStyle w:val="ListBullet"/>
        <w:spacing w:after="30"/>
        <w:ind w:left="259" w:hanging="144"/>
      </w:pPr>
      <w:r>
        <w:rPr>
          <w:rFonts w:ascii="Times New Roman" w:hAnsi="Times New Roman"/>
          <w:sz w:val="19"/>
        </w:rPr>
        <w:t>T2.3 Quantify calibration, uncertainty, interpretability and blocked unseen-year performance.</w:t>
      </w:r>
    </w:p>
    <w:p>
      <w:pPr>
        <w:pStyle w:val="ListBullet"/>
        <w:spacing w:after="30"/>
        <w:ind w:left="259" w:hanging="144"/>
      </w:pPr>
      <w:r>
        <w:rPr>
          <w:rFonts w:ascii="Times New Roman" w:hAnsi="Times New Roman"/>
          <w:sz w:val="19"/>
        </w:rPr>
        <w:t>T2.4 Harmonise proximal/hyperspectral information and define the valid UAV/Sentinel scale-transition strategy.</w:t>
      </w:r>
    </w:p>
    <w:p>
      <w:pPr>
        <w:pStyle w:val="ListBullet"/>
        <w:spacing w:after="30"/>
        <w:ind w:left="259" w:hanging="144"/>
      </w:pPr>
      <w:r>
        <w:t>T2.5 Configure DrR data structures to separate reusable sensor/weather/EO/uncertainty workflows from crop-specific physiological, phenological and calibration parameters.</w:t>
      </w:r>
    </w:p>
    <w:p>
      <w:pPr>
        <w:pStyle w:val="ListBullet"/>
      </w:pPr>
      <w:r>
        <w:t>T2.6 Define the FIELDWISE crop-transfer specification: transferable core components, crop-specific parameters, minimum validation dataset and recalibration gates required before a new irrigated high-value horticultural crop can be added.</w:t>
      </w:r>
    </w:p>
    <w:p>
      <w:pPr>
        <w:keepNext w:val="0"/>
        <w:spacing w:after="60" w:line="240" w:lineRule="auto"/>
      </w:pPr>
      <w:r>
        <w:rPr>
          <w:b/>
        </w:rPr>
        <w:t>Deliverables / milestone:</w:t>
      </w:r>
      <w:r/>
    </w:p>
    <w:p>
      <w:pPr>
        <w:pStyle w:val="ListBullet"/>
        <w:spacing w:after="30"/>
        <w:ind w:left="259" w:hanging="144"/>
      </w:pPr>
      <w:r>
        <w:rPr>
          <w:rFonts w:ascii="Times New Roman" w:hAnsi="Times New Roman"/>
          <w:sz w:val="19"/>
        </w:rPr>
        <w:t>D2.1 Primary model, benchmark and model card.</w:t>
      </w:r>
    </w:p>
    <w:p>
      <w:pPr>
        <w:pStyle w:val="ListBullet"/>
        <w:spacing w:after="30"/>
        <w:ind w:left="259" w:hanging="144"/>
      </w:pPr>
      <w:r>
        <w:t>D2.2 Spectral/UAV/Sentinel harmonisation, scaling and crop-transfer specification.</w:t>
      </w:r>
    </w:p>
    <w:p>
      <w:pPr>
        <w:pStyle w:val="ListBullet"/>
        <w:spacing w:after="30"/>
        <w:ind w:left="259" w:hanging="144"/>
      </w:pPr>
      <w:r>
        <w:rPr>
          <w:rFonts w:ascii="Times New Roman" w:hAnsi="Times New Roman"/>
          <w:sz w:val="19"/>
        </w:rPr>
        <w:t>MS2 M14: Model and scale-transition framework ready for final prospective assessment.</w:t>
      </w:r>
    </w:p>
    <w:p>
      <w:pPr>
        <w:pStyle w:val="Heading3"/>
        <w:keepNext/>
        <w:spacing w:before="100" w:after="60"/>
      </w:pPr>
      <w:r>
        <w:t>WP3 - Independent Commercial-Farmer Prospective Validation</w:t>
      </w:r>
    </w:p>
    <w:p>
      <w:pPr>
        <w:keepNext w:val="0"/>
        <w:spacing w:after="60" w:line="240" w:lineRule="auto"/>
      </w:pPr>
      <w:r>
        <w:rPr>
          <w:b/>
        </w:rPr>
        <w:t>First complete tomato growing season within M4-M18 | Fellow + farmer + MATE + ELTE + HUN-REN</w:t>
      </w:r>
      <w:r/>
    </w:p>
    <w:p>
      <w:pPr>
        <w:pStyle w:val="ListBullet"/>
        <w:spacing w:after="30"/>
        <w:ind w:left="259" w:hanging="144"/>
      </w:pPr>
      <w:r>
        <w:rPr>
          <w:rFonts w:ascii="Times New Roman" w:hAnsi="Times New Roman"/>
          <w:sz w:val="19"/>
        </w:rPr>
        <w:t>T3.1 Secure written field access and finalise crop/measurement protocol with the established farmer collaborator.</w:t>
      </w:r>
    </w:p>
    <w:p>
      <w:pPr>
        <w:pStyle w:val="ListBullet"/>
        <w:spacing w:after="30"/>
        <w:ind w:left="259" w:hanging="144"/>
      </w:pPr>
      <w:r>
        <w:rPr>
          <w:rFonts w:ascii="Times New Roman" w:hAnsi="Times New Roman"/>
          <w:sz w:val="19"/>
        </w:rPr>
        <w:t>T3.2 Install meteorological station and soil sensors; establish data-quality and irrigation-recording procedures.</w:t>
      </w:r>
    </w:p>
    <w:p>
      <w:pPr>
        <w:pStyle w:val="ListBullet"/>
        <w:spacing w:after="30"/>
        <w:ind w:left="259" w:hanging="144"/>
      </w:pPr>
      <w:r>
        <w:rPr>
          <w:rFonts w:ascii="Times New Roman" w:hAnsi="Times New Roman"/>
          <w:sz w:val="19"/>
        </w:rPr>
        <w:t>T3.3 Conduct coordinated physiological, proximal spectral and thermal measurement campaigns.</w:t>
      </w:r>
    </w:p>
    <w:p>
      <w:pPr>
        <w:pStyle w:val="ListBullet"/>
        <w:spacing w:after="30"/>
        <w:ind w:left="259" w:hanging="144"/>
      </w:pPr>
      <w:r>
        <w:rPr>
          <w:rFonts w:ascii="Times New Roman" w:hAnsi="Times New Roman"/>
          <w:sz w:val="19"/>
        </w:rPr>
        <w:t>T3.4 Conduct UAV campaigns around key measurement dates and acquire/synchronise Sentinel-2 observations where spatially valid.</w:t>
      </w:r>
    </w:p>
    <w:p>
      <w:pPr>
        <w:pStyle w:val="ListBullet"/>
        <w:spacing w:after="30"/>
        <w:ind w:left="259" w:hanging="144"/>
      </w:pPr>
      <w:r>
        <w:rPr>
          <w:rFonts w:ascii="Times New Roman" w:hAnsi="Times New Roman"/>
          <w:sz w:val="19"/>
        </w:rPr>
        <w:t>T3.5 Apply the historical model prospectively, quantify the transfer gap and evaluate limited recalibration only where required.</w:t>
      </w:r>
    </w:p>
    <w:p>
      <w:pPr>
        <w:pStyle w:val="ListBullet"/>
        <w:spacing w:after="30"/>
        <w:ind w:left="259" w:hanging="144"/>
      </w:pPr>
      <w:r>
        <w:rPr>
          <w:rFonts w:ascii="Times New Roman" w:hAnsi="Times New Roman"/>
          <w:sz w:val="19"/>
        </w:rPr>
        <w:t>T3.6 Activate the Szentendre Skanzen contingency option only if primary-site access fails and formal suitability/agreement are secured.</w:t>
      </w:r>
    </w:p>
    <w:p>
      <w:pPr>
        <w:keepNext w:val="0"/>
        <w:spacing w:after="60" w:line="240" w:lineRule="auto"/>
      </w:pPr>
      <w:r>
        <w:rPr>
          <w:b/>
        </w:rPr>
        <w:t>Deliverables / milestone:</w:t>
      </w:r>
      <w:r/>
    </w:p>
    <w:p>
      <w:pPr>
        <w:pStyle w:val="ListBullet"/>
        <w:spacing w:after="30"/>
        <w:ind w:left="259" w:hanging="144"/>
      </w:pPr>
      <w:r>
        <w:rPr>
          <w:rFonts w:ascii="Times New Roman" w:hAnsi="Times New Roman"/>
          <w:sz w:val="19"/>
        </w:rPr>
        <w:t>D3.1 Independent commercial-field validation dataset.</w:t>
      </w:r>
    </w:p>
    <w:p>
      <w:pPr>
        <w:pStyle w:val="ListBullet"/>
        <w:spacing w:after="30"/>
        <w:ind w:left="259" w:hanging="144"/>
      </w:pPr>
      <w:r>
        <w:rPr>
          <w:rFonts w:ascii="Times New Roman" w:hAnsi="Times New Roman"/>
          <w:sz w:val="19"/>
        </w:rPr>
        <w:t>D3.2 Prospective transferability, uncertainty and limited-recalibration report.</w:t>
      </w:r>
    </w:p>
    <w:p>
      <w:pPr>
        <w:pStyle w:val="ListBullet"/>
        <w:spacing w:after="30"/>
        <w:ind w:left="259" w:hanging="144"/>
      </w:pPr>
      <w:r>
        <w:rPr>
          <w:rFonts w:ascii="Times New Roman" w:hAnsi="Times New Roman"/>
          <w:sz w:val="19"/>
        </w:rPr>
        <w:t>MS3 M18: Independent real-world transferability quantified.</w:t>
      </w:r>
    </w:p>
    <w:p>
      <w:pPr>
        <w:pStyle w:val="Heading3"/>
        <w:keepNext/>
        <w:spacing w:before="100" w:after="60"/>
      </w:pPr>
      <w:r>
        <w:t>WP4 - DrR Web MVP, Co-development and Exploitation Preparation</w:t>
      </w:r>
    </w:p>
    <w:p>
      <w:pPr>
        <w:keepNext w:val="0"/>
        <w:spacing w:after="60" w:line="240" w:lineRule="auto"/>
      </w:pPr>
      <w:r>
        <w:rPr>
          <w:b/>
        </w:rPr>
        <w:t>M1-M24 | Fellow + Krumatic + AgroVIR consultation + HUN-REN</w:t>
      </w:r>
      <w:r/>
    </w:p>
    <w:p>
      <w:pPr>
        <w:pStyle w:val="ListBullet"/>
        <w:spacing w:after="30"/>
        <w:ind w:left="259" w:hanging="144"/>
      </w:pPr>
      <w:r>
        <w:rPr>
          <w:rFonts w:ascii="Times New Roman" w:hAnsi="Times New Roman"/>
          <w:sz w:val="19"/>
        </w:rPr>
        <w:t>T4.1 Krumatic incrementally improves the existing prototype and implements validated data/model functions.</w:t>
      </w:r>
    </w:p>
    <w:p>
      <w:pPr>
        <w:pStyle w:val="ListBullet"/>
        <w:spacing w:after="30"/>
        <w:ind w:left="259" w:hanging="144"/>
      </w:pPr>
      <w:r>
        <w:t>T4.2 Implement a crop-configurable architecture integrating stress probability/class, uncertainty, temporal trend and irrigation-attention outputs while keeping crop-specific parameters explicit.</w:t>
      </w:r>
    </w:p>
    <w:p>
      <w:pPr>
        <w:pStyle w:val="ListBullet"/>
        <w:spacing w:after="30"/>
        <w:ind w:left="259" w:hanging="144"/>
      </w:pPr>
      <w:r>
        <w:rPr>
          <w:rFonts w:ascii="Times New Roman" w:hAnsi="Times New Roman"/>
          <w:sz w:val="19"/>
        </w:rPr>
        <w:t>T4.3 Migrate validated core functions toward the DrR web MVP.</w:t>
      </w:r>
    </w:p>
    <w:p>
      <w:pPr>
        <w:pStyle w:val="ListBullet"/>
        <w:spacing w:after="30"/>
        <w:ind w:left="259" w:hanging="144"/>
      </w:pPr>
      <w:r>
        <w:rPr>
          <w:rFonts w:ascii="Times New Roman" w:hAnsi="Times New Roman"/>
          <w:sz w:val="19"/>
        </w:rPr>
        <w:t>T4.4 Use structured AgroVIR consultation from M1 to review realistic farm inputs, usability and interoperability requirements.</w:t>
      </w:r>
    </w:p>
    <w:p>
      <w:pPr>
        <w:pStyle w:val="ListBullet"/>
        <w:spacing w:after="30"/>
        <w:ind w:left="259" w:hanging="144"/>
      </w:pPr>
      <w:r>
        <w:rPr>
          <w:rFonts w:ascii="Times New Roman" w:hAnsi="Times New Roman"/>
          <w:sz w:val="19"/>
        </w:rPr>
        <w:t>T4.5 Perform pre-placement external access testing and prepare the M25-M30 evaluation protocol.</w:t>
      </w:r>
    </w:p>
    <w:p>
      <w:pPr>
        <w:pStyle w:val="ListBullet"/>
        <w:spacing w:after="30"/>
        <w:ind w:left="259" w:hanging="144"/>
      </w:pPr>
      <w:r>
        <w:rPr>
          <w:rFonts w:ascii="Times New Roman" w:hAnsi="Times New Roman"/>
          <w:sz w:val="19"/>
        </w:rPr>
        <w:t>T4.6 Maintain data/IP/background/foreground inventory and define the post-MSCA exploitation route.</w:t>
      </w:r>
    </w:p>
    <w:p>
      <w:pPr>
        <w:keepNext w:val="0"/>
        <w:spacing w:after="60" w:line="240" w:lineRule="auto"/>
      </w:pPr>
      <w:r>
        <w:rPr>
          <w:b/>
        </w:rPr>
        <w:t>Deliverables / milestone:</w:t>
      </w:r>
      <w:r/>
    </w:p>
    <w:p>
      <w:pPr>
        <w:pStyle w:val="ListBullet"/>
        <w:spacing w:after="30"/>
        <w:ind w:left="259" w:hanging="144"/>
      </w:pPr>
      <w:r>
        <w:t>D4.1 Crop-configurable DrR web MVP with validated processing-tomato module and reusable core functions.</w:t>
      </w:r>
    </w:p>
    <w:p>
      <w:pPr>
        <w:pStyle w:val="ListBullet"/>
        <w:spacing w:after="30"/>
        <w:ind w:left="259" w:hanging="144"/>
      </w:pPr>
      <w:r>
        <w:rPr>
          <w:rFonts w:ascii="Times New Roman" w:hAnsi="Times New Roman"/>
          <w:sz w:val="19"/>
        </w:rPr>
        <w:t>D4.2 Pre-placement technical/usability requirements dossier.</w:t>
      </w:r>
    </w:p>
    <w:p>
      <w:pPr>
        <w:pStyle w:val="ListBullet"/>
        <w:spacing w:after="30"/>
        <w:ind w:left="259" w:hanging="144"/>
      </w:pPr>
      <w:r>
        <w:rPr>
          <w:rFonts w:ascii="Times New Roman" w:hAnsi="Times New Roman"/>
          <w:sz w:val="19"/>
        </w:rPr>
        <w:t>MS4 M24: MVP ready for industrial placement evaluation.</w:t>
      </w:r>
    </w:p>
    <w:p>
      <w:pPr>
        <w:pStyle w:val="Heading3"/>
        <w:keepNext/>
        <w:spacing w:before="100" w:after="60"/>
      </w:pPr>
      <w:r>
        <w:t>WP5 - AgroVIR Non-Academic Placement</w:t>
      </w:r>
    </w:p>
    <w:p>
      <w:pPr>
        <w:keepNext w:val="0"/>
        <w:spacing w:after="60" w:line="240" w:lineRule="auto"/>
      </w:pPr>
      <w:r>
        <w:rPr>
          <w:b/>
        </w:rPr>
        <w:t>M25-M30 | Fellow + AgroVIR</w:t>
      </w:r>
      <w:r/>
    </w:p>
    <w:p>
      <w:pPr>
        <w:pStyle w:val="ListBullet"/>
        <w:spacing w:after="30"/>
        <w:ind w:left="259" w:hanging="144"/>
      </w:pPr>
      <w:r>
        <w:rPr>
          <w:rFonts w:ascii="Times New Roman" w:hAnsi="Times New Roman"/>
          <w:sz w:val="19"/>
        </w:rPr>
        <w:t>T5.1 Evaluate MVP inputs, usability, missing-data behaviour, decision outputs and workflow compatibility.</w:t>
      </w:r>
    </w:p>
    <w:p>
      <w:pPr>
        <w:pStyle w:val="ListBullet"/>
        <w:spacing w:after="30"/>
        <w:ind w:left="259" w:hanging="144"/>
      </w:pPr>
      <w:r>
        <w:rPr>
          <w:rFonts w:ascii="Times New Roman" w:hAnsi="Times New Roman"/>
          <w:sz w:val="19"/>
        </w:rPr>
        <w:t>T5.2 Assess interoperability requirements using protected/coded information where needed.</w:t>
      </w:r>
    </w:p>
    <w:p>
      <w:pPr>
        <w:pStyle w:val="ListBullet"/>
        <w:spacing w:after="30"/>
        <w:ind w:left="259" w:hanging="144"/>
      </w:pPr>
      <w:r>
        <w:rPr>
          <w:rFonts w:ascii="Times New Roman" w:hAnsi="Times New Roman"/>
          <w:sz w:val="19"/>
        </w:rPr>
        <w:t>T5.3 Conduct monthly face-to-face technical reviews alongside routine remote collaboration.</w:t>
      </w:r>
    </w:p>
    <w:p>
      <w:pPr>
        <w:pStyle w:val="ListBullet"/>
        <w:spacing w:after="30"/>
        <w:ind w:left="259" w:hanging="144"/>
      </w:pPr>
      <w:r>
        <w:rPr>
          <w:rFonts w:ascii="Times New Roman" w:hAnsi="Times New Roman"/>
          <w:sz w:val="19"/>
        </w:rPr>
        <w:t>T5.4 Finalise FMIS integration requirements, exploitation roadmap and career-transfer outputs.</w:t>
      </w:r>
    </w:p>
    <w:p>
      <w:pPr>
        <w:keepNext w:val="0"/>
        <w:spacing w:after="60" w:line="240" w:lineRule="auto"/>
      </w:pPr>
      <w:r>
        <w:rPr>
          <w:b/>
        </w:rPr>
        <w:t>Deliverables / milestone:</w:t>
      </w:r>
      <w:r/>
    </w:p>
    <w:p>
      <w:pPr>
        <w:pStyle w:val="ListBullet"/>
        <w:spacing w:after="30"/>
        <w:ind w:left="259" w:hanging="144"/>
      </w:pPr>
      <w:r>
        <w:rPr>
          <w:rFonts w:ascii="Times New Roman" w:hAnsi="Times New Roman"/>
          <w:sz w:val="19"/>
        </w:rPr>
        <w:t>D5.1 AgroVIR operational/interoperability assessment.</w:t>
      </w:r>
    </w:p>
    <w:p>
      <w:pPr>
        <w:pStyle w:val="ListBullet"/>
        <w:spacing w:after="30"/>
        <w:ind w:left="259" w:hanging="144"/>
      </w:pPr>
      <w:r>
        <w:rPr>
          <w:rFonts w:ascii="Times New Roman" w:hAnsi="Times New Roman"/>
          <w:sz w:val="19"/>
        </w:rPr>
        <w:t>D5.2 Post-MSCA FMIS integration and exploitation roadmap.</w:t>
      </w:r>
    </w:p>
    <w:p>
      <w:pPr>
        <w:pStyle w:val="ListBullet"/>
        <w:spacing w:after="30"/>
        <w:ind w:left="259" w:hanging="144"/>
      </w:pPr>
      <w:r>
        <w:rPr>
          <w:rFonts w:ascii="Times New Roman" w:hAnsi="Times New Roman"/>
          <w:sz w:val="19"/>
        </w:rPr>
        <w:t>MS5 M30: Industrial evaluation and placement completed.</w:t>
      </w:r>
    </w:p>
    <w:p>
      <w:pPr>
        <w:pStyle w:val="Heading3"/>
        <w:keepNext/>
        <w:spacing w:before="100" w:after="60"/>
      </w:pPr>
      <w:r>
        <w:t>Indicative 30-month sequence</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vAlign w:val="center"/>
            <w:shd w:fill="D9EAF7"/>
          </w:tcPr>
          <w:p>
            <w:pPr>
              <w:spacing w:after="0"/>
            </w:pPr>
            <w:r>
              <w:rPr>
                <w:sz w:val="17"/>
              </w:rPr>
            </w:r>
            <w:r>
              <w:rPr>
                <w:rFonts w:ascii="Times New Roman" w:hAnsi="Times New Roman"/>
                <w:b/>
                <w:sz w:val="16"/>
              </w:rPr>
              <w:t>Activity</w:t>
            </w:r>
          </w:p>
        </w:tc>
        <w:tc>
          <w:tcPr>
            <w:tcW w:type="dxa" w:w="1757"/>
            <w:vAlign w:val="center"/>
            <w:shd w:fill="D9EAF7"/>
          </w:tcPr>
          <w:p>
            <w:pPr>
              <w:spacing w:after="0"/>
            </w:pPr>
            <w:r>
              <w:rPr>
                <w:sz w:val="17"/>
              </w:rPr>
            </w:r>
            <w:r>
              <w:rPr>
                <w:rFonts w:ascii="Times New Roman" w:hAnsi="Times New Roman"/>
                <w:b/>
                <w:sz w:val="16"/>
              </w:rPr>
              <w:t>M1-6</w:t>
            </w:r>
          </w:p>
        </w:tc>
        <w:tc>
          <w:tcPr>
            <w:tcW w:type="dxa" w:w="1757"/>
            <w:vAlign w:val="center"/>
            <w:shd w:fill="D9EAF7"/>
          </w:tcPr>
          <w:p>
            <w:pPr>
              <w:spacing w:after="0"/>
            </w:pPr>
            <w:r>
              <w:rPr>
                <w:sz w:val="17"/>
              </w:rPr>
            </w:r>
            <w:r>
              <w:rPr>
                <w:rFonts w:ascii="Times New Roman" w:hAnsi="Times New Roman"/>
                <w:b/>
                <w:sz w:val="16"/>
              </w:rPr>
              <w:t>M7-12</w:t>
            </w:r>
          </w:p>
        </w:tc>
        <w:tc>
          <w:tcPr>
            <w:tcW w:type="dxa" w:w="1757"/>
            <w:vAlign w:val="center"/>
            <w:shd w:fill="D9EAF7"/>
          </w:tcPr>
          <w:p>
            <w:pPr>
              <w:spacing w:after="0"/>
            </w:pPr>
            <w:r>
              <w:rPr>
                <w:sz w:val="17"/>
              </w:rPr>
            </w:r>
            <w:r>
              <w:rPr>
                <w:rFonts w:ascii="Times New Roman" w:hAnsi="Times New Roman"/>
                <w:b/>
                <w:sz w:val="16"/>
              </w:rPr>
              <w:t>M13-18</w:t>
            </w:r>
          </w:p>
        </w:tc>
        <w:tc>
          <w:tcPr>
            <w:tcW w:type="dxa" w:w="1757"/>
            <w:vAlign w:val="center"/>
            <w:shd w:fill="D9EAF7"/>
          </w:tcPr>
          <w:p>
            <w:pPr>
              <w:spacing w:after="0"/>
            </w:pPr>
            <w:r>
              <w:rPr>
                <w:sz w:val="17"/>
              </w:rPr>
            </w:r>
            <w:r>
              <w:rPr>
                <w:rFonts w:ascii="Times New Roman" w:hAnsi="Times New Roman"/>
                <w:b/>
                <w:sz w:val="16"/>
              </w:rPr>
              <w:t>M19-24</w:t>
            </w:r>
          </w:p>
        </w:tc>
        <w:tc>
          <w:tcPr>
            <w:tcW w:type="dxa" w:w="1757"/>
            <w:vAlign w:val="center"/>
            <w:shd w:fill="D9EAF7"/>
          </w:tcPr>
          <w:p>
            <w:pPr>
              <w:spacing w:after="0"/>
            </w:pPr>
            <w:r>
              <w:rPr>
                <w:sz w:val="17"/>
              </w:rPr>
            </w:r>
            <w:r>
              <w:rPr>
                <w:rFonts w:ascii="Times New Roman" w:hAnsi="Times New Roman"/>
                <w:b/>
                <w:sz w:val="16"/>
              </w:rPr>
              <w:t>M25-30</w:t>
            </w:r>
          </w:p>
        </w:tc>
      </w:tr>
      <w:tr>
        <w:tc>
          <w:tcPr>
            <w:tcW w:type="dxa" w:w="1757"/>
            <w:vAlign w:val="center"/>
          </w:tcPr>
          <w:p>
            <w:pPr>
              <w:spacing w:after="0"/>
            </w:pPr>
            <w:r>
              <w:rPr>
                <w:sz w:val="17"/>
              </w:rPr>
            </w:r>
            <w:r>
              <w:rPr>
                <w:rFonts w:ascii="Times New Roman" w:hAnsi="Times New Roman"/>
                <w:b/>
                <w:sz w:val="16"/>
              </w:rPr>
              <w:t>WP1 Data/target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r>
          </w:p>
        </w:tc>
        <w:tc>
          <w:tcPr>
            <w:tcW w:type="dxa" w:w="1757"/>
            <w:vAlign w:val="center"/>
          </w:tcPr>
          <w:p>
            <w:pPr>
              <w:spacing w:after="0"/>
            </w:pPr>
            <w:r>
              <w:rPr>
                <w:sz w:val="17"/>
              </w:rPr>
            </w:r>
            <w:r>
              <w:rPr>
                <w:rFonts w:ascii="Times New Roman" w:hAnsi="Times New Roman"/>
                <w:b w:val="0"/>
                <w:sz w:val="16"/>
              </w:rPr>
            </w:r>
          </w:p>
        </w:tc>
        <w:tc>
          <w:tcPr>
            <w:tcW w:type="dxa" w:w="1757"/>
            <w:vAlign w:val="center"/>
          </w:tcPr>
          <w:p>
            <w:pPr>
              <w:spacing w:after="0"/>
            </w:pPr>
            <w:r>
              <w:rPr>
                <w:sz w:val="17"/>
              </w:rPr>
            </w:r>
            <w:r>
              <w:rPr>
                <w:rFonts w:ascii="Times New Roman" w:hAnsi="Times New Roman"/>
                <w:b w:val="0"/>
                <w:sz w:val="16"/>
              </w:rPr>
            </w:r>
          </w:p>
        </w:tc>
        <w:tc>
          <w:tcPr>
            <w:tcW w:type="dxa" w:w="1757"/>
            <w:vAlign w:val="center"/>
          </w:tcPr>
          <w:p>
            <w:pPr>
              <w:spacing w:after="0"/>
            </w:pPr>
            <w:r>
              <w:rPr>
                <w:sz w:val="17"/>
              </w:rPr>
            </w:r>
            <w:r>
              <w:rPr>
                <w:rFonts w:ascii="Times New Roman" w:hAnsi="Times New Roman"/>
                <w:b w:val="0"/>
                <w:sz w:val="16"/>
              </w:rPr>
            </w:r>
          </w:p>
        </w:tc>
      </w:tr>
      <w:tr>
        <w:tc>
          <w:tcPr>
            <w:tcW w:type="dxa" w:w="1757"/>
            <w:vAlign w:val="center"/>
          </w:tcPr>
          <w:p>
            <w:pPr>
              <w:spacing w:after="0"/>
            </w:pPr>
            <w:r>
              <w:rPr>
                <w:sz w:val="17"/>
              </w:rPr>
            </w:r>
            <w:r>
              <w:rPr>
                <w:rFonts w:ascii="Times New Roman" w:hAnsi="Times New Roman"/>
                <w:b/>
                <w:sz w:val="16"/>
              </w:rPr>
              <w:t>WP2 Modelling/scale harmonisation</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r>
          </w:p>
        </w:tc>
        <w:tc>
          <w:tcPr>
            <w:tcW w:type="dxa" w:w="1757"/>
            <w:vAlign w:val="center"/>
          </w:tcPr>
          <w:p>
            <w:pPr>
              <w:spacing w:after="0"/>
            </w:pPr>
            <w:r>
              <w:rPr>
                <w:sz w:val="17"/>
              </w:rPr>
            </w:r>
            <w:r>
              <w:rPr>
                <w:rFonts w:ascii="Times New Roman" w:hAnsi="Times New Roman"/>
                <w:b w:val="0"/>
                <w:sz w:val="16"/>
              </w:rPr>
            </w:r>
          </w:p>
        </w:tc>
      </w:tr>
      <w:tr>
        <w:tc>
          <w:tcPr>
            <w:tcW w:type="dxa" w:w="1757"/>
            <w:vAlign w:val="center"/>
          </w:tcPr>
          <w:p>
            <w:pPr>
              <w:spacing w:after="0"/>
            </w:pPr>
            <w:r>
              <w:rPr>
                <w:sz w:val="17"/>
              </w:rPr>
            </w:r>
            <w:r>
              <w:rPr>
                <w:rFonts w:ascii="Times New Roman" w:hAnsi="Times New Roman"/>
                <w:b/>
                <w:sz w:val="16"/>
              </w:rPr>
              <w:t>WP3 Farmer validation</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r>
          </w:p>
        </w:tc>
        <w:tc>
          <w:tcPr>
            <w:tcW w:type="dxa" w:w="1757"/>
            <w:vAlign w:val="center"/>
          </w:tcPr>
          <w:p>
            <w:pPr>
              <w:spacing w:after="0"/>
            </w:pPr>
            <w:r>
              <w:rPr>
                <w:sz w:val="17"/>
              </w:rPr>
            </w:r>
            <w:r>
              <w:rPr>
                <w:rFonts w:ascii="Times New Roman" w:hAnsi="Times New Roman"/>
                <w:b w:val="0"/>
                <w:sz w:val="16"/>
              </w:rPr>
            </w:r>
          </w:p>
        </w:tc>
      </w:tr>
      <w:tr>
        <w:tc>
          <w:tcPr>
            <w:tcW w:type="dxa" w:w="1757"/>
            <w:vAlign w:val="center"/>
          </w:tcPr>
          <w:p>
            <w:pPr>
              <w:spacing w:after="0"/>
            </w:pPr>
            <w:r>
              <w:rPr>
                <w:sz w:val="17"/>
              </w:rPr>
            </w:r>
            <w:r>
              <w:rPr>
                <w:rFonts w:ascii="Times New Roman" w:hAnsi="Times New Roman"/>
                <w:b/>
                <w:sz w:val="16"/>
              </w:rPr>
              <w:t>WP4 DrR/Krumatic + AgroVIR consultation</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r>
          </w:p>
        </w:tc>
      </w:tr>
      <w:tr>
        <w:tc>
          <w:tcPr>
            <w:tcW w:type="dxa" w:w="1757"/>
            <w:vAlign w:val="center"/>
          </w:tcPr>
          <w:p>
            <w:pPr>
              <w:spacing w:after="0"/>
            </w:pPr>
            <w:r>
              <w:rPr>
                <w:sz w:val="17"/>
              </w:rPr>
            </w:r>
            <w:r>
              <w:rPr>
                <w:rFonts w:ascii="Times New Roman" w:hAnsi="Times New Roman"/>
                <w:b/>
                <w:sz w:val="16"/>
              </w:rPr>
              <w:t>WP5 AgroVIR placement</w:t>
            </w:r>
          </w:p>
        </w:tc>
        <w:tc>
          <w:tcPr>
            <w:tcW w:type="dxa" w:w="1757"/>
            <w:vAlign w:val="center"/>
          </w:tcPr>
          <w:p>
            <w:pPr>
              <w:spacing w:after="0"/>
            </w:pPr>
            <w:r>
              <w:rPr>
                <w:sz w:val="17"/>
              </w:rPr>
            </w:r>
            <w:r>
              <w:rPr>
                <w:rFonts w:ascii="Times New Roman" w:hAnsi="Times New Roman"/>
                <w:b w:val="0"/>
                <w:sz w:val="16"/>
              </w:rPr>
            </w:r>
          </w:p>
        </w:tc>
        <w:tc>
          <w:tcPr>
            <w:tcW w:type="dxa" w:w="1757"/>
            <w:vAlign w:val="center"/>
          </w:tcPr>
          <w:p>
            <w:pPr>
              <w:spacing w:after="0"/>
            </w:pPr>
            <w:r>
              <w:rPr>
                <w:sz w:val="17"/>
              </w:rPr>
            </w:r>
            <w:r>
              <w:rPr>
                <w:rFonts w:ascii="Times New Roman" w:hAnsi="Times New Roman"/>
                <w:b w:val="0"/>
                <w:sz w:val="16"/>
              </w:rPr>
            </w:r>
          </w:p>
        </w:tc>
        <w:tc>
          <w:tcPr>
            <w:tcW w:type="dxa" w:w="1757"/>
            <w:vAlign w:val="center"/>
          </w:tcPr>
          <w:p>
            <w:pPr>
              <w:spacing w:after="0"/>
            </w:pPr>
            <w:r>
              <w:rPr>
                <w:sz w:val="17"/>
              </w:rPr>
            </w:r>
            <w:r>
              <w:rPr>
                <w:rFonts w:ascii="Times New Roman" w:hAnsi="Times New Roman"/>
                <w:b w:val="0"/>
                <w:sz w:val="16"/>
              </w:rPr>
            </w:r>
          </w:p>
        </w:tc>
        <w:tc>
          <w:tcPr>
            <w:tcW w:type="dxa" w:w="1757"/>
            <w:vAlign w:val="center"/>
          </w:tcPr>
          <w:p>
            <w:pPr>
              <w:spacing w:after="0"/>
            </w:pPr>
            <w:r>
              <w:rPr>
                <w:sz w:val="17"/>
              </w:rPr>
            </w:r>
            <w:r>
              <w:rPr>
                <w:rFonts w:ascii="Times New Roman" w:hAnsi="Times New Roman"/>
                <w:b w:val="0"/>
                <w:sz w:val="16"/>
              </w:rPr>
            </w:r>
          </w:p>
        </w:tc>
        <w:tc>
          <w:tcPr>
            <w:tcW w:type="dxa" w:w="1757"/>
            <w:vAlign w:val="center"/>
          </w:tcPr>
          <w:p>
            <w:pPr>
              <w:spacing w:after="0"/>
            </w:pPr>
            <w:r>
              <w:rPr>
                <w:sz w:val="17"/>
              </w:rPr>
            </w:r>
            <w:r>
              <w:rPr>
                <w:rFonts w:ascii="Times New Roman" w:hAnsi="Times New Roman"/>
                <w:b w:val="0"/>
                <w:sz w:val="16"/>
              </w:rPr>
              <w:t>●</w:t>
            </w:r>
          </w:p>
        </w:tc>
      </w:tr>
      <w:tr>
        <w:tc>
          <w:tcPr>
            <w:tcW w:type="dxa" w:w="1757"/>
            <w:vAlign w:val="center"/>
          </w:tcPr>
          <w:p>
            <w:pPr>
              <w:spacing w:after="0"/>
            </w:pPr>
            <w:r>
              <w:rPr>
                <w:sz w:val="17"/>
              </w:rPr>
            </w:r>
            <w:r>
              <w:rPr>
                <w:rFonts w:ascii="Times New Roman" w:hAnsi="Times New Roman"/>
                <w:b/>
                <w:sz w:val="16"/>
              </w:rPr>
              <w:t>Training / two-way transfer</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r>
      <w:tr>
        <w:tc>
          <w:tcPr>
            <w:tcW w:type="dxa" w:w="1757"/>
            <w:vAlign w:val="center"/>
          </w:tcPr>
          <w:p>
            <w:pPr>
              <w:spacing w:after="0"/>
            </w:pPr>
            <w:r>
              <w:rPr>
                <w:sz w:val="17"/>
              </w:rPr>
            </w:r>
            <w:r>
              <w:rPr>
                <w:rFonts w:ascii="Times New Roman" w:hAnsi="Times New Roman"/>
                <w:b/>
                <w:sz w:val="16"/>
              </w:rPr>
              <w:t>Management / Open Science / IP</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r>
      <w:tr>
        <w:tc>
          <w:tcPr>
            <w:tcW w:type="dxa" w:w="1757"/>
            <w:vAlign w:val="center"/>
          </w:tcPr>
          <w:p>
            <w:pPr>
              <w:spacing w:after="0"/>
            </w:pPr>
            <w:r>
              <w:rPr>
                <w:sz w:val="17"/>
              </w:rPr>
            </w:r>
            <w:r>
              <w:rPr>
                <w:rFonts w:ascii="Times New Roman" w:hAnsi="Times New Roman"/>
                <w:b/>
                <w:sz w:val="16"/>
              </w:rPr>
              <w:t>Dissemination / exploitation</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c>
          <w:tcPr>
            <w:tcW w:type="dxa" w:w="1757"/>
            <w:vAlign w:val="center"/>
          </w:tcPr>
          <w:p>
            <w:pPr>
              <w:spacing w:after="0"/>
            </w:pPr>
            <w:r>
              <w:rPr>
                <w:sz w:val="17"/>
              </w:rPr>
            </w:r>
            <w:r>
              <w:rPr>
                <w:rFonts w:ascii="Times New Roman" w:hAnsi="Times New Roman"/>
                <w:b w:val="0"/>
                <w:sz w:val="16"/>
              </w:rPr>
              <w:t>●</w:t>
            </w:r>
          </w:p>
        </w:tc>
      </w:tr>
    </w:tbl>
    <w:p>
      <w:pPr>
        <w:pStyle w:val="Heading3"/>
        <w:keepNext/>
        <w:spacing w:before="100" w:after="60"/>
      </w:pPr>
      <w:r>
        <w:t>Risk management</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Pr>
                <w:sz w:val="17"/>
              </w:rPr>
            </w:r>
            <w:r>
              <w:rPr>
                <w:rFonts w:ascii="Times New Roman" w:hAnsi="Times New Roman"/>
                <w:b/>
                <w:sz w:val="16"/>
              </w:rPr>
              <w:t>Risk</w:t>
            </w:r>
          </w:p>
        </w:tc>
        <w:tc>
          <w:tcPr>
            <w:tcW w:type="dxa" w:w="3513"/>
            <w:vAlign w:val="center"/>
            <w:shd w:fill="D9EAF7"/>
          </w:tcPr>
          <w:p>
            <w:pPr>
              <w:spacing w:after="0"/>
            </w:pPr>
            <w:r>
              <w:rPr>
                <w:sz w:val="17"/>
              </w:rPr>
            </w:r>
            <w:r>
              <w:rPr>
                <w:rFonts w:ascii="Times New Roman" w:hAnsi="Times New Roman"/>
                <w:b/>
                <w:sz w:val="16"/>
              </w:rPr>
              <w:t>L/I</w:t>
            </w:r>
          </w:p>
        </w:tc>
        <w:tc>
          <w:tcPr>
            <w:tcW w:type="dxa" w:w="3513"/>
            <w:vAlign w:val="center"/>
            <w:shd w:fill="D9EAF7"/>
          </w:tcPr>
          <w:p>
            <w:pPr>
              <w:spacing w:after="0"/>
            </w:pPr>
            <w:r>
              <w:rPr>
                <w:sz w:val="17"/>
              </w:rPr>
            </w:r>
            <w:r>
              <w:rPr>
                <w:rFonts w:ascii="Times New Roman" w:hAnsi="Times New Roman"/>
                <w:b/>
                <w:sz w:val="16"/>
              </w:rPr>
              <w:t>Mitigation</w:t>
            </w:r>
          </w:p>
        </w:tc>
      </w:tr>
      <w:tr>
        <w:tc>
          <w:tcPr>
            <w:tcW w:type="dxa" w:w="3513"/>
            <w:vAlign w:val="center"/>
          </w:tcPr>
          <w:p>
            <w:pPr>
              <w:spacing w:after="0"/>
            </w:pPr>
            <w:r>
              <w:rPr>
                <w:sz w:val="17"/>
              </w:rPr>
            </w:r>
            <w:r>
              <w:rPr>
                <w:rFonts w:ascii="Times New Roman" w:hAnsi="Times New Roman"/>
                <w:b w:val="0"/>
                <w:sz w:val="16"/>
              </w:rPr>
              <w:t>Historical MATE variables differ among years</w:t>
            </w:r>
          </w:p>
        </w:tc>
        <w:tc>
          <w:tcPr>
            <w:tcW w:type="dxa" w:w="3513"/>
            <w:vAlign w:val="center"/>
          </w:tcPr>
          <w:p>
            <w:pPr>
              <w:spacing w:after="0"/>
            </w:pPr>
            <w:r>
              <w:rPr>
                <w:sz w:val="17"/>
              </w:rPr>
            </w:r>
            <w:r>
              <w:rPr>
                <w:rFonts w:ascii="Times New Roman" w:hAnsi="Times New Roman"/>
                <w:b w:val="0"/>
                <w:sz w:val="16"/>
              </w:rPr>
              <w:t>M/H</w:t>
            </w:r>
          </w:p>
        </w:tc>
        <w:tc>
          <w:tcPr>
            <w:tcW w:type="dxa" w:w="3513"/>
            <w:vAlign w:val="center"/>
          </w:tcPr>
          <w:p>
            <w:pPr>
              <w:spacing w:after="0"/>
            </w:pPr>
            <w:r>
              <w:rPr>
                <w:sz w:val="17"/>
              </w:rPr>
            </w:r>
            <w:r>
              <w:rPr>
                <w:rFonts w:ascii="Times New Roman" w:hAnsi="Times New Roman"/>
                <w:b w:val="0"/>
                <w:sz w:val="16"/>
              </w:rPr>
              <w:t>Use an explicit year-by-variable matrix; harmonise only defensible common variables; retain year-specific measurements as secondary information.</w:t>
            </w:r>
          </w:p>
        </w:tc>
      </w:tr>
      <w:tr>
        <w:tc>
          <w:tcPr>
            <w:tcW w:type="dxa" w:w="3513"/>
            <w:vAlign w:val="center"/>
          </w:tcPr>
          <w:p>
            <w:pPr>
              <w:spacing w:after="0"/>
            </w:pPr>
            <w:r>
              <w:rPr>
                <w:sz w:val="17"/>
              </w:rPr>
            </w:r>
            <w:r>
              <w:rPr>
                <w:rFonts w:ascii="Times New Roman" w:hAnsi="Times New Roman"/>
                <w:b w:val="0"/>
                <w:sz w:val="16"/>
              </w:rPr>
              <w:t>Effective biological sample size is limited</w:t>
            </w:r>
          </w:p>
        </w:tc>
        <w:tc>
          <w:tcPr>
            <w:tcW w:type="dxa" w:w="3513"/>
            <w:vAlign w:val="center"/>
          </w:tcPr>
          <w:p>
            <w:pPr>
              <w:spacing w:after="0"/>
            </w:pPr>
            <w:r>
              <w:rPr>
                <w:sz w:val="17"/>
              </w:rPr>
            </w:r>
            <w:r>
              <w:rPr>
                <w:rFonts w:ascii="Times New Roman" w:hAnsi="Times New Roman"/>
                <w:b w:val="0"/>
                <w:sz w:val="16"/>
              </w:rPr>
              <w:t>M/H</w:t>
            </w:r>
          </w:p>
        </w:tc>
        <w:tc>
          <w:tcPr>
            <w:tcW w:type="dxa" w:w="3513"/>
            <w:vAlign w:val="center"/>
          </w:tcPr>
          <w:p>
            <w:pPr>
              <w:spacing w:after="0"/>
            </w:pPr>
            <w:r>
              <w:rPr>
                <w:sz w:val="17"/>
              </w:rPr>
            </w:r>
            <w:r>
              <w:rPr>
                <w:rFonts w:ascii="Times New Roman" w:hAnsi="Times New Roman"/>
                <w:b w:val="0"/>
                <w:sz w:val="16"/>
              </w:rPr>
              <w:t>Use repeated-measure/hierarchical structure, conservative feature reduction and parsimonious modelling; no deep-learning dependency.</w:t>
            </w:r>
          </w:p>
        </w:tc>
      </w:tr>
      <w:tr>
        <w:tc>
          <w:tcPr>
            <w:tcW w:type="dxa" w:w="3513"/>
            <w:vAlign w:val="center"/>
          </w:tcPr>
          <w:p>
            <w:pPr>
              <w:spacing w:after="0"/>
            </w:pPr>
            <w:r>
              <w:rPr>
                <w:sz w:val="17"/>
              </w:rPr>
            </w:r>
            <w:r>
              <w:rPr>
                <w:rFonts w:ascii="Times New Roman" w:hAnsi="Times New Roman"/>
                <w:b w:val="0"/>
                <w:sz w:val="16"/>
              </w:rPr>
              <w:t>Farmer site lacks modern monitoring infrastructure</w:t>
            </w:r>
          </w:p>
        </w:tc>
        <w:tc>
          <w:tcPr>
            <w:tcW w:type="dxa" w:w="3513"/>
            <w:vAlign w:val="center"/>
          </w:tcPr>
          <w:p>
            <w:pPr>
              <w:spacing w:after="0"/>
            </w:pPr>
            <w:r>
              <w:rPr>
                <w:sz w:val="17"/>
              </w:rPr>
            </w:r>
            <w:r>
              <w:rPr>
                <w:rFonts w:ascii="Times New Roman" w:hAnsi="Times New Roman"/>
                <w:b w:val="0"/>
                <w:sz w:val="16"/>
              </w:rPr>
              <w:t>H/M</w:t>
            </w:r>
          </w:p>
        </w:tc>
        <w:tc>
          <w:tcPr>
            <w:tcW w:type="dxa" w:w="3513"/>
            <w:vAlign w:val="center"/>
          </w:tcPr>
          <w:p>
            <w:pPr>
              <w:spacing w:after="0"/>
            </w:pPr>
            <w:r>
              <w:rPr>
                <w:sz w:val="17"/>
              </w:rPr>
            </w:r>
            <w:r>
              <w:rPr>
                <w:rFonts w:ascii="Times New Roman" w:hAnsi="Times New Roman"/>
                <w:b w:val="0"/>
                <w:sz w:val="16"/>
              </w:rPr>
              <w:t>Install project meteorological station and soil sensors before the validation campaign; define maintenance and data-quality responsibilities.</w:t>
            </w:r>
          </w:p>
        </w:tc>
      </w:tr>
      <w:tr>
        <w:tc>
          <w:tcPr>
            <w:tcW w:type="dxa" w:w="3513"/>
            <w:vAlign w:val="center"/>
          </w:tcPr>
          <w:p>
            <w:pPr>
              <w:spacing w:after="0"/>
            </w:pPr>
            <w:r>
              <w:rPr>
                <w:sz w:val="17"/>
              </w:rPr>
            </w:r>
            <w:r>
              <w:rPr>
                <w:rFonts w:ascii="Times New Roman" w:hAnsi="Times New Roman"/>
                <w:b w:val="0"/>
                <w:sz w:val="16"/>
              </w:rPr>
              <w:t>Primary farmer access changes or is interrupted</w:t>
            </w:r>
          </w:p>
        </w:tc>
        <w:tc>
          <w:tcPr>
            <w:tcW w:type="dxa" w:w="3513"/>
            <w:vAlign w:val="center"/>
          </w:tcPr>
          <w:p>
            <w:pPr>
              <w:spacing w:after="0"/>
            </w:pPr>
            <w:r>
              <w:rPr>
                <w:sz w:val="17"/>
              </w:rPr>
            </w:r>
            <w:r>
              <w:rPr>
                <w:rFonts w:ascii="Times New Roman" w:hAnsi="Times New Roman"/>
                <w:b w:val="0"/>
                <w:sz w:val="16"/>
              </w:rPr>
              <w:t>M/H</w:t>
            </w:r>
          </w:p>
        </w:tc>
        <w:tc>
          <w:tcPr>
            <w:tcW w:type="dxa" w:w="3513"/>
            <w:vAlign w:val="center"/>
          </w:tcPr>
          <w:p>
            <w:pPr>
              <w:spacing w:after="0"/>
            </w:pPr>
            <w:r>
              <w:rPr>
                <w:sz w:val="17"/>
              </w:rPr>
            </w:r>
            <w:r>
              <w:rPr>
                <w:rFonts w:ascii="Times New Roman" w:hAnsi="Times New Roman"/>
                <w:b w:val="0"/>
                <w:sz w:val="16"/>
              </w:rPr>
              <w:t>Secure written access; maintain the Szentendre Skanzen model-garden route as a contingency subject to formal agreement and scientific suitability.</w:t>
            </w:r>
          </w:p>
        </w:tc>
      </w:tr>
      <w:tr>
        <w:tc>
          <w:tcPr>
            <w:tcW w:type="dxa" w:w="3513"/>
            <w:vAlign w:val="center"/>
          </w:tcPr>
          <w:p>
            <w:pPr>
              <w:spacing w:after="0"/>
            </w:pPr>
            <w:r>
              <w:rPr>
                <w:sz w:val="17"/>
              </w:rPr>
            </w:r>
            <w:r>
              <w:rPr>
                <w:rFonts w:ascii="Times New Roman" w:hAnsi="Times New Roman"/>
                <w:b w:val="0"/>
                <w:sz w:val="16"/>
              </w:rPr>
              <w:t>ELTE instrument access or timing is constrained</w:t>
            </w:r>
          </w:p>
        </w:tc>
        <w:tc>
          <w:tcPr>
            <w:tcW w:type="dxa" w:w="3513"/>
            <w:vAlign w:val="center"/>
          </w:tcPr>
          <w:p>
            <w:pPr>
              <w:spacing w:after="0"/>
            </w:pPr>
            <w:r>
              <w:rPr>
                <w:sz w:val="17"/>
              </w:rPr>
            </w:r>
            <w:r>
              <w:rPr>
                <w:rFonts w:ascii="Times New Roman" w:hAnsi="Times New Roman"/>
                <w:b w:val="0"/>
                <w:sz w:val="16"/>
              </w:rPr>
              <w:t>M/H</w:t>
            </w:r>
          </w:p>
        </w:tc>
        <w:tc>
          <w:tcPr>
            <w:tcW w:type="dxa" w:w="3513"/>
            <w:vAlign w:val="center"/>
          </w:tcPr>
          <w:p>
            <w:pPr>
              <w:spacing w:after="0"/>
            </w:pPr>
            <w:r>
              <w:rPr>
                <w:sz w:val="17"/>
              </w:rPr>
            </w:r>
            <w:r>
              <w:rPr>
                <w:rFonts w:ascii="Times New Roman" w:hAnsi="Times New Roman"/>
                <w:b w:val="0"/>
                <w:sz w:val="16"/>
              </w:rPr>
              <w:t>Use a written equipment/operation schedule; prioritise key physiological dates; retain physiology/proximal sensing as the core pathway if individual UAV campaigns are missed.</w:t>
            </w:r>
          </w:p>
        </w:tc>
      </w:tr>
      <w:tr>
        <w:tc>
          <w:tcPr>
            <w:tcW w:type="dxa" w:w="3513"/>
            <w:vAlign w:val="center"/>
          </w:tcPr>
          <w:p>
            <w:pPr>
              <w:spacing w:after="0"/>
            </w:pPr>
            <w:r>
              <w:rPr>
                <w:sz w:val="17"/>
              </w:rPr>
            </w:r>
            <w:r>
              <w:rPr>
                <w:rFonts w:ascii="Times New Roman" w:hAnsi="Times New Roman"/>
                <w:b w:val="0"/>
                <w:sz w:val="16"/>
              </w:rPr>
              <w:t>Field geometry or clouds limit Sentinel-2 interpretation</w:t>
            </w:r>
          </w:p>
        </w:tc>
        <w:tc>
          <w:tcPr>
            <w:tcW w:type="dxa" w:w="3513"/>
            <w:vAlign w:val="center"/>
          </w:tcPr>
          <w:p>
            <w:pPr>
              <w:spacing w:after="0"/>
            </w:pPr>
            <w:r>
              <w:rPr>
                <w:sz w:val="17"/>
              </w:rPr>
            </w:r>
            <w:r>
              <w:rPr>
                <w:rFonts w:ascii="Times New Roman" w:hAnsi="Times New Roman"/>
                <w:b w:val="0"/>
                <w:sz w:val="16"/>
              </w:rPr>
              <w:t>H/M</w:t>
            </w:r>
          </w:p>
        </w:tc>
        <w:tc>
          <w:tcPr>
            <w:tcW w:type="dxa" w:w="3513"/>
            <w:vAlign w:val="center"/>
          </w:tcPr>
          <w:p>
            <w:pPr>
              <w:spacing w:after="0"/>
            </w:pPr>
            <w:r>
              <w:rPr>
                <w:sz w:val="17"/>
              </w:rPr>
            </w:r>
            <w:r>
              <w:rPr>
                <w:rFonts w:ascii="Times New Roman" w:hAnsi="Times New Roman"/>
                <w:b w:val="0"/>
                <w:sz w:val="16"/>
              </w:rPr>
              <w:t>Use Sentinel only where valid pixels support field-scale inference; rely on UAV/proximal observations for finer spatial scales.</w:t>
            </w:r>
          </w:p>
        </w:tc>
      </w:tr>
      <w:tr>
        <w:tc>
          <w:tcPr>
            <w:tcW w:type="dxa" w:w="3513"/>
            <w:vAlign w:val="center"/>
          </w:tcPr>
          <w:p>
            <w:pPr>
              <w:spacing w:after="0"/>
            </w:pPr>
            <w:r>
              <w:rPr>
                <w:sz w:val="17"/>
              </w:rPr>
            </w:r>
            <w:r>
              <w:rPr>
                <w:rFonts w:ascii="Times New Roman" w:hAnsi="Times New Roman"/>
                <w:b w:val="0"/>
                <w:sz w:val="16"/>
              </w:rPr>
              <w:t>Prospective performance drops</w:t>
            </w:r>
          </w:p>
        </w:tc>
        <w:tc>
          <w:tcPr>
            <w:tcW w:type="dxa" w:w="3513"/>
            <w:vAlign w:val="center"/>
          </w:tcPr>
          <w:p>
            <w:pPr>
              <w:spacing w:after="0"/>
            </w:pPr>
            <w:r>
              <w:rPr>
                <w:sz w:val="17"/>
              </w:rPr>
            </w:r>
            <w:r>
              <w:rPr>
                <w:rFonts w:ascii="Times New Roman" w:hAnsi="Times New Roman"/>
                <w:b w:val="0"/>
                <w:sz w:val="16"/>
              </w:rPr>
              <w:t>M/H</w:t>
            </w:r>
          </w:p>
        </w:tc>
        <w:tc>
          <w:tcPr>
            <w:tcW w:type="dxa" w:w="3513"/>
            <w:vAlign w:val="center"/>
          </w:tcPr>
          <w:p>
            <w:pPr>
              <w:spacing w:after="0"/>
            </w:pPr>
            <w:r>
              <w:rPr>
                <w:sz w:val="17"/>
              </w:rPr>
            </w:r>
            <w:r>
              <w:rPr>
                <w:rFonts w:ascii="Times New Roman" w:hAnsi="Times New Roman"/>
                <w:b w:val="0"/>
                <w:sz w:val="16"/>
              </w:rPr>
              <w:t>Treat transfer loss as a scientific result; quantify uncertainty and use limited transparent recalibration rather than hiding the gap.</w:t>
            </w:r>
          </w:p>
        </w:tc>
      </w:tr>
      <w:tr>
        <w:tc>
          <w:tcPr>
            <w:tcW w:type="dxa" w:w="3513"/>
            <w:vAlign w:val="center"/>
          </w:tcPr>
          <w:p>
            <w:pPr>
              <w:spacing w:after="0"/>
            </w:pPr>
            <w:r>
              <w:rPr>
                <w:sz w:val="17"/>
              </w:rPr>
            </w:r>
            <w:r>
              <w:rPr>
                <w:rFonts w:ascii="Times New Roman" w:hAnsi="Times New Roman"/>
                <w:b w:val="0"/>
                <w:sz w:val="16"/>
              </w:rPr>
              <w:t>Krumatic web development is delayed</w:t>
            </w:r>
          </w:p>
        </w:tc>
        <w:tc>
          <w:tcPr>
            <w:tcW w:type="dxa" w:w="3513"/>
            <w:vAlign w:val="center"/>
          </w:tcPr>
          <w:p>
            <w:pPr>
              <w:spacing w:after="0"/>
            </w:pPr>
            <w:r>
              <w:rPr>
                <w:sz w:val="17"/>
              </w:rPr>
            </w:r>
            <w:r>
              <w:rPr>
                <w:rFonts w:ascii="Times New Roman" w:hAnsi="Times New Roman"/>
                <w:b w:val="0"/>
                <w:sz w:val="16"/>
              </w:rPr>
              <w:t>M/M</w:t>
            </w:r>
          </w:p>
        </w:tc>
        <w:tc>
          <w:tcPr>
            <w:tcW w:type="dxa" w:w="3513"/>
            <w:vAlign w:val="center"/>
          </w:tcPr>
          <w:p>
            <w:pPr>
              <w:spacing w:after="0"/>
            </w:pPr>
            <w:r>
              <w:rPr>
                <w:sz w:val="17"/>
              </w:rPr>
            </w:r>
            <w:r>
              <w:rPr>
                <w:rFonts w:ascii="Times New Roman" w:hAnsi="Times New Roman"/>
                <w:b w:val="0"/>
                <w:sz w:val="16"/>
              </w:rPr>
              <w:t>Develop incrementally from the existing desktop prototype; scientific deliverables remain primary; prioritise validated core functions over feature breadth.</w:t>
            </w:r>
          </w:p>
        </w:tc>
      </w:tr>
      <w:tr>
        <w:tc>
          <w:tcPr>
            <w:tcW w:type="dxa" w:w="3513"/>
            <w:vAlign w:val="center"/>
          </w:tcPr>
          <w:p>
            <w:pPr>
              <w:spacing w:after="0"/>
            </w:pPr>
            <w:r>
              <w:rPr>
                <w:sz w:val="17"/>
              </w:rPr>
            </w:r>
            <w:r>
              <w:rPr>
                <w:rFonts w:ascii="Times New Roman" w:hAnsi="Times New Roman"/>
                <w:b w:val="0"/>
                <w:sz w:val="16"/>
              </w:rPr>
              <w:t>AgroVIR cannot provide proprietary/customer data</w:t>
            </w:r>
          </w:p>
        </w:tc>
        <w:tc>
          <w:tcPr>
            <w:tcW w:type="dxa" w:w="3513"/>
            <w:vAlign w:val="center"/>
          </w:tcPr>
          <w:p>
            <w:pPr>
              <w:spacing w:after="0"/>
            </w:pPr>
            <w:r>
              <w:rPr>
                <w:sz w:val="17"/>
              </w:rPr>
            </w:r>
            <w:r>
              <w:rPr>
                <w:rFonts w:ascii="Times New Roman" w:hAnsi="Times New Roman"/>
                <w:b w:val="0"/>
                <w:sz w:val="16"/>
              </w:rPr>
              <w:t>L/M</w:t>
            </w:r>
          </w:p>
        </w:tc>
        <w:tc>
          <w:tcPr>
            <w:tcW w:type="dxa" w:w="3513"/>
            <w:vAlign w:val="center"/>
          </w:tcPr>
          <w:p>
            <w:pPr>
              <w:spacing w:after="0"/>
            </w:pPr>
            <w:r>
              <w:rPr>
                <w:sz w:val="17"/>
              </w:rPr>
            </w:r>
            <w:r>
              <w:rPr>
                <w:rFonts w:ascii="Times New Roman" w:hAnsi="Times New Roman"/>
                <w:b w:val="0"/>
                <w:sz w:val="16"/>
              </w:rPr>
              <w:t>Design placement around usability/interoperability requirements and protected/coded extracts; unrestricted customer-system access is not a project dependency.</w:t>
            </w:r>
          </w:p>
        </w:tc>
      </w:tr>
      <w:tr>
        <w:tc>
          <w:tcPr>
            <w:tcW w:type="dxa" w:w="3513"/>
            <w:vAlign w:val="center"/>
          </w:tcPr>
          <w:p>
            <w:pPr>
              <w:spacing w:after="0"/>
            </w:pPr>
            <w:r>
              <w:rPr>
                <w:sz w:val="17"/>
              </w:rPr>
            </w:r>
            <w:r>
              <w:rPr>
                <w:rFonts w:ascii="Times New Roman" w:hAnsi="Times New Roman"/>
                <w:b w:val="0"/>
                <w:sz w:val="16"/>
              </w:rPr>
              <w:t>MATE-derived assets have commercial restrictions</w:t>
            </w:r>
          </w:p>
        </w:tc>
        <w:tc>
          <w:tcPr>
            <w:tcW w:type="dxa" w:w="3513"/>
            <w:vAlign w:val="center"/>
          </w:tcPr>
          <w:p>
            <w:pPr>
              <w:spacing w:after="0"/>
            </w:pPr>
            <w:r>
              <w:rPr>
                <w:sz w:val="17"/>
              </w:rPr>
            </w:r>
            <w:r>
              <w:rPr>
                <w:rFonts w:ascii="Times New Roman" w:hAnsi="Times New Roman"/>
                <w:b w:val="0"/>
                <w:sz w:val="16"/>
              </w:rPr>
              <w:t>M/H</w:t>
            </w:r>
          </w:p>
        </w:tc>
        <w:tc>
          <w:tcPr>
            <w:tcW w:type="dxa" w:w="3513"/>
            <w:vAlign w:val="center"/>
          </w:tcPr>
          <w:p>
            <w:pPr>
              <w:spacing w:after="0"/>
            </w:pPr>
            <w:r>
              <w:rPr>
                <w:sz w:val="17"/>
              </w:rPr>
            </w:r>
            <w:r>
              <w:rPr>
                <w:rFonts w:ascii="Times New Roman" w:hAnsi="Times New Roman"/>
                <w:b w:val="0"/>
                <w:sz w:val="16"/>
              </w:rPr>
              <w:t>Use for approved research; maintain background/foreground inventory and conduct institutional data-rights/IP assessment before commercial exploitation.</w:t>
            </w:r>
          </w:p>
        </w:tc>
      </w:tr>
    </w:tbl>
    <w:p>
      <w:pPr>
        <w:pStyle w:val="Heading2"/>
        <w:keepNext/>
        <w:spacing w:before="100" w:after="60"/>
      </w:pPr>
      <w:r>
        <w:t>3.2 Quality and capacity of participating organisations</w:t>
      </w:r>
    </w:p>
    <w:p>
      <w:pPr>
        <w:keepNext w:val="0"/>
        <w:spacing w:after="60" w:line="240" w:lineRule="auto"/>
      </w:pPr>
      <w:r>
        <w:rPr>
          <w:b/>
        </w:rPr>
        <w:t xml:space="preserve">HUN-REN Centre for Agricultural Research (beneficiary/host). </w:t>
      </w:r>
      <w:r>
        <w:t>HUN-REN ATK provides the primary supervision, modelling and data-integration environment through Dr. Roland Hollós, together with access to the wider HUN-REN AI/data-processing infrastructure where computationally intensive analysis is required. The host also provides complementary plant-physiology expertise, including Prof. Tibor Janda, head of the Plant Physiology and Metabolomics Department at the Agricultural Institute. The exact hosting unit, office/laboratory arrangements, support services, committed supervision effort and institutional identifiers will be inserted following formal HUN-REN confirmation.</w:t>
      </w:r>
    </w:p>
    <w:p>
      <w:pPr>
        <w:keepNext w:val="0"/>
        <w:spacing w:after="60" w:line="240" w:lineRule="auto"/>
      </w:pPr>
      <w:r>
        <w:rPr>
          <w:b/>
        </w:rPr>
        <w:t xml:space="preserve">ELTE (associated partner). </w:t>
      </w:r>
      <w:r>
        <w:t>Prof. András Jung and the Multisensor-Drone-Image Fusion research environment provide geoinformatics, hyperspectral/UAV methods and multisensor data fusion. The available infrastructure includes a DJI Matrice 350 RTK platform and sensors including DJI Zenmuse P1, L1 and H20T, together with Cubert ULTRIS 5 hyperspectral capability; additional laboratory hyperspectral resources (including the CUVIS system identified by the partner) will be used subject to the written instrument-access confirmation. ELTE also provides relevant software environments including ArcGIS/ENVI/MATLAB and open geospatial tools such as GEE, QGIS and SNAP. The fellow holds an A1/A3 UAV pilot licence and will be supported by Dr. Zsófia Varga for practical UAV operations.</w:t>
      </w:r>
    </w:p>
    <w:p>
      <w:pPr>
        <w:keepNext w:val="0"/>
        <w:spacing w:after="60" w:line="240" w:lineRule="auto"/>
      </w:pPr>
      <w:r>
        <w:t>MATE (source scientific environment). MATE provides the heterogeneous 2022-2026 processing-tomato archive that makes processing tomato the strongest development crop for FIELDWISE, together with experimental/irrigation knowledge and access to relevant validation instruments including stomatal resistance/conductance equipment, SPAD chlorophyll meters, VIS-NIR and VIS-NIR-SWIR leaf spectroradiometers (approximately 325-1075 nm and 350-2500 nm), soil-water measurements and CWSI/thermal assessment tools where available. Dr. Sándor Takács provides experimental and horticultural expertise; Prof. Gábor Milics provides precision-agriculture and decision-support consultation. The MATE evidence base anchors the first crop module while the project documents what must be revalidated when the framework is extended to other irrigated high-value horticultural crops.</w:t>
      </w:r>
    </w:p>
    <w:p>
      <w:pPr>
        <w:keepNext w:val="0"/>
        <w:spacing w:after="60" w:line="240" w:lineRule="auto"/>
      </w:pPr>
      <w:r>
        <w:rPr>
          <w:b/>
        </w:rPr>
        <w:t xml:space="preserve">Independent commercial farmer validation site. </w:t>
      </w:r>
      <w:r>
        <w:t>The site is secured through an established professional relationship of the fellow and provides realistic crop husbandry and field-management conditions. FIELDWISE will add the required meteorological and soil-sensor infrastructure and retain responsibility for scientific measurements. The farmer is a collaborating validation environment, not a formal MSCA beneficiary/associated partner unless the consortium later decides otherwise.</w:t>
      </w:r>
    </w:p>
    <w:p>
      <w:pPr>
        <w:keepNext w:val="0"/>
        <w:spacing w:after="60" w:line="240" w:lineRule="auto"/>
      </w:pPr>
      <w:r>
        <w:t>Krumatic Ltd. (associated non-academic partner). Krumatic is a Bulgarian technology and digital-solutions company with experience in software implementation and systems integration, including previous involvement in deployment of the AgroVIR farm-management platform in Bulgaria. From project start, a developer will support coding and progressive DrR web-MVP implementation, including the crop-configurable architecture required for later crop modules. Krumatic will also support Bulgarian farmer demonstrations, communication and uptake. This role is distinct from AgroVIR's operational/FMIS evaluation function.</w:t>
      </w:r>
    </w:p>
    <w:p>
      <w:pPr>
        <w:keepNext w:val="0"/>
        <w:spacing w:after="60" w:line="240" w:lineRule="auto"/>
      </w:pPr>
      <w:r>
        <w:rPr>
          <w:b/>
        </w:rPr>
        <w:t xml:space="preserve">AgroVIR (operational evaluator and placement host). </w:t>
      </w:r>
      <w:r>
        <w:t>AgroVIR provides farm-management-software expertise and structured requirements consultation from the beginning of the project. During M25-M30, it provides the non-academic environment for formal operational evaluation of usability, data requirements, interoperability and future FMIS integration. The placement is designed so that protected/coded information is sufficient; unrestricted access to proprietary customer data or production systems is not required.</w:t>
      </w:r>
    </w:p>
    <w:p>
      <w:pPr>
        <w:keepNext w:val="0"/>
        <w:spacing w:after="60" w:line="240" w:lineRule="auto"/>
      </w:pPr>
      <w:r>
        <w:rPr>
          <w:b/>
        </w:rPr>
        <w:t xml:space="preserve">Szentendre Skanzen contingency environment. </w:t>
      </w:r>
      <w:r>
        <w:t>Collaboration between the Bulgarian Republican Self-Government in Hungary and the Hungarian Open-Air Ethnographic Museum is developing a model Bulgarian garden intended to demonstrate traditional horticultural techniques and crops including Bulgarian tomato varieties. FIELDWISE will use this only as a backup/complementary validation option after formal agreement and scientific suitability assessment. It also offers a potential communication route linking horticultural heritage and contemporary precision agriculture.</w:t>
      </w:r>
    </w:p>
    <w:p>
      <w:pPr>
        <w:keepNext w:val="0"/>
        <w:spacing w:after="60" w:line="240" w:lineRule="auto"/>
      </w:pPr>
      <w:r>
        <w:t>MVCRI, Bulgarian Agricultural Academy (post-MSCA replication and bilateral development route). MVCRI in Plovdiv remains strategically important for subsequent replication under Bulgarian vegetable-production conditions and additional tomato material. After the first processing-tomato module and MVP have been scientifically validated in Hungary, the fellow intends to test transferability in Bulgaria, quantify the need for local recalibration and progressively extend the framework to additional irrigated high-value horticultural crops. This continuation can also support joint publications, bilateral and European proposals, researcher/student mobility, short specialised teaching activities and a stronger Hungary-Bulgaria bridge linking plant physiology, horticulture, remote sensing, precision agriculture and agricultural data science. Keeping the full Bulgarian replication outside the core 24-month scientific work plan protects feasibility while preserving a concrete post-MSCA route.</w:t>
      </w:r>
    </w:p>
    <w:p>
      <w:pPr>
        <w:pStyle w:val="Heading2"/>
        <w:keepNext/>
        <w:spacing w:before="100" w:after="60"/>
      </w:pPr>
      <w:r>
        <w:t>Project in one sentence</w:t>
      </w:r>
    </w:p>
    <w:p>
      <w:pPr>
        <w:keepNext w:val="0"/>
        <w:spacing w:after="60" w:line="240" w:lineRule="auto"/>
      </w:pPr>
      <w:r>
        <w:t>FIELDWISE will use heterogeneous 2022-2026 MATE physiological, soil, meteorological and proximal spectral observations to build and validate the first processing-tomato module of a physiologically grounded, crop-configurable irrigation decision-support framework for irrigated high-value horticulture; develop an interpretable HUN-REN-led predictive workflow; bridge sensing scales with ELTE hyperspectral/UAV/EO expertise; test transfer prospectively in a newly instrumented commercial farmer field; and translate the validated architecture into a DrR web MVP designed for later crop-specific extension and evaluated by AgroVIR.</w:t>
      </w:r>
    </w:p>
    <w:p>
      <w:pPr>
        <w:pStyle w:val="Heading2"/>
        <w:keepNext/>
        <w:spacing w:before="100" w:after="60"/>
      </w:pPr>
      <w:r>
        <w:t>Core message</w:t>
      </w:r>
    </w:p>
    <w:p>
      <w:pPr>
        <w:keepNext w:val="0"/>
        <w:spacing w:after="60" w:line="240" w:lineRule="auto"/>
      </w:pPr>
      <w:r>
        <w:t>FIELDWISE moves crop-stress modelling beyond retrospective accuracy by asking whether a physiologically meaningful water-stress signal survives unseen years, a new real production environment and a change of sensing scale - and whether the validated workflow can be separated into a reusable decision-support core and crop-specific biological/calibration components. Processing tomato is the evidence-rich starting crop because five years of scientific data and strong collaborations already exist; the ambition is a scientifically controlled pathway toward additional irrigated high-value horticultural crops, not a universal tomato model imposed on all crops. The project therefore combines biological grounding, rigorous transferability testing and realistic research-to-operation translation.</w:t>
      </w:r>
    </w:p>
    <w:p>
      <w:pPr>
        <w:pStyle w:val="Heading2"/>
        <w:keepNext/>
        <w:spacing w:before="100" w:after="60"/>
      </w:pPr>
      <w:r>
        <w:t>Selected references supporting the impact magnitude context</w:t>
      </w:r>
    </w:p>
    <w:p>
      <w:pPr>
        <w:pStyle w:val="ListBullet"/>
        <w:spacing w:after="30"/>
        <w:ind w:left="259" w:hanging="144"/>
      </w:pPr>
      <w:r>
        <w:t>Carucci, F., Gagliardi, A., Giuliani, M.M., Gatta, G. (2023). Irrigation Scheduling in Processing Tomato to Save Water: A Smart Approach Combining Plant and Soil Monitoring. Applied Sciences 13, 7625. https://doi.org/10.3390/app13137625.</w:t>
      </w:r>
    </w:p>
    <w:p>
      <w:pPr>
        <w:pStyle w:val="ListBullet"/>
        <w:spacing w:after="30"/>
        <w:ind w:left="259" w:hanging="144"/>
      </w:pPr>
      <w:r>
        <w:t>Badr, M.A., Ali, E., Salman, S.R. (2026). Effect of regulated and controlled deficit irrigation on yield and yield response factor of processing tomato. BMC Plant Biology 26, 169. https://doi.org/10.1186/s12870-025-08065-6.</w:t>
      </w:r>
    </w:p>
    <w:p>
      <w:pPr>
        <w:pStyle w:val="ListBullet"/>
        <w:spacing w:after="30"/>
        <w:ind w:left="259" w:hanging="144"/>
      </w:pPr>
      <w:r>
        <w:t>Eurostat (2024). Key figures on the European food chain - 2024 edition. Fresh vegetables: approximately 2.0 million ha in the EU in 2023.</w:t>
      </w:r>
    </w:p>
    <w:p>
      <w:pPr>
        <w:pStyle w:val="ListBullet"/>
        <w:spacing w:after="30"/>
        <w:ind w:left="259" w:hanging="144"/>
      </w:pPr>
      <w:r>
        <w:t>Eurostat (2025). The fruit and vegetable sector in the EU - a statistical overview. About 0.7 million EU farms cultivated fresh vegetables in 2020.</w:t>
      </w:r>
    </w:p>
    <w:p>
      <w:r>
        <w:t>Ministry of Agriculture and Food, Bulgaria (2025). Vegetable production in Bulgaria - harvest 2024, No. 452. Main vegetable area 35.6 thousand ha; tomato production about 128 thousand tonnes.</w:t>
      </w:r>
    </w:p>
    <w:p>
      <w:pPr>
        <w:pStyle w:val="Heading1"/>
      </w:pPr>
      <w:r>
        <w:rPr>
          <w:color w:val="1F4E78"/>
        </w:rPr>
        <w:t>APPENDIX A - DrR background, current use and research-to-application pathway</w:t>
      </w:r>
    </w:p>
    <w:p>
      <w:r>
        <w:rPr>
          <w:b/>
          <w:color w:val="1F4E78"/>
          <w:sz w:val="22"/>
        </w:rPr>
        <w:t>A1. Current status</w:t>
      </w:r>
    </w:p>
    <w:p>
      <w:pPr>
        <w:spacing w:after="140"/>
      </w:pPr>
      <w:r>
        <w:t>DrR - Digital Agronomist is a pre-existing research tool initiated and developed by the fellow independently, using her own time and personal financial resources. It is currently used by the fellow in her research activities at MVCRI as a collector, monitoring and integration environment for field sensors, environmental observations and Earth-observation information. It is not currently a validated irrigation-advisory product, and the proposal should avoid wording that implies formal institutional MVCRI ownership or adoption unless MVCRI confirms that position.</w:t>
      </w:r>
    </w:p>
    <w:p>
      <w:r>
        <w:rPr>
          <w:b/>
          <w:color w:val="1F4E78"/>
          <w:sz w:val="22"/>
        </w:rPr>
        <w:t>A2. Why FIELDWISE uses DrR</w:t>
      </w:r>
    </w:p>
    <w:p>
      <w:pPr>
        <w:spacing w:after="140"/>
      </w:pPr>
      <w:r>
        <w:t>The existence of DrR demonstrates that the fellow has already identified and started solving a real research-data integration problem. FIELDWISE does not request an MSCA fellowship merely to improve private software. Instead, the fellowship supplies the scientific modelling, validation, uncertainty and transferability work that the current monitoring tool does not yet contain. DrR provides an efficient route for turning validated scientific outputs into an operationally testable MVP.</w:t>
      </w:r>
    </w:p>
    <w:p>
      <w:r>
        <w:rPr>
          <w:b/>
          <w:color w:val="1F4E78"/>
          <w:sz w:val="22"/>
        </w:rPr>
        <w:t>A3. Intended development</w:t>
      </w:r>
    </w:p>
    <w:p>
      <w:pPr>
        <w:spacing w:after="140"/>
      </w:pPr>
      <w:r>
        <w:t>Existing monitoring/data-integration tool -&gt; scientifically validated plant-water-stress target -&gt; parsimonious predictive model -&gt; calibrated uncertainty -&gt; independent commercial-field validation -&gt; crop-configurable decision logic -&gt; web MVP -&gt; AgroVIR operational assessment. The objective is to make the outputs scientifically more precise, biologically interpretable and useful for farmer decisions.</w:t>
      </w:r>
    </w:p>
    <w:p>
      <w:r>
        <w:rPr>
          <w:b/>
          <w:color w:val="1F4E78"/>
          <w:sz w:val="22"/>
        </w:rPr>
        <w:t>A4. Crop transferability</w:t>
      </w:r>
    </w:p>
    <w:p>
      <w:pPr>
        <w:spacing w:after="140"/>
      </w:pPr>
      <w:r>
        <w:t>Processing tomato is the first crop module because the historical evidence base already exists. DrR should be designed around a reusable core (data ingestion, sensor/EO integration, modelling interfaces, uncertainty, visualisation and irrigation-attention logic) plus crop-specific modules (physiology, phenology, relevant predictors, thresholds and calibration). Transfer to another crop therefore requires scientific validation/calibration rather than rebuilding the entire platform or assuming tomato thresholds are universal.</w:t>
      </w:r>
    </w:p>
    <w:p>
      <w:r>
        <w:rPr>
          <w:b/>
          <w:color w:val="1F4E78"/>
          <w:sz w:val="22"/>
        </w:rPr>
        <w:t>A5. IP/data safeguards</w:t>
      </w:r>
    </w:p>
    <w:p>
      <w:pPr>
        <w:spacing w:after="140"/>
      </w:pPr>
      <w:r>
        <w:t>The consortium should document what exact DrR version/code/database architecture existed before the MSCA start date. HUN-REN should receive the access rights needed to use that background for the action while the pre-existing ownership position is preserved. FIELDWISE foreground and Krumatic-developed code need their own ownership/licence rules. MATE, MVCRI and farmer datasets remain separate rights layers and must not be treated as personal assets simply because they can be viewed or integrated through DrR.</w:t>
      </w:r>
    </w:p>
    <w:p>
      <w:r>
        <w:br w:type="page"/>
      </w:r>
    </w:p>
    <w:p>
      <w:pPr>
        <w:pStyle w:val="Heading1"/>
      </w:pPr>
      <w:r>
        <w:rPr>
          <w:color w:val="1F4E78"/>
        </w:rPr>
        <w:t>APPENDIX B - Longer-term Hungary-Bulgaria scientific and educational pathway</w:t>
      </w:r>
    </w:p>
    <w:p>
      <w:r>
        <w:t>The post-MSCA ambition is broader than deployment of a single MVP. After the first processing-tomato module has been developed and validated in Hungary, MVCRI and the Bulgarian Agricultural Academy offer a scientifically relevant environment for replication under different horticultural conditions, additional tomato material and later additional irrigated high-value horticultural crops.</w:t>
      </w:r>
    </w:p>
    <w:p>
      <w:r>
        <w:t>The follow-on programme can quantify which model relationships transfer without modification, which require local recalibration and whether the same core DrR architecture can support crop-specific modules in Bulgaria. This creates a genuine geographic and biological transferability agenda rather than a marketing-only expansion.</w:t>
      </w:r>
    </w:p>
    <w:p>
      <w:r>
        <w:t>The fellow's previous university teaching experience also creates an educational route. Knowledge gained through HUN-REN, ELTE, MATE and the AgroVIR placement can be transferred through guest lectures, short courses, practical demonstrations and student/researcher mobility connecting plant stress physiology with precision agriculture, UAV/EO, modelling and agricultural data science.</w:t>
      </w:r>
    </w:p>
    <w:p>
      <w:r>
        <w:t>Potential continuation activities include joint Hungary-Bulgaria field studies; joint publications; COST, Horizon Europe, bilateral or national proposals; MSc/PhD mobility; short teaching modules; farmer demonstrations; and progressive validation of additional high-value horticultural crop modules.</w:t>
      </w:r>
    </w:p>
    <w:p>
      <w:r>
        <w:br w:type="page"/>
      </w:r>
    </w:p>
    <w:p>
      <w:pPr>
        <w:pStyle w:val="Heading1"/>
      </w:pPr>
      <w:r>
        <w:rPr>
          <w:color w:val="1F4E78"/>
        </w:rPr>
        <w:t>APPENDIX C - Partner action checklist before final MSCA drafting</w:t>
      </w:r>
    </w:p>
    <w:tbl>
      <w:tblPr>
        <w:tblStyle w:val="TableGrid"/>
        <w:tblW w:type="auto" w:w="0"/>
        <w:jc w:val="center"/>
        <w:tblLook w:firstColumn="1" w:firstRow="1" w:lastColumn="0" w:lastRow="0" w:noHBand="0" w:noVBand="1" w:val="04A0"/>
      </w:tblPr>
      <w:tblGrid>
        <w:gridCol w:w="2635"/>
        <w:gridCol w:w="2635"/>
        <w:gridCol w:w="2635"/>
        <w:gridCol w:w="2635"/>
      </w:tblGrid>
      <w:tr>
        <w:trPr>
          <w:tblHeader w:val="true"/>
        </w:trPr>
        <w:tc>
          <w:tcPr>
            <w:tcW w:type="dxa" w:w="2635"/>
            <w:vAlign w:val="center"/>
            <w:shd w:fill="1F4E78"/>
          </w:tcPr>
          <w:p>
            <w:pPr>
              <w:spacing w:after="0"/>
            </w:pPr>
            <w:r>
              <w:rPr>
                <w:color w:val="FFFFFF"/>
                <w:sz w:val="17"/>
              </w:rPr>
            </w:r>
            <w:r>
              <w:rPr>
                <w:b/>
                <w:color w:val="FFFFFF"/>
                <w:sz w:val="17"/>
              </w:rPr>
              <w:t>Priority</w:t>
            </w:r>
          </w:p>
        </w:tc>
        <w:tc>
          <w:tcPr>
            <w:tcW w:type="dxa" w:w="2635"/>
            <w:vAlign w:val="center"/>
            <w:shd w:fill="1F4E78"/>
          </w:tcPr>
          <w:p>
            <w:pPr>
              <w:spacing w:after="0"/>
            </w:pPr>
            <w:r>
              <w:rPr>
                <w:color w:val="FFFFFF"/>
                <w:sz w:val="17"/>
              </w:rPr>
            </w:r>
            <w:r>
              <w:rPr>
                <w:b/>
                <w:color w:val="FFFFFF"/>
                <w:sz w:val="17"/>
              </w:rPr>
              <w:t>Action</w:t>
            </w:r>
          </w:p>
        </w:tc>
        <w:tc>
          <w:tcPr>
            <w:tcW w:type="dxa" w:w="2635"/>
            <w:vAlign w:val="center"/>
            <w:shd w:fill="1F4E78"/>
          </w:tcPr>
          <w:p>
            <w:pPr>
              <w:spacing w:after="0"/>
            </w:pPr>
            <w:r>
              <w:rPr>
                <w:color w:val="FFFFFF"/>
                <w:sz w:val="17"/>
              </w:rPr>
            </w:r>
            <w:r>
              <w:rPr>
                <w:b/>
                <w:color w:val="FFFFFF"/>
                <w:sz w:val="17"/>
              </w:rPr>
              <w:t>Owner</w:t>
            </w:r>
          </w:p>
        </w:tc>
        <w:tc>
          <w:tcPr>
            <w:tcW w:type="dxa" w:w="2635"/>
            <w:vAlign w:val="center"/>
            <w:shd w:fill="1F4E78"/>
          </w:tcPr>
          <w:p>
            <w:pPr>
              <w:spacing w:after="0"/>
            </w:pPr>
            <w:r>
              <w:rPr>
                <w:color w:val="FFFFFF"/>
                <w:sz w:val="17"/>
              </w:rPr>
            </w:r>
            <w:r>
              <w:rPr>
                <w:b/>
                <w:color w:val="FFFFFF"/>
                <w:sz w:val="17"/>
              </w:rPr>
              <w:t>Why it matters</w:t>
            </w:r>
          </w:p>
        </w:tc>
      </w:tr>
      <w:tr>
        <w:tc>
          <w:tcPr>
            <w:tcW w:type="dxa" w:w="2635"/>
            <w:vAlign w:val="center"/>
            <w:shd w:fill="FCE4D6"/>
          </w:tcPr>
          <w:p>
            <w:pPr>
              <w:spacing w:after="0"/>
            </w:pPr>
            <w:r>
              <w:rPr>
                <w:sz w:val="17"/>
              </w:rPr>
            </w:r>
            <w:r>
              <w:rPr>
                <w:b w:val="0"/>
                <w:sz w:val="17"/>
              </w:rPr>
              <w:t>1</w:t>
            </w:r>
          </w:p>
        </w:tc>
        <w:tc>
          <w:tcPr>
            <w:tcW w:type="dxa" w:w="2635"/>
            <w:vAlign w:val="center"/>
          </w:tcPr>
          <w:p>
            <w:pPr>
              <w:spacing w:after="0"/>
            </w:pPr>
            <w:r>
              <w:rPr>
                <w:sz w:val="17"/>
              </w:rPr>
            </w:r>
            <w:r>
              <w:rPr>
                <w:b w:val="0"/>
                <w:sz w:val="17"/>
              </w:rPr>
              <w:t>Confirm HUN-REN beneficiary/host status, legal identity/PIC, hosting unit and Dr. Hollós supervision/effort.</w:t>
            </w:r>
          </w:p>
        </w:tc>
        <w:tc>
          <w:tcPr>
            <w:tcW w:type="dxa" w:w="2635"/>
            <w:vAlign w:val="center"/>
          </w:tcPr>
          <w:p>
            <w:pPr>
              <w:spacing w:after="0"/>
            </w:pPr>
            <w:r>
              <w:rPr>
                <w:sz w:val="17"/>
              </w:rPr>
            </w:r>
            <w:r>
              <w:rPr>
                <w:b w:val="0"/>
                <w:sz w:val="17"/>
              </w:rPr>
              <w:t>HUN-REN</w:t>
            </w:r>
          </w:p>
        </w:tc>
        <w:tc>
          <w:tcPr>
            <w:tcW w:type="dxa" w:w="2635"/>
            <w:vAlign w:val="center"/>
          </w:tcPr>
          <w:p>
            <w:pPr>
              <w:spacing w:after="0"/>
            </w:pPr>
            <w:r>
              <w:rPr>
                <w:sz w:val="17"/>
              </w:rPr>
            </w:r>
            <w:r>
              <w:rPr>
                <w:b w:val="0"/>
                <w:sz w:val="17"/>
              </w:rPr>
              <w:t>Eligibility + Excellence 1.3 + Implementation 3.2</w:t>
            </w:r>
          </w:p>
        </w:tc>
      </w:tr>
      <w:tr>
        <w:tc>
          <w:tcPr>
            <w:tcW w:type="dxa" w:w="2635"/>
            <w:vAlign w:val="center"/>
            <w:shd w:fill="FCE4D6"/>
          </w:tcPr>
          <w:p>
            <w:pPr>
              <w:spacing w:after="0"/>
            </w:pPr>
            <w:r>
              <w:rPr>
                <w:sz w:val="17"/>
              </w:rPr>
            </w:r>
            <w:r>
              <w:rPr>
                <w:b w:val="0"/>
                <w:sz w:val="17"/>
              </w:rPr>
              <w:t>2</w:t>
            </w:r>
          </w:p>
        </w:tc>
        <w:tc>
          <w:tcPr>
            <w:tcW w:type="dxa" w:w="2635"/>
            <w:vAlign w:val="center"/>
          </w:tcPr>
          <w:p>
            <w:pPr>
              <w:spacing w:after="0"/>
            </w:pPr>
            <w:r>
              <w:rPr>
                <w:sz w:val="17"/>
              </w:rPr>
            </w:r>
            <w:r>
              <w:rPr>
                <w:b w:val="0"/>
                <w:sz w:val="17"/>
              </w:rPr>
              <w:t>Document DrR pre-existing background and clarify MVCRI institutional position.</w:t>
            </w:r>
          </w:p>
        </w:tc>
        <w:tc>
          <w:tcPr>
            <w:tcW w:type="dxa" w:w="2635"/>
            <w:vAlign w:val="center"/>
          </w:tcPr>
          <w:p>
            <w:pPr>
              <w:spacing w:after="0"/>
            </w:pPr>
            <w:r>
              <w:rPr>
                <w:sz w:val="17"/>
              </w:rPr>
            </w:r>
            <w:r>
              <w:rPr>
                <w:b w:val="0"/>
                <w:sz w:val="17"/>
              </w:rPr>
              <w:t>Fellow + MVCRI + HUN-REN</w:t>
            </w:r>
          </w:p>
        </w:tc>
        <w:tc>
          <w:tcPr>
            <w:tcW w:type="dxa" w:w="2635"/>
            <w:vAlign w:val="center"/>
          </w:tcPr>
          <w:p>
            <w:pPr>
              <w:spacing w:after="0"/>
            </w:pPr>
            <w:r>
              <w:rPr>
                <w:sz w:val="17"/>
              </w:rPr>
            </w:r>
            <w:r>
              <w:rPr>
                <w:b w:val="0"/>
                <w:sz w:val="17"/>
              </w:rPr>
              <w:t>Avoids IP/background ambiguity</w:t>
            </w:r>
          </w:p>
        </w:tc>
      </w:tr>
      <w:tr>
        <w:tc>
          <w:tcPr>
            <w:tcW w:type="dxa" w:w="2635"/>
            <w:vAlign w:val="center"/>
            <w:shd w:fill="FCE4D6"/>
          </w:tcPr>
          <w:p>
            <w:pPr>
              <w:spacing w:after="0"/>
            </w:pPr>
            <w:r>
              <w:rPr>
                <w:sz w:val="17"/>
              </w:rPr>
            </w:r>
            <w:r>
              <w:rPr>
                <w:b w:val="0"/>
                <w:sz w:val="17"/>
              </w:rPr>
              <w:t>3</w:t>
            </w:r>
          </w:p>
        </w:tc>
        <w:tc>
          <w:tcPr>
            <w:tcW w:type="dxa" w:w="2635"/>
            <w:vAlign w:val="center"/>
          </w:tcPr>
          <w:p>
            <w:pPr>
              <w:spacing w:after="0"/>
            </w:pPr>
            <w:r>
              <w:rPr>
                <w:sz w:val="17"/>
              </w:rPr>
            </w:r>
            <w:r>
              <w:rPr>
                <w:b w:val="0"/>
                <w:sz w:val="17"/>
              </w:rPr>
              <w:t>Confirm ELTE associated-partner/co-supervision and written instrument-access plan.</w:t>
            </w:r>
          </w:p>
        </w:tc>
        <w:tc>
          <w:tcPr>
            <w:tcW w:type="dxa" w:w="2635"/>
            <w:vAlign w:val="center"/>
          </w:tcPr>
          <w:p>
            <w:pPr>
              <w:spacing w:after="0"/>
            </w:pPr>
            <w:r>
              <w:rPr>
                <w:sz w:val="17"/>
              </w:rPr>
            </w:r>
            <w:r>
              <w:rPr>
                <w:b w:val="0"/>
                <w:sz w:val="17"/>
              </w:rPr>
              <w:t>ELTE / Prof. Jung</w:t>
            </w:r>
          </w:p>
        </w:tc>
        <w:tc>
          <w:tcPr>
            <w:tcW w:type="dxa" w:w="2635"/>
            <w:vAlign w:val="center"/>
          </w:tcPr>
          <w:p>
            <w:pPr>
              <w:spacing w:after="0"/>
            </w:pPr>
            <w:r>
              <w:rPr>
                <w:sz w:val="17"/>
              </w:rPr>
            </w:r>
            <w:r>
              <w:rPr>
                <w:b w:val="0"/>
                <w:sz w:val="17"/>
              </w:rPr>
              <w:t>Makes UAV/hyperspectral work defensible</w:t>
            </w:r>
          </w:p>
        </w:tc>
      </w:tr>
      <w:tr>
        <w:tc>
          <w:tcPr>
            <w:tcW w:type="dxa" w:w="2635"/>
            <w:vAlign w:val="center"/>
            <w:shd w:fill="FCE4D6"/>
          </w:tcPr>
          <w:p>
            <w:pPr>
              <w:spacing w:after="0"/>
            </w:pPr>
            <w:r>
              <w:rPr>
                <w:sz w:val="17"/>
              </w:rPr>
            </w:r>
            <w:r>
              <w:rPr>
                <w:b w:val="0"/>
                <w:sz w:val="17"/>
              </w:rPr>
              <w:t>4</w:t>
            </w:r>
          </w:p>
        </w:tc>
        <w:tc>
          <w:tcPr>
            <w:tcW w:type="dxa" w:w="2635"/>
            <w:vAlign w:val="center"/>
          </w:tcPr>
          <w:p>
            <w:pPr>
              <w:spacing w:after="0"/>
            </w:pPr>
            <w:r>
              <w:rPr>
                <w:sz w:val="17"/>
              </w:rPr>
            </w:r>
            <w:r>
              <w:rPr>
                <w:b w:val="0"/>
                <w:sz w:val="17"/>
              </w:rPr>
              <w:t>Confirm MATE historical-data rights, metadata, instruments and contribution/effort.</w:t>
            </w:r>
          </w:p>
        </w:tc>
        <w:tc>
          <w:tcPr>
            <w:tcW w:type="dxa" w:w="2635"/>
            <w:vAlign w:val="center"/>
          </w:tcPr>
          <w:p>
            <w:pPr>
              <w:spacing w:after="0"/>
            </w:pPr>
            <w:r>
              <w:rPr>
                <w:sz w:val="17"/>
              </w:rPr>
            </w:r>
            <w:r>
              <w:rPr>
                <w:b w:val="0"/>
                <w:sz w:val="17"/>
              </w:rPr>
              <w:t>MATE / Dr. Takács</w:t>
            </w:r>
          </w:p>
        </w:tc>
        <w:tc>
          <w:tcPr>
            <w:tcW w:type="dxa" w:w="2635"/>
            <w:vAlign w:val="center"/>
          </w:tcPr>
          <w:p>
            <w:pPr>
              <w:spacing w:after="0"/>
            </w:pPr>
            <w:r>
              <w:rPr>
                <w:sz w:val="17"/>
              </w:rPr>
            </w:r>
            <w:r>
              <w:rPr>
                <w:b w:val="0"/>
                <w:sz w:val="17"/>
              </w:rPr>
              <w:t>Secures the scientific foundation</w:t>
            </w:r>
          </w:p>
        </w:tc>
      </w:tr>
      <w:tr>
        <w:tc>
          <w:tcPr>
            <w:tcW w:type="dxa" w:w="2635"/>
            <w:vAlign w:val="center"/>
            <w:shd w:fill="FCE4D6"/>
          </w:tcPr>
          <w:p>
            <w:pPr>
              <w:spacing w:after="0"/>
            </w:pPr>
            <w:r>
              <w:rPr>
                <w:sz w:val="17"/>
              </w:rPr>
            </w:r>
            <w:r>
              <w:rPr>
                <w:b w:val="0"/>
                <w:sz w:val="17"/>
              </w:rPr>
              <w:t>5</w:t>
            </w:r>
          </w:p>
        </w:tc>
        <w:tc>
          <w:tcPr>
            <w:tcW w:type="dxa" w:w="2635"/>
            <w:vAlign w:val="center"/>
          </w:tcPr>
          <w:p>
            <w:pPr>
              <w:spacing w:after="0"/>
            </w:pPr>
            <w:r>
              <w:rPr>
                <w:sz w:val="17"/>
              </w:rPr>
            </w:r>
            <w:r>
              <w:rPr>
                <w:b w:val="0"/>
                <w:sz w:val="17"/>
              </w:rPr>
              <w:t>Obtain farmer site-access letter and define trial responsibilities/sensor installation/UAV access.</w:t>
            </w:r>
          </w:p>
        </w:tc>
        <w:tc>
          <w:tcPr>
            <w:tcW w:type="dxa" w:w="2635"/>
            <w:vAlign w:val="center"/>
          </w:tcPr>
          <w:p>
            <w:pPr>
              <w:spacing w:after="0"/>
            </w:pPr>
            <w:r>
              <w:rPr>
                <w:sz w:val="17"/>
              </w:rPr>
            </w:r>
            <w:r>
              <w:rPr>
                <w:b w:val="0"/>
                <w:sz w:val="17"/>
              </w:rPr>
              <w:t>Fellow + farmer</w:t>
            </w:r>
          </w:p>
        </w:tc>
        <w:tc>
          <w:tcPr>
            <w:tcW w:type="dxa" w:w="2635"/>
            <w:vAlign w:val="center"/>
          </w:tcPr>
          <w:p>
            <w:pPr>
              <w:spacing w:after="0"/>
            </w:pPr>
            <w:r>
              <w:rPr>
                <w:sz w:val="17"/>
              </w:rPr>
            </w:r>
            <w:r>
              <w:rPr>
                <w:b w:val="0"/>
                <w:sz w:val="17"/>
              </w:rPr>
              <w:t>Secures independent prospective validation</w:t>
            </w:r>
          </w:p>
        </w:tc>
      </w:tr>
      <w:tr>
        <w:tc>
          <w:tcPr>
            <w:tcW w:type="dxa" w:w="2635"/>
            <w:vAlign w:val="center"/>
            <w:shd w:fill="FCE4D6"/>
          </w:tcPr>
          <w:p>
            <w:pPr>
              <w:spacing w:after="0"/>
            </w:pPr>
            <w:r>
              <w:rPr>
                <w:sz w:val="17"/>
              </w:rPr>
            </w:r>
            <w:r>
              <w:rPr>
                <w:b w:val="0"/>
                <w:sz w:val="17"/>
              </w:rPr>
              <w:t>6</w:t>
            </w:r>
          </w:p>
        </w:tc>
        <w:tc>
          <w:tcPr>
            <w:tcW w:type="dxa" w:w="2635"/>
            <w:vAlign w:val="center"/>
          </w:tcPr>
          <w:p>
            <w:pPr>
              <w:spacing w:after="0"/>
            </w:pPr>
            <w:r>
              <w:rPr>
                <w:sz w:val="17"/>
              </w:rPr>
            </w:r>
            <w:r>
              <w:rPr>
                <w:b w:val="0"/>
                <w:sz w:val="17"/>
              </w:rPr>
              <w:t>Define Krumatic developer scope and code/IP terms.</w:t>
            </w:r>
          </w:p>
        </w:tc>
        <w:tc>
          <w:tcPr>
            <w:tcW w:type="dxa" w:w="2635"/>
            <w:vAlign w:val="center"/>
          </w:tcPr>
          <w:p>
            <w:pPr>
              <w:spacing w:after="0"/>
            </w:pPr>
            <w:r>
              <w:rPr>
                <w:sz w:val="17"/>
              </w:rPr>
            </w:r>
            <w:r>
              <w:rPr>
                <w:b w:val="0"/>
                <w:sz w:val="17"/>
              </w:rPr>
              <w:t>Krumatic + HUN-REN/fellow</w:t>
            </w:r>
          </w:p>
        </w:tc>
        <w:tc>
          <w:tcPr>
            <w:tcW w:type="dxa" w:w="2635"/>
            <w:vAlign w:val="center"/>
          </w:tcPr>
          <w:p>
            <w:pPr>
              <w:spacing w:after="0"/>
            </w:pPr>
            <w:r>
              <w:rPr>
                <w:sz w:val="17"/>
              </w:rPr>
            </w:r>
            <w:r>
              <w:rPr>
                <w:b w:val="0"/>
                <w:sz w:val="17"/>
              </w:rPr>
              <w:t>Prevents software ownership blockage</w:t>
            </w:r>
          </w:p>
        </w:tc>
      </w:tr>
      <w:tr>
        <w:tc>
          <w:tcPr>
            <w:tcW w:type="dxa" w:w="2635"/>
            <w:vAlign w:val="center"/>
            <w:shd w:fill="FCE4D6"/>
          </w:tcPr>
          <w:p>
            <w:pPr>
              <w:spacing w:after="0"/>
            </w:pPr>
            <w:r>
              <w:rPr>
                <w:sz w:val="17"/>
              </w:rPr>
            </w:r>
            <w:r>
              <w:rPr>
                <w:b w:val="0"/>
                <w:sz w:val="17"/>
              </w:rPr>
              <w:t>7</w:t>
            </w:r>
          </w:p>
        </w:tc>
        <w:tc>
          <w:tcPr>
            <w:tcW w:type="dxa" w:w="2635"/>
            <w:vAlign w:val="center"/>
          </w:tcPr>
          <w:p>
            <w:pPr>
              <w:spacing w:after="0"/>
            </w:pPr>
            <w:r>
              <w:rPr>
                <w:sz w:val="17"/>
              </w:rPr>
            </w:r>
            <w:r>
              <w:rPr>
                <w:b w:val="0"/>
                <w:sz w:val="17"/>
              </w:rPr>
              <w:t>Confirm AgroVIR M1 consultation and M25-M30 placement details.</w:t>
            </w:r>
          </w:p>
        </w:tc>
        <w:tc>
          <w:tcPr>
            <w:tcW w:type="dxa" w:w="2635"/>
            <w:vAlign w:val="center"/>
          </w:tcPr>
          <w:p>
            <w:pPr>
              <w:spacing w:after="0"/>
            </w:pPr>
            <w:r>
              <w:rPr>
                <w:sz w:val="17"/>
              </w:rPr>
            </w:r>
            <w:r>
              <w:rPr>
                <w:b w:val="0"/>
                <w:sz w:val="17"/>
              </w:rPr>
              <w:t>AgroVIR</w:t>
            </w:r>
          </w:p>
        </w:tc>
        <w:tc>
          <w:tcPr>
            <w:tcW w:type="dxa" w:w="2635"/>
            <w:vAlign w:val="center"/>
          </w:tcPr>
          <w:p>
            <w:pPr>
              <w:spacing w:after="0"/>
            </w:pPr>
            <w:r>
              <w:rPr>
                <w:sz w:val="17"/>
              </w:rPr>
            </w:r>
            <w:r>
              <w:rPr>
                <w:b w:val="0"/>
                <w:sz w:val="17"/>
              </w:rPr>
              <w:t>Critical intersectoral training/implementation evidence</w:t>
            </w:r>
          </w:p>
        </w:tc>
      </w:tr>
      <w:tr>
        <w:tc>
          <w:tcPr>
            <w:tcW w:type="dxa" w:w="2635"/>
            <w:vAlign w:val="center"/>
            <w:shd w:fill="FFF2CC"/>
          </w:tcPr>
          <w:p>
            <w:pPr>
              <w:spacing w:after="0"/>
            </w:pPr>
            <w:r>
              <w:rPr>
                <w:sz w:val="17"/>
              </w:rPr>
            </w:r>
            <w:r>
              <w:rPr>
                <w:b w:val="0"/>
                <w:sz w:val="17"/>
              </w:rPr>
              <w:t>8</w:t>
            </w:r>
          </w:p>
        </w:tc>
        <w:tc>
          <w:tcPr>
            <w:tcW w:type="dxa" w:w="2635"/>
            <w:vAlign w:val="center"/>
          </w:tcPr>
          <w:p>
            <w:pPr>
              <w:spacing w:after="0"/>
            </w:pPr>
            <w:r>
              <w:rPr>
                <w:sz w:val="17"/>
              </w:rPr>
            </w:r>
            <w:r>
              <w:rPr>
                <w:b w:val="0"/>
                <w:sz w:val="17"/>
              </w:rPr>
              <w:t>Retain Szentendre/Skanzen only as contingency/communication route unless formally confirmed.</w:t>
            </w:r>
          </w:p>
        </w:tc>
        <w:tc>
          <w:tcPr>
            <w:tcW w:type="dxa" w:w="2635"/>
            <w:vAlign w:val="center"/>
          </w:tcPr>
          <w:p>
            <w:pPr>
              <w:spacing w:after="0"/>
            </w:pPr>
            <w:r>
              <w:rPr>
                <w:sz w:val="17"/>
              </w:rPr>
            </w:r>
            <w:r>
              <w:rPr>
                <w:b w:val="0"/>
                <w:sz w:val="17"/>
              </w:rPr>
              <w:t>Fellow + relevant organisations</w:t>
            </w:r>
          </w:p>
        </w:tc>
        <w:tc>
          <w:tcPr>
            <w:tcW w:type="dxa" w:w="2635"/>
            <w:vAlign w:val="center"/>
          </w:tcPr>
          <w:p>
            <w:pPr>
              <w:spacing w:after="0"/>
            </w:pPr>
            <w:r>
              <w:rPr>
                <w:sz w:val="17"/>
              </w:rPr>
            </w:r>
            <w:r>
              <w:rPr>
                <w:b w:val="0"/>
                <w:sz w:val="17"/>
              </w:rPr>
              <w:t>Prevents overclaiming an unconfirmed trial site</w:t>
            </w:r>
          </w:p>
        </w:tc>
      </w:tr>
      <w:tr>
        <w:tc>
          <w:tcPr>
            <w:tcW w:type="dxa" w:w="2635"/>
            <w:vAlign w:val="center"/>
            <w:shd w:fill="FFF2CC"/>
          </w:tcPr>
          <w:p>
            <w:pPr>
              <w:spacing w:after="0"/>
            </w:pPr>
            <w:r>
              <w:rPr>
                <w:sz w:val="17"/>
              </w:rPr>
            </w:r>
            <w:r>
              <w:rPr>
                <w:b w:val="0"/>
                <w:sz w:val="17"/>
              </w:rPr>
              <w:t>9</w:t>
            </w:r>
          </w:p>
        </w:tc>
        <w:tc>
          <w:tcPr>
            <w:tcW w:type="dxa" w:w="2635"/>
            <w:vAlign w:val="center"/>
          </w:tcPr>
          <w:p>
            <w:pPr>
              <w:spacing w:after="0"/>
            </w:pPr>
            <w:r>
              <w:rPr>
                <w:sz w:val="17"/>
              </w:rPr>
            </w:r>
            <w:r>
              <w:rPr>
                <w:b w:val="0"/>
                <w:sz w:val="17"/>
              </w:rPr>
              <w:t>Keep MVCRI full replication as post-MSCA unless a fully resourced in-action Bulgarian trial is formally agreed.</w:t>
            </w:r>
          </w:p>
        </w:tc>
        <w:tc>
          <w:tcPr>
            <w:tcW w:type="dxa" w:w="2635"/>
            <w:vAlign w:val="center"/>
          </w:tcPr>
          <w:p>
            <w:pPr>
              <w:spacing w:after="0"/>
            </w:pPr>
            <w:r>
              <w:rPr>
                <w:sz w:val="17"/>
              </w:rPr>
            </w:r>
            <w:r>
              <w:rPr>
                <w:b w:val="0"/>
                <w:sz w:val="17"/>
              </w:rPr>
              <w:t>Consortium</w:t>
            </w:r>
          </w:p>
        </w:tc>
        <w:tc>
          <w:tcPr>
            <w:tcW w:type="dxa" w:w="2635"/>
            <w:vAlign w:val="center"/>
          </w:tcPr>
          <w:p>
            <w:pPr>
              <w:spacing w:after="0"/>
            </w:pPr>
            <w:r>
              <w:rPr>
                <w:sz w:val="17"/>
              </w:rPr>
            </w:r>
            <w:r>
              <w:rPr>
                <w:b w:val="0"/>
                <w:sz w:val="17"/>
              </w:rPr>
              <w:t>Protects 24-month feasibility</w:t>
            </w:r>
          </w:p>
        </w:tc>
      </w:tr>
      <w:tr>
        <w:tc>
          <w:tcPr>
            <w:tcW w:type="dxa" w:w="2635"/>
            <w:vAlign w:val="center"/>
            <w:shd w:fill="FFF2CC"/>
          </w:tcPr>
          <w:p>
            <w:pPr>
              <w:spacing w:after="0"/>
            </w:pPr>
            <w:r>
              <w:rPr>
                <w:sz w:val="17"/>
              </w:rPr>
            </w:r>
            <w:r>
              <w:rPr>
                <w:b w:val="0"/>
                <w:sz w:val="17"/>
              </w:rPr>
              <w:t>10</w:t>
            </w:r>
          </w:p>
        </w:tc>
        <w:tc>
          <w:tcPr>
            <w:tcW w:type="dxa" w:w="2635"/>
            <w:vAlign w:val="center"/>
          </w:tcPr>
          <w:p>
            <w:pPr>
              <w:spacing w:after="0"/>
            </w:pPr>
            <w:r>
              <w:rPr>
                <w:sz w:val="17"/>
              </w:rPr>
            </w:r>
            <w:r>
              <w:rPr>
                <w:b w:val="0"/>
                <w:sz w:val="17"/>
              </w:rPr>
              <w:t>Compress the final submission version to the official page limit after all confirmations are integrated.</w:t>
            </w:r>
          </w:p>
        </w:tc>
        <w:tc>
          <w:tcPr>
            <w:tcW w:type="dxa" w:w="2635"/>
            <w:vAlign w:val="center"/>
          </w:tcPr>
          <w:p>
            <w:pPr>
              <w:spacing w:after="0"/>
            </w:pPr>
            <w:r>
              <w:rPr>
                <w:sz w:val="17"/>
              </w:rPr>
            </w:r>
            <w:r>
              <w:rPr>
                <w:b w:val="0"/>
                <w:sz w:val="17"/>
              </w:rPr>
              <w:t>Fellow + drafting team</w:t>
            </w:r>
          </w:p>
        </w:tc>
        <w:tc>
          <w:tcPr>
            <w:tcW w:type="dxa" w:w="2635"/>
            <w:vAlign w:val="center"/>
          </w:tcPr>
          <w:p>
            <w:pPr>
              <w:spacing w:after="0"/>
            </w:pPr>
            <w:r>
              <w:rPr>
                <w:sz w:val="17"/>
              </w:rPr>
            </w:r>
            <w:r>
              <w:rPr>
                <w:b w:val="0"/>
                <w:sz w:val="17"/>
              </w:rPr>
              <w:t>Submission compliance</w:t>
            </w:r>
          </w:p>
        </w:tc>
      </w:tr>
    </w:tbl>
    <w:p>
      <w:r>
        <w:br w:type="page"/>
      </w:r>
    </w:p>
    <w:p>
      <w:pPr>
        <w:pStyle w:val="Heading1"/>
      </w:pPr>
      <w:r>
        <w:rPr>
          <w:color w:val="1F4E78"/>
        </w:rPr>
        <w:t>APPENDIX D - Evidence sources for partner review</w:t>
      </w:r>
    </w:p>
    <w:p>
      <w:pPr>
        <w:pStyle w:val="ListNumber"/>
        <w:spacing w:after="80"/>
      </w:pPr>
      <w:r>
        <w:t>Carucci, F., Gagliardi, A., Giuliani, M.M., Gatta, G. (2023). Irrigation Scheduling in Processing Tomato to Save Water: A Smart Approach Combining Plant and Soil Monitoring. Applied Sciences 13, 7625. https://doi.org/10.3390/app13137625.</w:t>
      </w:r>
    </w:p>
    <w:p>
      <w:pPr>
        <w:pStyle w:val="ListNumber"/>
        <w:spacing w:after="80"/>
      </w:pPr>
      <w:r>
        <w:t>Badr, M.A., Ali, E., Salman, S.R. (2026). Effect of regulated and controlled deficit irrigation on yield and yield response factor of processing tomato. BMC Plant Biology 26, 169. https://doi.org/10.1186/s12870-025-08065-6.</w:t>
      </w:r>
    </w:p>
    <w:p>
      <w:pPr>
        <w:pStyle w:val="ListNumber"/>
        <w:spacing w:after="80"/>
      </w:pPr>
      <w:r>
        <w:t>Eurostat (2024). Key figures on the European food chain - 2024 edition. Fresh vegetables: approximately 2.0 million ha in the EU in 2023.</w:t>
      </w:r>
    </w:p>
    <w:p>
      <w:pPr>
        <w:pStyle w:val="ListNumber"/>
        <w:spacing w:after="80"/>
      </w:pPr>
      <w:r>
        <w:t>Eurostat (2025). The fruit and vegetable sector in the EU - a statistical overview. About 0.7 million EU farms cultivated fresh vegetables in 2020.</w:t>
      </w:r>
    </w:p>
    <w:p>
      <w:pPr>
        <w:pStyle w:val="ListNumber"/>
        <w:spacing w:after="80"/>
      </w:pPr>
      <w:r>
        <w:t>Ministry of Agriculture and Food, Bulgaria (2025). Vegetable production in Bulgaria - harvest 2024, No. 452. Main vegetable area 35.6 thousand ha; tomato production about 128 thousand tonnes.</w:t>
      </w:r>
    </w:p>
    <w:p>
      <w:pPr>
        <w:pStyle w:val="ListNumber"/>
        <w:spacing w:after="80"/>
      </w:pPr>
      <w:r>
        <w:t>Hungarian Embassy in Sofia (2025/2026 public information). The tradition of Bulgarian gardening in Hungary was reported as inscribed in Hungary's National Register of Intangible Cultural Heritage, with collaboration with the Open-Air Ethnographic Museum in Szentendre on a model Bulgarian garden including Bulgarian tomato varieties. This should be described as a potential FIELDWISE contingency/communication environment only after direct institutional confirmation.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E6E6E"/>
        <w:sz w:val="16"/>
      </w:rPr>
      <w:t>FIELDWISE - Consolidated Partner Review Pack | Working document | 28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Times New Roman"/>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Times New Roman"/>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Times New Roman"/>
      <w:b/>
      <w:bCs/>
      <w:color w:val="3737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FIELDWISE Consolidated Scientific, Implementation and Partner Review Pack</dc:title>
  <dc:subject>MSCA PF 2026 partner review working document</dc:subject>
  <dc:creator>Rositsa Cholakova / FIELDWISE working team</dc:creator>
  <cp:keywords>FIELDWISE, MSCA PF, HUN-REN, ELTE, MATE, DrR Digital Agronomist, irrigation, horticulture</cp:keywords>
  <dc:description>Integrated revision incorporating HUN-REN host switch, partner roles, commercial farmer validation, Krumatic/AgroVIR co-development, and Szentendre contingency route.</dc:description>
  <cp:lastModifiedBy/>
  <cp:revision>1</cp:revision>
  <dcterms:created xsi:type="dcterms:W3CDTF">2013-12-23T23:15:00Z</dcterms:created>
  <dcterms:modified xsi:type="dcterms:W3CDTF">2013-12-23T23:15:00Z</dcterms:modified>
  <cp:category/>
</cp:coreProperties>
</file>