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4588" w14:textId="77777777" w:rsidR="002D3983" w:rsidRDefault="00000000">
      <w:pPr>
        <w:spacing w:after="40"/>
      </w:pPr>
      <w:r>
        <w:rPr>
          <w:rFonts w:ascii="Segoe UI" w:hAnsi="Segoe UI"/>
          <w:caps/>
          <w:color w:val="5C6455"/>
          <w:sz w:val="15"/>
        </w:rPr>
        <w:t>FIELDWISE · MSCA Postdoctoral Fellowship 2026 · Companion to the Part B review draft</w:t>
      </w:r>
    </w:p>
    <w:p w14:paraId="005243B5" w14:textId="77777777" w:rsidR="002D3983" w:rsidRDefault="00000000">
      <w:pPr>
        <w:spacing w:after="120"/>
      </w:pPr>
      <w:r>
        <w:rPr>
          <w:sz w:val="48"/>
        </w:rPr>
        <w:t>Open decisions before submission</w:t>
      </w:r>
    </w:p>
    <w:p w14:paraId="6EFC2D4D" w14:textId="77777777" w:rsidR="002D3983" w:rsidRDefault="00000000">
      <w:pPr>
        <w:spacing w:after="240"/>
      </w:pPr>
      <w:r>
        <w:rPr>
          <w:color w:val="5C6455"/>
          <w:sz w:val="22"/>
        </w:rPr>
        <w:t>The full Part B draft is written and has been through a structured internal review against the MSCA evaluation criteria. The review raised eight findings — two of them major — and none requires rethinking the science. What stands between this draft and a submission-ready proposal is a short list of decisions and partner confirmations. This handout sets them out and says exactly what we need from whom.</w:t>
      </w:r>
    </w:p>
    <w:p w14:paraId="5B62C5CE" w14:textId="77777777" w:rsidR="00977292" w:rsidRDefault="00000000">
      <w:r>
        <w:rPr>
          <w:b/>
        </w:rPr>
        <w:t xml:space="preserve">Updated 2026-08-26. </w:t>
      </w:r>
      <w:r>
        <w:t>Two structural decisions have been taken since this handout was circulated, and they come before everything below. The recruiting organisation and the supervisor roles switch between ELTE and HUN-REN ATK, because the 2026 call conditions bar a resubmission by the same recruiting organisation and researcher after a score below 80% (section 2). Krumatic EOOD of Sofia joins as an associated partner (section 3). The confirmations these two decisions call for are collected alongside the earlier items, which still stand except where a section notes otherwise.</w:t>
      </w:r>
    </w:p>
    <w:p w14:paraId="774B482C" w14:textId="77777777" w:rsidR="002D3983" w:rsidRDefault="00000000">
      <w:pPr>
        <w:spacing w:after="40"/>
      </w:pPr>
      <w:r>
        <w:rPr>
          <w:rFonts w:ascii="Segoe UI" w:hAnsi="Segoe UI"/>
          <w:caps/>
          <w:color w:val="2F6B3A"/>
          <w:sz w:val="15"/>
        </w:rPr>
        <w:t>The road to submission — where this handout fits</w:t>
      </w:r>
    </w:p>
    <w:tbl>
      <w:tblPr>
        <w:tblW w:w="0" w:type="auto"/>
        <w:tblLook w:val="04A0" w:firstRow="1" w:lastRow="0" w:firstColumn="1" w:lastColumn="0" w:noHBand="0" w:noVBand="1"/>
      </w:tblPr>
      <w:tblGrid>
        <w:gridCol w:w="510"/>
        <w:gridCol w:w="2494"/>
        <w:gridCol w:w="5953"/>
      </w:tblGrid>
      <w:tr w:rsidR="002D3983" w14:paraId="6B8C1056" w14:textId="77777777">
        <w:tc>
          <w:tcPr>
            <w:tcW w:w="510" w:type="dxa"/>
          </w:tcPr>
          <w:p w14:paraId="1E1CC61C" w14:textId="77777777" w:rsidR="002D3983" w:rsidRDefault="00000000">
            <w:r>
              <w:rPr>
                <w:rFonts w:ascii="Segoe UI" w:hAnsi="Segoe UI"/>
                <w:b/>
                <w:color w:val="2F6B3A"/>
                <w:sz w:val="20"/>
              </w:rPr>
              <w:t>✓</w:t>
            </w:r>
          </w:p>
        </w:tc>
        <w:tc>
          <w:tcPr>
            <w:tcW w:w="2494" w:type="dxa"/>
          </w:tcPr>
          <w:p w14:paraId="50E8D90B" w14:textId="77777777" w:rsidR="002D3983" w:rsidRDefault="00000000">
            <w:r>
              <w:rPr>
                <w:rFonts w:ascii="Segoe UI" w:hAnsi="Segoe UI"/>
                <w:b/>
                <w:sz w:val="18"/>
              </w:rPr>
              <w:t>Project set-up</w:t>
            </w:r>
          </w:p>
        </w:tc>
        <w:tc>
          <w:tcPr>
            <w:tcW w:w="5953" w:type="dxa"/>
          </w:tcPr>
          <w:p w14:paraId="0FDB4FAB" w14:textId="77777777" w:rsidR="002D3983" w:rsidRDefault="00000000">
            <w:r>
              <w:rPr>
                <w:sz w:val="18"/>
              </w:rPr>
              <w:t>The proposal's factual base was assembled: the project concept, the partners and their roles, and the call's requirements and evaluation criteria.</w:t>
            </w:r>
          </w:p>
        </w:tc>
      </w:tr>
      <w:tr w:rsidR="002D3983" w14:paraId="199D7E73" w14:textId="77777777">
        <w:tc>
          <w:tcPr>
            <w:tcW w:w="510" w:type="dxa"/>
          </w:tcPr>
          <w:p w14:paraId="775B9C70" w14:textId="77777777" w:rsidR="002D3983" w:rsidRDefault="00000000">
            <w:r>
              <w:rPr>
                <w:rFonts w:ascii="Segoe UI" w:hAnsi="Segoe UI"/>
                <w:b/>
                <w:color w:val="2F6B3A"/>
                <w:sz w:val="20"/>
              </w:rPr>
              <w:t>✓</w:t>
            </w:r>
          </w:p>
        </w:tc>
        <w:tc>
          <w:tcPr>
            <w:tcW w:w="2494" w:type="dxa"/>
          </w:tcPr>
          <w:p w14:paraId="108D75CB" w14:textId="77777777" w:rsidR="002D3983" w:rsidRDefault="00000000">
            <w:r>
              <w:rPr>
                <w:rFonts w:ascii="Segoe UI" w:hAnsi="Segoe UI"/>
                <w:b/>
                <w:sz w:val="18"/>
              </w:rPr>
              <w:t>Iterative drafting</w:t>
            </w:r>
          </w:p>
        </w:tc>
        <w:tc>
          <w:tcPr>
            <w:tcW w:w="5953" w:type="dxa"/>
          </w:tcPr>
          <w:p w14:paraId="1DEC9F06" w14:textId="77777777" w:rsidR="002D3983" w:rsidRDefault="00000000">
            <w:r>
              <w:rPr>
                <w:sz w:val="18"/>
              </w:rPr>
              <w:t>The nine Part B sub-sections were drafted and refined in cycles, each written against its evaluation criterion and checked for cross-section consistency.</w:t>
            </w:r>
          </w:p>
        </w:tc>
      </w:tr>
      <w:tr w:rsidR="002D3983" w14:paraId="306FF746" w14:textId="77777777">
        <w:tc>
          <w:tcPr>
            <w:tcW w:w="510" w:type="dxa"/>
            <w:shd w:val="clear" w:color="auto" w:fill="F5EEDC"/>
          </w:tcPr>
          <w:p w14:paraId="4A08D060" w14:textId="77777777" w:rsidR="002D3983" w:rsidRDefault="00000000">
            <w:r>
              <w:rPr>
                <w:rFonts w:ascii="Segoe UI" w:hAnsi="Segoe UI"/>
                <w:b/>
                <w:color w:val="8A5B14"/>
                <w:sz w:val="20"/>
              </w:rPr>
              <w:t>●</w:t>
            </w:r>
          </w:p>
        </w:tc>
        <w:tc>
          <w:tcPr>
            <w:tcW w:w="2494" w:type="dxa"/>
            <w:shd w:val="clear" w:color="auto" w:fill="F5EEDC"/>
          </w:tcPr>
          <w:p w14:paraId="4F2EE178" w14:textId="77777777" w:rsidR="002D3983" w:rsidRDefault="00000000">
            <w:r>
              <w:rPr>
                <w:rFonts w:ascii="Segoe UI" w:hAnsi="Segoe UI"/>
                <w:b/>
                <w:color w:val="8A5B14"/>
                <w:sz w:val="18"/>
              </w:rPr>
              <w:t>Preliminary compiled Part B draft</w:t>
            </w:r>
          </w:p>
        </w:tc>
        <w:tc>
          <w:tcPr>
            <w:tcW w:w="5953" w:type="dxa"/>
            <w:shd w:val="clear" w:color="auto" w:fill="F5EEDC"/>
          </w:tcPr>
          <w:p w14:paraId="548C9654" w14:textId="77777777" w:rsidR="002D3983" w:rsidRDefault="00000000">
            <w:r>
              <w:rPr>
                <w:sz w:val="18"/>
              </w:rPr>
              <w:t>Where we are now. The full draft was compiled and circulated as the companion handout, and a structured internal review of it produced the eight findings behind this document.</w:t>
            </w:r>
          </w:p>
        </w:tc>
      </w:tr>
      <w:tr w:rsidR="002D3983" w14:paraId="4A40A0E7" w14:textId="77777777">
        <w:tc>
          <w:tcPr>
            <w:tcW w:w="510" w:type="dxa"/>
          </w:tcPr>
          <w:p w14:paraId="526DFB57" w14:textId="77777777" w:rsidR="002D3983" w:rsidRDefault="00000000">
            <w:r>
              <w:rPr>
                <w:rFonts w:ascii="Segoe UI" w:hAnsi="Segoe UI"/>
                <w:b/>
                <w:color w:val="8A5B14"/>
                <w:sz w:val="20"/>
              </w:rPr>
              <w:t>▶</w:t>
            </w:r>
          </w:p>
        </w:tc>
        <w:tc>
          <w:tcPr>
            <w:tcW w:w="2494" w:type="dxa"/>
          </w:tcPr>
          <w:p w14:paraId="60501A4F" w14:textId="77777777" w:rsidR="002D3983" w:rsidRDefault="00000000">
            <w:r>
              <w:rPr>
                <w:rFonts w:ascii="Segoe UI" w:hAnsi="Segoe UI"/>
                <w:b/>
                <w:sz w:val="18"/>
              </w:rPr>
              <w:t>Feedback on decisions and confirmations</w:t>
            </w:r>
          </w:p>
        </w:tc>
        <w:tc>
          <w:tcPr>
            <w:tcW w:w="5953" w:type="dxa"/>
          </w:tcPr>
          <w:p w14:paraId="7C0E4381" w14:textId="77777777" w:rsidR="002D3983" w:rsidRDefault="00000000">
            <w:r>
              <w:rPr>
                <w:sz w:val="18"/>
              </w:rPr>
              <w:t>The next step — and the purpose of this handout: collecting your input on the impact-evidence decision and the partner confirmations listed below.</w:t>
            </w:r>
          </w:p>
        </w:tc>
      </w:tr>
      <w:tr w:rsidR="002D3983" w14:paraId="11F6E601" w14:textId="77777777">
        <w:tc>
          <w:tcPr>
            <w:tcW w:w="510" w:type="dxa"/>
          </w:tcPr>
          <w:p w14:paraId="2C698D45" w14:textId="77777777" w:rsidR="002D3983" w:rsidRDefault="00000000">
            <w:r>
              <w:rPr>
                <w:rFonts w:ascii="Segoe UI" w:hAnsi="Segoe UI"/>
                <w:b/>
                <w:color w:val="2F6B3A"/>
                <w:sz w:val="20"/>
              </w:rPr>
              <w:t>○</w:t>
            </w:r>
          </w:p>
        </w:tc>
        <w:tc>
          <w:tcPr>
            <w:tcW w:w="2494" w:type="dxa"/>
          </w:tcPr>
          <w:p w14:paraId="685D5140" w14:textId="77777777" w:rsidR="002D3983" w:rsidRDefault="00000000">
            <w:r>
              <w:rPr>
                <w:rFonts w:ascii="Segoe UI" w:hAnsi="Segoe UI"/>
                <w:b/>
                <w:sz w:val="18"/>
              </w:rPr>
              <w:t>Close of drafting, start of the revision cycle</w:t>
            </w:r>
          </w:p>
        </w:tc>
        <w:tc>
          <w:tcPr>
            <w:tcW w:w="5953" w:type="dxa"/>
          </w:tcPr>
          <w:p w14:paraId="5F030580" w14:textId="77777777" w:rsidR="002D3983" w:rsidRDefault="00000000">
            <w:r>
              <w:rPr>
                <w:sz w:val="18"/>
              </w:rPr>
              <w:t>With the feedback in, drafting closes and revision begins: confirmed facts and new evidence are folded in and the affected sections are rewritten in one pass.</w:t>
            </w:r>
          </w:p>
        </w:tc>
      </w:tr>
      <w:tr w:rsidR="002D3983" w14:paraId="7ADBED15" w14:textId="77777777">
        <w:tc>
          <w:tcPr>
            <w:tcW w:w="510" w:type="dxa"/>
          </w:tcPr>
          <w:p w14:paraId="47E27A6C" w14:textId="77777777" w:rsidR="002D3983" w:rsidRDefault="00000000">
            <w:r>
              <w:rPr>
                <w:rFonts w:ascii="Segoe UI" w:hAnsi="Segoe UI"/>
                <w:b/>
                <w:color w:val="2F6B3A"/>
                <w:sz w:val="20"/>
              </w:rPr>
              <w:t>○</w:t>
            </w:r>
          </w:p>
        </w:tc>
        <w:tc>
          <w:tcPr>
            <w:tcW w:w="2494" w:type="dxa"/>
          </w:tcPr>
          <w:p w14:paraId="567F54B4" w14:textId="77777777" w:rsidR="002D3983" w:rsidRDefault="00000000">
            <w:r>
              <w:rPr>
                <w:rFonts w:ascii="Segoe UI" w:hAnsi="Segoe UI"/>
                <w:b/>
                <w:sz w:val="18"/>
              </w:rPr>
              <w:t>Independent quality checks and final refinement</w:t>
            </w:r>
          </w:p>
        </w:tc>
        <w:tc>
          <w:tcPr>
            <w:tcW w:w="5953" w:type="dxa"/>
          </w:tcPr>
          <w:p w14:paraId="6DE16490" w14:textId="77777777" w:rsidR="002D3983" w:rsidRDefault="00000000">
            <w:r>
              <w:rPr>
                <w:sz w:val="18"/>
              </w:rPr>
              <w:t>The revised draft then passes an independent battery of quality and integrity checks — every factual claim verified against its recorded source, anything unreferenced flagged, consistency re-checked. This last step also finalises prose style, the structural elements (tables, charts, images and references) and strict alignment with the official application template, before submission.</w:t>
            </w:r>
          </w:p>
        </w:tc>
      </w:tr>
    </w:tbl>
    <w:p w14:paraId="622339BC" w14:textId="77777777" w:rsidR="002D3983" w:rsidRDefault="002D3983"/>
    <w:p w14:paraId="7C6ACBEB" w14:textId="77777777" w:rsidR="002D3983" w:rsidRDefault="00000000">
      <w:pPr>
        <w:pStyle w:val="Cmsor1"/>
      </w:pPr>
      <w:r>
        <w:t>1 — Where the draft stands</w:t>
      </w:r>
    </w:p>
    <w:p w14:paraId="281DE26B" w14:textId="77777777" w:rsidR="002D3983" w:rsidRDefault="00000000">
      <w:r>
        <w:t xml:space="preserve">All nine Part B sub-sections are drafted in full (about 15,700 words) and are internally consistent: objectives, work packages, deliverables, milestones, effort figures and partner names </w:t>
      </w:r>
      <w:r>
        <w:lastRenderedPageBreak/>
        <w:t>all line up across the Excellence, Impact and Implementation sections. The review confirmed the argumentation is strong on the objectives, the methodology, the two-way training case and the work plan.</w:t>
      </w:r>
    </w:p>
    <w:p w14:paraId="1D83FA04" w14:textId="77777777" w:rsidR="002D3983" w:rsidRDefault="00000000">
      <w:r>
        <w:t>The findings cluster into three groups, which structure the rest of this document:</w:t>
      </w:r>
    </w:p>
    <w:p w14:paraId="6B1B2871" w14:textId="77777777" w:rsidR="002D3983" w:rsidRDefault="00000000">
      <w:pPr>
        <w:pStyle w:val="Felsorols"/>
      </w:pPr>
      <w:r>
        <w:rPr>
          <w:b/>
        </w:rPr>
        <w:t>One decision on evidence</w:t>
      </w:r>
      <w:r>
        <w:t xml:space="preserve"> — how we size the project's impact in section 2.3 (major).</w:t>
      </w:r>
    </w:p>
    <w:p w14:paraId="0BEB71B6" w14:textId="77777777" w:rsidR="002D3983" w:rsidRDefault="00000000">
      <w:pPr>
        <w:pStyle w:val="Felsorols"/>
      </w:pPr>
      <w:r>
        <w:rPr>
          <w:b/>
        </w:rPr>
        <w:t>Partner confirmations</w:t>
      </w:r>
      <w:r>
        <w:t xml:space="preserve"> — facts the draft currently states on our best information, which the named partner must confirm in writing (major).</w:t>
      </w:r>
    </w:p>
    <w:p w14:paraId="627613EE" w14:textId="77777777" w:rsidR="002D3983" w:rsidRDefault="00000000">
      <w:pPr>
        <w:pStyle w:val="Felsorols"/>
      </w:pPr>
      <w:r>
        <w:rPr>
          <w:b/>
        </w:rPr>
        <w:t>Editorial strengthening</w:t>
      </w:r>
      <w:r>
        <w:t xml:space="preserve"> — wording improvements we can make in-house (minor).</w:t>
      </w:r>
    </w:p>
    <w:p w14:paraId="66E76FDE" w14:textId="77777777" w:rsidR="00977292" w:rsidRDefault="00000000">
      <w:pPr>
        <w:pStyle w:val="Cmsor1"/>
      </w:pPr>
      <w:r>
        <w:t>2 — Decided: the recruiting organisation and the supervisor roles switch</w:t>
      </w:r>
    </w:p>
    <w:p w14:paraId="57BB92C1" w14:textId="77777777" w:rsidR="00977292" w:rsidRDefault="00000000">
      <w:r>
        <w:rPr>
          <w:b/>
        </w:rPr>
        <w:t xml:space="preserve">Decided 2026-08-26. </w:t>
      </w:r>
      <w:r>
        <w:t>The 2026 call conditions carry a resubmission bar:</w:t>
      </w:r>
    </w:p>
    <w:p w14:paraId="51F9E0A9" w14:textId="77777777" w:rsidR="00977292" w:rsidRDefault="00000000">
      <w:r>
        <w:rPr>
          <w:i/>
        </w:rPr>
        <w:t>“Proposals involving the same recruiting organisation and individual researcher that were submitted for the 2025 MSCA Postdoctoral Fellowships call and received a score of less than 80% must not be resubmitted.”</w:t>
      </w:r>
    </w:p>
    <w:p w14:paraId="7A2C9878" w14:textId="77777777" w:rsidR="00977292" w:rsidRDefault="00000000">
      <w:r>
        <w:t>The 2025 submission, PLANTDIGISENSE, was hosted by ELTE with the same researcher and scored 70.40%. With ELTE as the recruiting organisation, FIELDWISE could not be submitted to the 2026 call.</w:t>
      </w:r>
    </w:p>
    <w:p w14:paraId="1BE23513" w14:textId="77777777" w:rsidR="00977292" w:rsidRDefault="00000000">
      <w:r>
        <w:rPr>
          <w:b/>
        </w:rPr>
        <w:t xml:space="preserve">The decision: </w:t>
      </w:r>
      <w:r>
        <w:t>the two Hungarian institutions swap roles. The HUN-REN Centre for Agricultural Research (ATK), Martonvásár, becomes the recruiting organisation and host, with Dr. Roland Hollós as supervisor. ELTE continues as an associated partner, with Prof. András Jung as co-supervisor.</w:t>
      </w:r>
    </w:p>
    <w:p w14:paraId="501AC895" w14:textId="77777777" w:rsidR="00977292" w:rsidRDefault="00000000">
      <w:r>
        <w:t>The fellowship itself is unchanged: a 24-month European Fellowship at the host (M1–M24) followed by the six-month placement at AgroVIR (M25–M30). The budget is also unchanged, because the MSCA allowances key on the host country and both institutions are in Hungary. The mobility rule is untouched by the switch, and the recorded eligibility position stands as decided.</w:t>
      </w:r>
    </w:p>
    <w:p w14:paraId="2E8DDC30" w14:textId="77777777" w:rsidR="00977292" w:rsidRDefault="00000000">
      <w:r>
        <w:rPr>
          <w:b/>
        </w:rPr>
        <w:t xml:space="preserve">What the switch changes in the draft: </w:t>
      </w:r>
      <w:r>
        <w:t>the supervision and training section (1.3) and the host-capacity section (3.2) are rewritten around the new host. The governance, ethics, intellectual-property and placement arrangements are re-anchored at HUN-REN ATK. Each fact below must be confirmed in writing before the affected sections can be re-drafted; until then the proposal cannot present the new configuration as established.</w:t>
      </w:r>
    </w:p>
    <w:tbl>
      <w:tblPr>
        <w:tblW w:w="0" w:type="auto"/>
        <w:jc w:val="center"/>
        <w:tblLook w:val="04A0" w:firstRow="1" w:lastRow="0" w:firstColumn="1" w:lastColumn="0" w:noHBand="0" w:noVBand="1"/>
      </w:tblPr>
      <w:tblGrid>
        <w:gridCol w:w="8958"/>
      </w:tblGrid>
      <w:tr w:rsidR="002D3983" w14:paraId="53469C11" w14:textId="77777777">
        <w:trPr>
          <w:jc w:val="center"/>
        </w:trPr>
        <w:tc>
          <w:tcPr>
            <w:tcW w:w="8958" w:type="dxa"/>
            <w:shd w:val="clear" w:color="auto" w:fill="F5EEDC"/>
            <w:tcMar>
              <w:top w:w="170" w:type="dxa"/>
              <w:left w:w="170" w:type="dxa"/>
              <w:bottom w:w="170" w:type="dxa"/>
              <w:right w:w="170" w:type="dxa"/>
            </w:tcMar>
          </w:tcPr>
          <w:p w14:paraId="1344F209" w14:textId="77777777" w:rsidR="002D3983" w:rsidRDefault="00000000">
            <w:pPr>
              <w:spacing w:after="80"/>
            </w:pPr>
            <w:r>
              <w:t>Major · decided 2026-08-26 · Excellence 1.3, Implementation 3.2, Part A</w:t>
            </w:r>
          </w:p>
          <w:p w14:paraId="5705F984" w14:textId="77777777" w:rsidR="002D3983" w:rsidRDefault="00000000">
            <w:pPr>
              <w:spacing w:after="120"/>
            </w:pPr>
            <w:r>
              <w:rPr>
                <w:b/>
              </w:rPr>
              <w:t>HUN-REN ATK — confirmation and facts of the new recruiting organisation</w:t>
            </w:r>
          </w:p>
          <w:p w14:paraId="1B422A47" w14:textId="77777777" w:rsidR="00977292" w:rsidRDefault="00000000">
            <w:r>
              <w:t>Beyond Dr. Hollós's affiliation, nothing about ATK is on the project's records yet. Every item below is needed in writing before the host sections can be drafted.</w:t>
            </w:r>
          </w:p>
          <w:p w14:paraId="545C99CB" w14:textId="77777777" w:rsidR="00977292" w:rsidRDefault="00000000">
            <w:pPr>
              <w:pStyle w:val="Felsorols"/>
            </w:pPr>
            <w:r>
              <w:rPr>
                <w:b/>
              </w:rPr>
              <w:t xml:space="preserve">Agreement to host: </w:t>
            </w:r>
            <w:r>
              <w:t xml:space="preserve">written confirmation that ATK will act as the recruiting organisation for this fellowship, and the name and function of the person authorised to </w:t>
            </w:r>
            <w:r>
              <w:lastRenderedPageBreak/>
              <w:t>sign the Part A declarations.</w:t>
            </w:r>
          </w:p>
          <w:p w14:paraId="7F84DCD4" w14:textId="77777777" w:rsidR="00977292" w:rsidRPr="000554FB" w:rsidRDefault="00000000">
            <w:pPr>
              <w:pStyle w:val="Felsorols"/>
              <w:rPr>
                <w:strike/>
              </w:rPr>
            </w:pPr>
            <w:r w:rsidRPr="000554FB">
              <w:rPr>
                <w:b/>
                <w:strike/>
              </w:rPr>
              <w:t xml:space="preserve">Legal identity: </w:t>
            </w:r>
            <w:r w:rsidRPr="000554FB">
              <w:rPr>
                <w:strike/>
              </w:rPr>
              <w:t>exact legal name in Hungarian and English, legal form after the October 2025 HUN-REN transformation, registered address, and registration or tax identifiers as applicable.</w:t>
            </w:r>
          </w:p>
          <w:p w14:paraId="2718BA49" w14:textId="77777777" w:rsidR="00977292" w:rsidRDefault="00000000">
            <w:pPr>
              <w:pStyle w:val="Felsorols"/>
            </w:pPr>
            <w:r w:rsidRPr="000554FB">
              <w:rPr>
                <w:b/>
                <w:strike/>
              </w:rPr>
              <w:t xml:space="preserve">PIC: </w:t>
            </w:r>
            <w:r w:rsidRPr="000554FB">
              <w:rPr>
                <w:strike/>
              </w:rPr>
              <w:t>ATK's Participant Identification Code, or confirmation that registration in the EU Participant Register is underway. A registered (declared) PIC is sufficient to submit;</w:t>
            </w:r>
            <w:r>
              <w:t xml:space="preserve"> validation follows only if the proposal succeeds.</w:t>
            </w:r>
          </w:p>
          <w:p w14:paraId="7AAF535D" w14:textId="77777777" w:rsidR="00977292" w:rsidRDefault="00000000">
            <w:pPr>
              <w:pStyle w:val="Felsorols"/>
            </w:pPr>
            <w:r>
              <w:rPr>
                <w:b/>
              </w:rPr>
              <w:t xml:space="preserve">The hosting unit: </w:t>
            </w:r>
            <w:r>
              <w:t>which institute and department host the fellow — expected to be the Agricultural Institute at Martonvásár — and where she physically sits.</w:t>
            </w:r>
          </w:p>
          <w:p w14:paraId="331E169D" w14:textId="77777777" w:rsidR="00977292" w:rsidRDefault="00000000">
            <w:pPr>
              <w:pStyle w:val="Felsorols"/>
            </w:pPr>
            <w:r>
              <w:rPr>
                <w:b/>
              </w:rPr>
              <w:t xml:space="preserve">Contact person: </w:t>
            </w:r>
            <w:r>
              <w:t>name, title and email of ATK's administrative or grants-office contact for the application.</w:t>
            </w:r>
          </w:p>
          <w:p w14:paraId="24565A61" w14:textId="77777777" w:rsidR="00977292" w:rsidRDefault="00000000">
            <w:pPr>
              <w:pStyle w:val="Felsorols"/>
            </w:pPr>
            <w:r>
              <w:rPr>
                <w:b/>
              </w:rPr>
              <w:t xml:space="preserve">Research infrastructure for section 3.2: </w:t>
            </w:r>
            <w:r>
              <w:t>field-phenotyping facilities, UAV and hyperspectral instruments, computing and data storage. Say explicitly what ATK owns; anything supplied by ELTE belongs in the ELTE item below instead.</w:t>
            </w:r>
          </w:p>
          <w:p w14:paraId="1FD610CF" w14:textId="77777777" w:rsidR="00977292" w:rsidRDefault="00000000">
            <w:pPr>
              <w:pStyle w:val="Felsorols"/>
            </w:pPr>
            <w:r>
              <w:rPr>
                <w:b/>
              </w:rPr>
              <w:t xml:space="preserve">Hosting arrangements and support services: </w:t>
            </w:r>
            <w:r>
              <w:t>office and laboratory space, integration into research groups, administrative support, training access, and the arrangements during the M25–M30 placement.</w:t>
            </w:r>
          </w:p>
          <w:p w14:paraId="724F994E" w14:textId="77777777" w:rsidR="00977292" w:rsidRDefault="00000000">
            <w:pPr>
              <w:pStyle w:val="Felsorols"/>
            </w:pPr>
            <w:r>
              <w:rPr>
                <w:b/>
              </w:rPr>
              <w:t xml:space="preserve">Recent projects and publications: </w:t>
            </w:r>
            <w:r>
              <w:t>the hosting group's record, with DOIs or grant numbers that can be verified.</w:t>
            </w:r>
          </w:p>
          <w:p w14:paraId="72B949CE" w14:textId="77777777" w:rsidR="00977292" w:rsidRDefault="00000000">
            <w:pPr>
              <w:pStyle w:val="Felsorols"/>
            </w:pPr>
            <w:r>
              <w:rPr>
                <w:b/>
              </w:rPr>
              <w:t xml:space="preserve">Prior MSCA hosting: </w:t>
            </w:r>
            <w:r>
              <w:t>whether ATK, or its predecessor centre, has hosted a funded MSCA fellow. A plain yes or no is usable; silence is not.</w:t>
            </w:r>
          </w:p>
          <w:p w14:paraId="4951696F" w14:textId="77777777" w:rsidR="00977292" w:rsidRDefault="00000000">
            <w:pPr>
              <w:pStyle w:val="Felsorols"/>
            </w:pPr>
            <w:r>
              <w:rPr>
                <w:b/>
              </w:rPr>
              <w:t xml:space="preserve">Teaching route: </w:t>
            </w:r>
            <w:r>
              <w:t>the draft currently meets the higher-education impact expectation through an ELTE MSc module unit. ATK is not a university, so its teaching channel — doctoral-school affiliation, guest lecturing, or a continued ELTE route — must be stated concretely.</w:t>
            </w:r>
          </w:p>
        </w:tc>
      </w:tr>
    </w:tbl>
    <w:p w14:paraId="56DE22B9" w14:textId="77777777" w:rsidR="00977292" w:rsidRDefault="00977292"/>
    <w:tbl>
      <w:tblPr>
        <w:tblW w:w="0" w:type="auto"/>
        <w:jc w:val="center"/>
        <w:tblLook w:val="04A0" w:firstRow="1" w:lastRow="0" w:firstColumn="1" w:lastColumn="0" w:noHBand="0" w:noVBand="1"/>
      </w:tblPr>
      <w:tblGrid>
        <w:gridCol w:w="8958"/>
      </w:tblGrid>
      <w:tr w:rsidR="002D3983" w14:paraId="66EB595E" w14:textId="77777777">
        <w:trPr>
          <w:jc w:val="center"/>
        </w:trPr>
        <w:tc>
          <w:tcPr>
            <w:tcW w:w="8958" w:type="dxa"/>
            <w:shd w:val="clear" w:color="auto" w:fill="F5EEDC"/>
            <w:tcMar>
              <w:top w:w="170" w:type="dxa"/>
              <w:left w:w="170" w:type="dxa"/>
              <w:bottom w:w="170" w:type="dxa"/>
              <w:right w:w="170" w:type="dxa"/>
            </w:tcMar>
          </w:tcPr>
          <w:p w14:paraId="22E6F84A" w14:textId="77777777" w:rsidR="002D3983" w:rsidRDefault="00000000">
            <w:pPr>
              <w:spacing w:after="80"/>
            </w:pPr>
            <w:r>
              <w:t>Major · decided 2026-08-26 · Excellence 1.3</w:t>
            </w:r>
          </w:p>
          <w:p w14:paraId="11CFE3A3" w14:textId="77777777" w:rsidR="002D3983" w:rsidRDefault="00000000">
            <w:pPr>
              <w:spacing w:after="120"/>
            </w:pPr>
            <w:r>
              <w:rPr>
                <w:b/>
              </w:rPr>
              <w:t>Dr. Hollós — the supervisor role</w:t>
            </w:r>
          </w:p>
          <w:p w14:paraId="6F5C92E5" w14:textId="77777777" w:rsidR="00977292" w:rsidRDefault="00000000">
            <w:pPr>
              <w:pStyle w:val="Felsorols"/>
            </w:pPr>
            <w:r>
              <w:rPr>
                <w:b/>
              </w:rPr>
              <w:t xml:space="preserve">Acceptance: </w:t>
            </w:r>
            <w:r>
              <w:t>his written acceptance of the supervisor role, and the supervision routine he commits to. The current draft assumes weekly technical sessions through the modelling work packages.</w:t>
            </w:r>
          </w:p>
          <w:p w14:paraId="4D7C3B40" w14:textId="77777777" w:rsidR="00977292" w:rsidRDefault="00000000">
            <w:pPr>
              <w:pStyle w:val="Felsorols"/>
            </w:pPr>
            <w:r>
              <w:rPr>
                <w:b/>
              </w:rPr>
              <w:t xml:space="preserve">Employment: </w:t>
            </w:r>
            <w:r>
              <w:t>his employment relationship with ATK — position, grade and start date. Supervision is carried at the recruiting organisation, and our records to date name ELTE as his primary employment; that record must be corrected on his and ATK's word.</w:t>
            </w:r>
          </w:p>
          <w:p w14:paraId="31F9DAFF" w14:textId="77777777" w:rsidR="00977292" w:rsidRDefault="00000000">
            <w:pPr>
              <w:pStyle w:val="Felsorols"/>
            </w:pPr>
            <w:r>
              <w:rPr>
                <w:b/>
              </w:rPr>
              <w:t xml:space="preserve">Effort: </w:t>
            </w:r>
            <w:r>
              <w:t>the person-months he will commit, so the supervision effort stops being our estimate.</w:t>
            </w:r>
          </w:p>
          <w:p w14:paraId="59532CD2" w14:textId="77777777" w:rsidR="00977292" w:rsidRDefault="00000000">
            <w:pPr>
              <w:pStyle w:val="Felsorols"/>
            </w:pPr>
            <w:r>
              <w:rPr>
                <w:b/>
              </w:rPr>
              <w:t xml:space="preserve">Facts for section 1.3: </w:t>
            </w:r>
            <w:r>
              <w:t>his current position and any project or publication he wants the supervision case to rest on, beyond what we already hold.</w:t>
            </w:r>
          </w:p>
        </w:tc>
      </w:tr>
    </w:tbl>
    <w:p w14:paraId="6DD04642" w14:textId="77777777" w:rsidR="00977292" w:rsidRDefault="00977292"/>
    <w:tbl>
      <w:tblPr>
        <w:tblW w:w="0" w:type="auto"/>
        <w:jc w:val="center"/>
        <w:tblLook w:val="04A0" w:firstRow="1" w:lastRow="0" w:firstColumn="1" w:lastColumn="0" w:noHBand="0" w:noVBand="1"/>
      </w:tblPr>
      <w:tblGrid>
        <w:gridCol w:w="8958"/>
      </w:tblGrid>
      <w:tr w:rsidR="002D3983" w14:paraId="6940A7D5" w14:textId="77777777">
        <w:trPr>
          <w:jc w:val="center"/>
        </w:trPr>
        <w:tc>
          <w:tcPr>
            <w:tcW w:w="8958" w:type="dxa"/>
            <w:shd w:val="clear" w:color="auto" w:fill="F5EEDC"/>
            <w:tcMar>
              <w:top w:w="170" w:type="dxa"/>
              <w:left w:w="170" w:type="dxa"/>
              <w:bottom w:w="170" w:type="dxa"/>
              <w:right w:w="170" w:type="dxa"/>
            </w:tcMar>
          </w:tcPr>
          <w:p w14:paraId="6A244D62" w14:textId="77777777" w:rsidR="002D3983" w:rsidRDefault="00000000">
            <w:pPr>
              <w:spacing w:after="80"/>
            </w:pPr>
            <w:r>
              <w:t>Major · decided 2026-08-26 · Excellence 1.3, Implementation 3.2</w:t>
            </w:r>
          </w:p>
          <w:p w14:paraId="0DB988BD" w14:textId="77777777" w:rsidR="002D3983" w:rsidRDefault="00000000">
            <w:pPr>
              <w:spacing w:after="120"/>
            </w:pPr>
            <w:r>
              <w:rPr>
                <w:b/>
              </w:rPr>
              <w:lastRenderedPageBreak/>
              <w:t>ELTE and Prof. Jung — the associated-partner role</w:t>
            </w:r>
          </w:p>
          <w:p w14:paraId="21BF6FDD" w14:textId="77777777" w:rsidR="00977292" w:rsidRPr="000554FB" w:rsidRDefault="00000000">
            <w:pPr>
              <w:pStyle w:val="Felsorols"/>
              <w:rPr>
                <w:strike/>
              </w:rPr>
            </w:pPr>
            <w:r w:rsidRPr="000554FB">
              <w:rPr>
                <w:b/>
                <w:strike/>
              </w:rPr>
              <w:t xml:space="preserve">Agreement: </w:t>
            </w:r>
            <w:r w:rsidRPr="000554FB">
              <w:rPr>
                <w:strike/>
              </w:rPr>
              <w:t>ELTE's written agreement to continue as an associated partner rather than beneficiary, its PIC, and its contact person for the application.</w:t>
            </w:r>
          </w:p>
          <w:p w14:paraId="48332369" w14:textId="77777777" w:rsidR="00977292" w:rsidRDefault="00000000">
            <w:pPr>
              <w:pStyle w:val="Felsorols"/>
            </w:pPr>
            <w:r>
              <w:rPr>
                <w:b/>
              </w:rPr>
              <w:t xml:space="preserve">Co-supervision: </w:t>
            </w:r>
            <w:r>
              <w:t>Prof. Jung's acceptance of the co-supervisor role and the person-months he will commit. His remote-sensing expertise carries the satellite-transfer strand, so the role must be substantive and described as such.</w:t>
            </w:r>
          </w:p>
          <w:p w14:paraId="6CE260D6" w14:textId="77777777" w:rsidR="00977292" w:rsidRDefault="00000000">
            <w:pPr>
              <w:pStyle w:val="Felsorols"/>
            </w:pPr>
            <w:r>
              <w:rPr>
                <w:b/>
              </w:rPr>
              <w:t xml:space="preserve">Instrument access: </w:t>
            </w:r>
            <w:r>
              <w:t>the project's primary spatial instruments — the DJI Matrice 350 RTK platform with its sensors, and the Ultris S5 and Cubert CUVIS hyperspectral cameras — are ELTE's. A written arrangement is needed for their use: who operates them, at which sites, in which months, and on what terms.</w:t>
            </w:r>
          </w:p>
          <w:p w14:paraId="43A9EEF3" w14:textId="77777777" w:rsidR="00977292" w:rsidRDefault="00000000">
            <w:pPr>
              <w:pStyle w:val="Felsorols"/>
            </w:pPr>
            <w:r>
              <w:t>No letter of commitment is required from an associated partner in this call. The arrangement is described in the proposal, and the confirmations above are what make that description defensible.</w:t>
            </w:r>
          </w:p>
        </w:tc>
      </w:tr>
    </w:tbl>
    <w:p w14:paraId="70738220" w14:textId="77777777" w:rsidR="00977292" w:rsidRDefault="00977292"/>
    <w:tbl>
      <w:tblPr>
        <w:tblW w:w="0" w:type="auto"/>
        <w:jc w:val="center"/>
        <w:tblLook w:val="04A0" w:firstRow="1" w:lastRow="0" w:firstColumn="1" w:lastColumn="0" w:noHBand="0" w:noVBand="1"/>
      </w:tblPr>
      <w:tblGrid>
        <w:gridCol w:w="8958"/>
      </w:tblGrid>
      <w:tr w:rsidR="002D3983" w:rsidRPr="000554FB" w14:paraId="4E5EB9FF" w14:textId="77777777">
        <w:trPr>
          <w:jc w:val="center"/>
        </w:trPr>
        <w:tc>
          <w:tcPr>
            <w:tcW w:w="8958" w:type="dxa"/>
            <w:shd w:val="clear" w:color="auto" w:fill="F5EEDC"/>
            <w:tcMar>
              <w:top w:w="170" w:type="dxa"/>
              <w:left w:w="170" w:type="dxa"/>
              <w:bottom w:w="170" w:type="dxa"/>
              <w:right w:w="170" w:type="dxa"/>
            </w:tcMar>
          </w:tcPr>
          <w:p w14:paraId="1A53E71C" w14:textId="77777777" w:rsidR="002D3983" w:rsidRPr="000554FB" w:rsidRDefault="00000000">
            <w:pPr>
              <w:spacing w:after="80"/>
              <w:rPr>
                <w:strike/>
                <w:u w:val="single"/>
              </w:rPr>
            </w:pPr>
            <w:r w:rsidRPr="000554FB">
              <w:rPr>
                <w:strike/>
                <w:u w:val="single"/>
              </w:rPr>
              <w:t>Verify in parallel — none of it waits for the partners</w:t>
            </w:r>
          </w:p>
          <w:p w14:paraId="1FD5DCCA" w14:textId="77777777" w:rsidR="002D3983" w:rsidRPr="000554FB" w:rsidRDefault="00000000">
            <w:pPr>
              <w:spacing w:after="120"/>
              <w:rPr>
                <w:strike/>
                <w:u w:val="single"/>
              </w:rPr>
            </w:pPr>
            <w:r w:rsidRPr="000554FB">
              <w:rPr>
                <w:b/>
                <w:strike/>
                <w:u w:val="single"/>
              </w:rPr>
              <w:t>Evidence the switch itself rests on</w:t>
            </w:r>
          </w:p>
          <w:p w14:paraId="6A83ED06" w14:textId="77777777" w:rsidR="00977292" w:rsidRPr="000554FB" w:rsidRDefault="00000000">
            <w:pPr>
              <w:pStyle w:val="Felsorols"/>
              <w:rPr>
                <w:strike/>
                <w:u w:val="single"/>
              </w:rPr>
            </w:pPr>
            <w:r w:rsidRPr="000554FB">
              <w:rPr>
                <w:b/>
                <w:strike/>
                <w:u w:val="single"/>
              </w:rPr>
              <w:t xml:space="preserve">The official PLANTDIGISENSE score: </w:t>
            </w:r>
            <w:r w:rsidRPr="000554FB">
              <w:rPr>
                <w:strike/>
                <w:u w:val="single"/>
              </w:rPr>
              <w:t>the 70.40% figure comes from the researcher's CV, and the Evaluation Summary Report or the Funding &amp; Tenders Portal record is the score of record. At 80% or above the bar does not apply.</w:t>
            </w:r>
          </w:p>
          <w:p w14:paraId="6228EF7F" w14:textId="77777777" w:rsidR="00977292" w:rsidRPr="000554FB" w:rsidRDefault="00000000">
            <w:pPr>
              <w:pStyle w:val="Felsorols"/>
              <w:rPr>
                <w:strike/>
                <w:u w:val="single"/>
              </w:rPr>
            </w:pPr>
            <w:r w:rsidRPr="000554FB">
              <w:rPr>
                <w:strike/>
                <w:u w:val="single"/>
              </w:rPr>
              <w:t xml:space="preserve">The National Contact Point and REA answers to the eligibility query already prepared: whether changing the recruiting organisation releases the restriction, and whether ELTE's continued involvement as an associated partner </w:t>
            </w:r>
            <w:proofErr w:type="gramStart"/>
            <w:r w:rsidRPr="000554FB">
              <w:rPr>
                <w:strike/>
                <w:u w:val="single"/>
              </w:rPr>
              <w:t>re-triggers</w:t>
            </w:r>
            <w:proofErr w:type="gramEnd"/>
            <w:r w:rsidRPr="000554FB">
              <w:rPr>
                <w:strike/>
                <w:u w:val="single"/>
              </w:rPr>
              <w:t xml:space="preserve"> it.</w:t>
            </w:r>
          </w:p>
          <w:p w14:paraId="5778BFB0" w14:textId="77777777" w:rsidR="00977292" w:rsidRPr="000554FB" w:rsidRDefault="00000000">
            <w:pPr>
              <w:pStyle w:val="Felsorols"/>
              <w:rPr>
                <w:strike/>
              </w:rPr>
            </w:pPr>
            <w:r w:rsidRPr="000554FB">
              <w:rPr>
                <w:strike/>
                <w:u w:val="single"/>
              </w:rPr>
              <w:t>ATK's PIC registration status, raised with the NCP as well, because HUN-REN's post-transformation registrations are recent.</w:t>
            </w:r>
          </w:p>
        </w:tc>
      </w:tr>
    </w:tbl>
    <w:p w14:paraId="23125D88" w14:textId="77777777" w:rsidR="00977292" w:rsidRDefault="00977292"/>
    <w:p w14:paraId="129AE17B" w14:textId="77777777" w:rsidR="00977292" w:rsidRDefault="00000000">
      <w:r>
        <w:t>Consequential changes we will make in-house once the confirmations are in:</w:t>
      </w:r>
    </w:p>
    <w:p w14:paraId="5AC8F290" w14:textId="77777777" w:rsidR="00977292" w:rsidRDefault="00000000">
      <w:pPr>
        <w:pStyle w:val="Felsorols"/>
      </w:pPr>
      <w:r>
        <w:t>The placement agreement on results and intellectual property is re-anchored: its parties become the fellow, HUN-REN ATK and AgroVIR, and results vest in the new beneficiary by the grant default.</w:t>
      </w:r>
    </w:p>
    <w:p w14:paraId="6A0E7812" w14:textId="77777777" w:rsidR="00977292" w:rsidRDefault="00000000">
      <w:pPr>
        <w:pStyle w:val="Felsorols"/>
      </w:pPr>
      <w:r>
        <w:t>The ethics-committee consultation and the Data Protection Officer commitments currently name ELTE bodies; they will be restated for ATK's equivalents.</w:t>
      </w:r>
    </w:p>
    <w:p w14:paraId="48212ABF" w14:textId="77777777" w:rsidR="00977292" w:rsidRDefault="00000000">
      <w:pPr>
        <w:pStyle w:val="Felsorols"/>
      </w:pPr>
      <w:r>
        <w:rPr>
          <w:b/>
        </w:rPr>
        <w:t xml:space="preserve">Governance: </w:t>
      </w:r>
      <w:r>
        <w:t>the Steering Group chair, the escalation route and the decision-rights table are re-assigned around the new supervisor and host, and ELTE takes a named associated-partner seat.</w:t>
      </w:r>
    </w:p>
    <w:p w14:paraId="3B71C3EB" w14:textId="77777777" w:rsidR="00977292" w:rsidRDefault="00000000">
      <w:pPr>
        <w:pStyle w:val="Felsorols"/>
      </w:pPr>
      <w:r>
        <w:t>Every statement in this handout that names ELTE as host — including the readiness item A-7 below — is read against this decision.</w:t>
      </w:r>
    </w:p>
    <w:p w14:paraId="1675E2BE" w14:textId="77777777" w:rsidR="00977292" w:rsidRDefault="00000000">
      <w:pPr>
        <w:pStyle w:val="Cmsor1"/>
      </w:pPr>
      <w:r>
        <w:lastRenderedPageBreak/>
        <w:t>3 — Decided: Krumatic joins as an associated partner</w:t>
      </w:r>
    </w:p>
    <w:p w14:paraId="43885ABB" w14:textId="77777777" w:rsidR="00977292" w:rsidRDefault="00000000">
      <w:r>
        <w:rPr>
          <w:b/>
        </w:rPr>
        <w:t xml:space="preserve">Decided 2026-08-26. </w:t>
      </w:r>
      <w:r>
        <w:t>Krumatic Ltd. (Krumatic EOOD), a registered Bulgarian company located in Sofia, joins the project as an associated partner. That sentence is, deliberately, everything the project's records currently establish about the company. An associated partner earns its place in the proposal by a defined contribution; before Krumatic can be written in, the items below must be supplied and confirmed in writing.</w:t>
      </w:r>
    </w:p>
    <w:tbl>
      <w:tblPr>
        <w:tblW w:w="0" w:type="auto"/>
        <w:jc w:val="center"/>
        <w:tblLook w:val="04A0" w:firstRow="1" w:lastRow="0" w:firstColumn="1" w:lastColumn="0" w:noHBand="0" w:noVBand="1"/>
      </w:tblPr>
      <w:tblGrid>
        <w:gridCol w:w="8958"/>
      </w:tblGrid>
      <w:tr w:rsidR="002D3983" w14:paraId="584867EB" w14:textId="77777777">
        <w:trPr>
          <w:jc w:val="center"/>
        </w:trPr>
        <w:tc>
          <w:tcPr>
            <w:tcW w:w="8958" w:type="dxa"/>
            <w:shd w:val="clear" w:color="auto" w:fill="F5EEDC"/>
            <w:tcMar>
              <w:top w:w="170" w:type="dxa"/>
              <w:left w:w="170" w:type="dxa"/>
              <w:bottom w:w="170" w:type="dxa"/>
              <w:right w:w="170" w:type="dxa"/>
            </w:tcMar>
          </w:tcPr>
          <w:p w14:paraId="610D8B41" w14:textId="77777777" w:rsidR="002D3983" w:rsidRDefault="00000000">
            <w:pPr>
              <w:spacing w:after="80"/>
            </w:pPr>
            <w:r>
              <w:t>Major · decided 2026-08-26 · Implementation 3.1 and 3.2, Impact 2.2, Part A</w:t>
            </w:r>
          </w:p>
          <w:p w14:paraId="5FA415DA" w14:textId="77777777" w:rsidR="002D3983" w:rsidRDefault="00000000">
            <w:pPr>
              <w:spacing w:after="120"/>
            </w:pPr>
            <w:r>
              <w:rPr>
                <w:b/>
              </w:rPr>
              <w:t>Krumatic EOOD — role and facts</w:t>
            </w:r>
          </w:p>
          <w:p w14:paraId="34E732D9" w14:textId="77777777" w:rsidR="00977292" w:rsidRDefault="00000000">
            <w:pPr>
              <w:pStyle w:val="Felsorols"/>
            </w:pPr>
            <w:r>
              <w:rPr>
                <w:b/>
              </w:rPr>
              <w:t xml:space="preserve">The role: </w:t>
            </w:r>
            <w:r>
              <w:t>what Krumatic contributes, in which work packages, and what it gains from participating. The role must be distinct from AgroVIR's operational-validation seat and from MVCRI's Bulgarian research strand, and each distinction must be statable in one sentence.</w:t>
            </w:r>
          </w:p>
          <w:p w14:paraId="249682D4" w14:textId="77777777" w:rsidR="00977292" w:rsidRDefault="00000000">
            <w:pPr>
              <w:pStyle w:val="Felsorols"/>
            </w:pPr>
            <w:r>
              <w:rPr>
                <w:b/>
              </w:rPr>
              <w:t xml:space="preserve">Legal identity: </w:t>
            </w:r>
            <w:r>
              <w:t>exact legal name in Bulgarian and English, UIC (EIK) company number, registered address in Sofia, founding year, main registered activity, actual business, and SME status.</w:t>
            </w:r>
          </w:p>
          <w:p w14:paraId="6DCC9472" w14:textId="77777777" w:rsidR="00977292" w:rsidRDefault="00000000">
            <w:pPr>
              <w:pStyle w:val="Felsorols"/>
            </w:pPr>
            <w:r>
              <w:rPr>
                <w:b/>
              </w:rPr>
              <w:t xml:space="preserve">Contact person: </w:t>
            </w:r>
            <w:r>
              <w:t>name, title and email, and who signs for the company.</w:t>
            </w:r>
          </w:p>
          <w:p w14:paraId="5C67D724" w14:textId="77777777" w:rsidR="00977292" w:rsidRDefault="00000000">
            <w:pPr>
              <w:pStyle w:val="Felsorols"/>
            </w:pPr>
            <w:r>
              <w:rPr>
                <w:b/>
              </w:rPr>
              <w:t xml:space="preserve">Capacity for the proposal: </w:t>
            </w:r>
            <w:r>
              <w:t>a short company profile, the key people relevant to its role, and its track record. EU-funded research participation counts, and so does a plain statement that there is none together with the commercial footprint that stands in for it.</w:t>
            </w:r>
          </w:p>
          <w:p w14:paraId="16B5787E" w14:textId="77777777" w:rsidR="00977292" w:rsidRDefault="00000000">
            <w:pPr>
              <w:pStyle w:val="Felsorols"/>
            </w:pPr>
            <w:r>
              <w:rPr>
                <w:b/>
              </w:rPr>
              <w:t xml:space="preserve">Effort: </w:t>
            </w:r>
            <w:r>
              <w:t>the person-months the company will commit to its role.</w:t>
            </w:r>
          </w:p>
          <w:p w14:paraId="4ADC2947" w14:textId="77777777" w:rsidR="00977292" w:rsidRDefault="00000000">
            <w:pPr>
              <w:pStyle w:val="Felsorols"/>
            </w:pPr>
            <w:r>
              <w:rPr>
                <w:b/>
              </w:rPr>
              <w:t xml:space="preserve">Independence: </w:t>
            </w:r>
            <w:r>
              <w:t>any relationship between Krumatic and the fellow, or with another partner, that an evaluator could read as a dependence must be declared now rather than discovered later.</w:t>
            </w:r>
          </w:p>
          <w:p w14:paraId="7B2868C6" w14:textId="77777777" w:rsidR="00977292" w:rsidRDefault="00000000">
            <w:pPr>
              <w:pStyle w:val="Felsorols"/>
            </w:pPr>
            <w:r>
              <w:t>No letter of commitment is required, on the same rule as for MATE and MVCRI; the role description in the proposal is what is evaluated.</w:t>
            </w:r>
          </w:p>
        </w:tc>
      </w:tr>
    </w:tbl>
    <w:p w14:paraId="6CC7831A" w14:textId="77777777" w:rsidR="00977292" w:rsidRDefault="00977292"/>
    <w:p w14:paraId="3CFD6964" w14:textId="77777777" w:rsidR="002D3983" w:rsidRDefault="00000000">
      <w:pPr>
        <w:pStyle w:val="Cmsor1"/>
      </w:pPr>
      <w:r>
        <w:t>4 — The decision: how do we size the impact?</w:t>
      </w:r>
    </w:p>
    <w:p w14:paraId="60C0FF5D" w14:textId="77777777" w:rsidR="002D3983" w:rsidRDefault="00000000">
      <w:r>
        <w:rPr>
          <w:color w:val="5C6455"/>
          <w:sz w:val="18"/>
        </w:rPr>
        <w:t>Part B section 2.3 · Impact criterion — “magnitude and importance of the project's contribution to the expected scientific, societal and economic impacts”</w:t>
      </w:r>
    </w:p>
    <w:tbl>
      <w:tblPr>
        <w:tblW w:w="0" w:type="auto"/>
        <w:jc w:val="center"/>
        <w:tblLook w:val="04A0" w:firstRow="1" w:lastRow="0" w:firstColumn="1" w:lastColumn="0" w:noHBand="0" w:noVBand="1"/>
      </w:tblPr>
      <w:tblGrid>
        <w:gridCol w:w="8958"/>
      </w:tblGrid>
      <w:tr w:rsidR="002D3983" w14:paraId="769A4725" w14:textId="77777777">
        <w:trPr>
          <w:jc w:val="center"/>
        </w:trPr>
        <w:tc>
          <w:tcPr>
            <w:tcW w:w="8958" w:type="dxa"/>
            <w:shd w:val="clear" w:color="auto" w:fill="F5EEDC"/>
            <w:tcMar>
              <w:top w:w="170" w:type="dxa"/>
              <w:left w:w="170" w:type="dxa"/>
              <w:bottom w:w="170" w:type="dxa"/>
              <w:right w:w="170" w:type="dxa"/>
            </w:tcMar>
          </w:tcPr>
          <w:p w14:paraId="67116B0C" w14:textId="77777777" w:rsidR="002D3983" w:rsidRDefault="00000000">
            <w:pPr>
              <w:spacing w:after="80"/>
            </w:pPr>
            <w:r>
              <w:rPr>
                <w:rFonts w:ascii="Segoe UI" w:hAnsi="Segoe UI"/>
                <w:caps/>
                <w:color w:val="8A5B14"/>
                <w:sz w:val="15"/>
              </w:rPr>
              <w:t>Major · highest priority — review finding F-4, action A-1 · Impact 2.3</w:t>
            </w:r>
          </w:p>
          <w:p w14:paraId="2244AA84" w14:textId="77777777" w:rsidR="002D3983" w:rsidRDefault="00000000">
            <w:pPr>
              <w:spacing w:after="120"/>
            </w:pPr>
            <w:r>
              <w:rPr>
                <w:rFonts w:ascii="Segoe UI" w:hAnsi="Segoe UI"/>
                <w:b/>
                <w:sz w:val="23"/>
              </w:rPr>
              <w:t>Impact magnitude needs published reference points</w:t>
            </w:r>
          </w:p>
          <w:p w14:paraId="3F4E46CC" w14:textId="77777777" w:rsidR="002D3983" w:rsidRDefault="00000000">
            <w:r>
              <w:rPr>
                <w:sz w:val="19"/>
              </w:rPr>
              <w:t>The draft deliberately refuses to promise numbers it cannot yet stand behind — it does not claim, for example, a specific percentage reduction in water use. That honesty is a strength, but it leaves the societal and economic contribution largely unsized: the section demonstrates outputs well, yet gives an evaluator little sense of how big the benefit could plausibly be. The evaluation criterion asks for magnitude explicitly, which is why the review rated this major.</w:t>
            </w:r>
          </w:p>
          <w:p w14:paraId="38FEC678" w14:textId="77777777" w:rsidR="002D3983" w:rsidRDefault="00000000">
            <w:r>
              <w:rPr>
                <w:sz w:val="19"/>
              </w:rPr>
              <w:t xml:space="preserve">The fix is not to invent numbers. It is to add </w:t>
            </w:r>
            <w:r>
              <w:rPr>
                <w:b/>
                <w:sz w:val="19"/>
              </w:rPr>
              <w:t>bounded, literature-referenced context</w:t>
            </w:r>
            <w:r>
              <w:rPr>
                <w:sz w:val="19"/>
              </w:rPr>
              <w:t xml:space="preserve">: for </w:t>
            </w:r>
            <w:r>
              <w:rPr>
                <w:sz w:val="19"/>
              </w:rPr>
              <w:lastRenderedPageBreak/>
              <w:t>instance, the range of water savings that published studies attribute to improved irrigation timing in comparable crops, and the realistic scale of hectares or growers reachable through the exploitation route described in the draft — clearly framed as context from the literature, not as promises.</w:t>
            </w:r>
          </w:p>
          <w:p w14:paraId="2110B293" w14:textId="77777777" w:rsidR="002D3983" w:rsidRDefault="00000000">
            <w:pPr>
              <w:spacing w:after="60"/>
            </w:pPr>
            <w:r>
              <w:rPr>
                <w:rFonts w:ascii="Segoe UI" w:hAnsi="Segoe UI"/>
                <w:caps/>
                <w:color w:val="2F6B3A"/>
                <w:sz w:val="15"/>
              </w:rPr>
              <w:t>What we need from you</w:t>
            </w:r>
          </w:p>
          <w:p w14:paraId="189F8819" w14:textId="77777777" w:rsidR="002D3983" w:rsidRDefault="00000000">
            <w:r>
              <w:rPr>
                <w:b/>
                <w:sz w:val="19"/>
              </w:rPr>
              <w:t xml:space="preserve">Citable published sources. </w:t>
            </w:r>
            <w:r>
              <w:rPr>
                <w:sz w:val="19"/>
              </w:rPr>
              <w:t>If you know peer-reviewed studies, FAO/EU reports or national statistics that give credible figures for (a) water savings from irrigation-timing or scheduling improvements, ideally in tomato or other irrigated horticultural crops, or (b) the irrigated area / number of growers in the relevant markets — please send the references. Two to four solid sources are enough. Colleagues in agronomy and irrigation are best placed here.</w:t>
            </w:r>
          </w:p>
          <w:p w14:paraId="3B34E0A1" w14:textId="77777777" w:rsidR="002D3983" w:rsidRDefault="00000000">
            <w:pPr>
              <w:spacing w:after="0"/>
            </w:pPr>
            <w:r>
              <w:rPr>
                <w:color w:val="5C6455"/>
                <w:sz w:val="17"/>
              </w:rPr>
              <w:t>If no suitable sources can be found, the fallback is to keep the current no-numbers stance and state the reasoning explicitly — defensible, but weaker against this criterion. Please flag it if you think that is the better path.</w:t>
            </w:r>
          </w:p>
        </w:tc>
      </w:tr>
    </w:tbl>
    <w:p w14:paraId="17A83B4C" w14:textId="77777777" w:rsidR="002D3983" w:rsidRDefault="00000000">
      <w:pPr>
        <w:pStyle w:val="Cmsor1"/>
      </w:pPr>
      <w:r>
        <w:lastRenderedPageBreak/>
        <w:t>5 — Partner confirmations</w:t>
      </w:r>
    </w:p>
    <w:p w14:paraId="2BF798F8" w14:textId="77777777" w:rsidR="002D3983" w:rsidRDefault="00000000">
      <w:r>
        <w:rPr>
          <w:color w:val="5C6455"/>
          <w:sz w:val="19"/>
        </w:rPr>
        <w:t>These facts appear in the draft today based on our best current information. Each must be confirmed in writing by the named partner — or corrected, in which case we revise the affected sections. Until confirmed, the proposal cannot present them as established.</w:t>
      </w:r>
    </w:p>
    <w:tbl>
      <w:tblPr>
        <w:tblW w:w="0" w:type="auto"/>
        <w:jc w:val="center"/>
        <w:tblLook w:val="04A0" w:firstRow="1" w:lastRow="0" w:firstColumn="1" w:lastColumn="0" w:noHBand="0" w:noVBand="1"/>
      </w:tblPr>
      <w:tblGrid>
        <w:gridCol w:w="8958"/>
      </w:tblGrid>
      <w:tr w:rsidR="002D3983" w14:paraId="6D6B658F" w14:textId="77777777">
        <w:trPr>
          <w:jc w:val="center"/>
        </w:trPr>
        <w:tc>
          <w:tcPr>
            <w:tcW w:w="8958" w:type="dxa"/>
            <w:shd w:val="clear" w:color="auto" w:fill="F5EEDC"/>
            <w:tcMar>
              <w:top w:w="170" w:type="dxa"/>
              <w:left w:w="170" w:type="dxa"/>
              <w:bottom w:w="170" w:type="dxa"/>
              <w:right w:w="170" w:type="dxa"/>
            </w:tcMar>
          </w:tcPr>
          <w:p w14:paraId="54B42B13" w14:textId="77777777" w:rsidR="002D3983" w:rsidRDefault="00000000">
            <w:pPr>
              <w:spacing w:after="80"/>
            </w:pPr>
            <w:r>
              <w:rPr>
                <w:rFonts w:ascii="Segoe UI" w:hAnsi="Segoe UI"/>
                <w:caps/>
                <w:color w:val="8A5B14"/>
                <w:sz w:val="15"/>
              </w:rPr>
              <w:t>Major — review findings F-6 and F-3, actions A-2 and A-5 · Implementation 3.2, Excellence 1.3</w:t>
            </w:r>
          </w:p>
          <w:p w14:paraId="1EE54E99" w14:textId="77777777" w:rsidR="002D3983" w:rsidRDefault="00000000">
            <w:pPr>
              <w:spacing w:after="120"/>
            </w:pPr>
            <w:r>
              <w:rPr>
                <w:rFonts w:ascii="Segoe UI" w:hAnsi="Segoe UI"/>
                <w:b/>
                <w:sz w:val="23"/>
              </w:rPr>
              <w:t>AgroVIR: the placement arrangements</w:t>
            </w:r>
          </w:p>
          <w:p w14:paraId="5E04FD20" w14:textId="77777777" w:rsidR="002D3983" w:rsidRDefault="00000000">
            <w:r>
              <w:rPr>
                <w:sz w:val="19"/>
              </w:rPr>
              <w:t>The six-month placement at AgroVIR (months 25–30) is an evaluated part of the fellowship, and two evaluation criteria look directly at it: the quality of supervision, and the capacity and hosting arrangements of the participating organisation. Right now every practical detail of the placement rests on descriptions AgroVIR has not yet formally confirmed, and no letter of commitment accompanies the draft. The review flagged this as one of the two major weaknesses.</w:t>
            </w:r>
          </w:p>
          <w:p w14:paraId="006FA1A6" w14:textId="77777777" w:rsidR="002D3983" w:rsidRDefault="00000000">
            <w:pPr>
              <w:spacing w:after="60"/>
            </w:pPr>
            <w:r>
              <w:rPr>
                <w:rFonts w:ascii="Segoe UI" w:hAnsi="Segoe UI"/>
                <w:caps/>
                <w:color w:val="2F6B3A"/>
                <w:sz w:val="15"/>
              </w:rPr>
              <w:t>What we need — written confirmation from AgroVIR of each item as currently drafted</w:t>
            </w:r>
          </w:p>
          <w:p w14:paraId="55991BCB" w14:textId="77777777" w:rsidR="002D3983" w:rsidRDefault="00000000">
            <w:pPr>
              <w:pStyle w:val="Felsorols"/>
              <w:spacing w:after="60"/>
            </w:pPr>
            <w:r>
              <w:rPr>
                <w:sz w:val="19"/>
              </w:rPr>
              <w:t xml:space="preserve">On-site supervisor: </w:t>
            </w:r>
            <w:r>
              <w:rPr>
                <w:b/>
                <w:sz w:val="19"/>
              </w:rPr>
              <w:t>Miklós Maróti</w:t>
            </w:r>
            <w:r>
              <w:rPr>
                <w:sz w:val="19"/>
              </w:rPr>
              <w:t>, at senior research grade — plus the supervision routine during the placement.</w:t>
            </w:r>
          </w:p>
          <w:p w14:paraId="6DCC2751" w14:textId="77777777" w:rsidR="002D3983" w:rsidRDefault="00000000">
            <w:pPr>
              <w:pStyle w:val="Felsorols"/>
              <w:spacing w:after="60"/>
            </w:pPr>
            <w:r>
              <w:rPr>
                <w:sz w:val="19"/>
              </w:rPr>
              <w:t>The team the fellow joins: the product-development team responsible for AgroVIR's farm-management software.</w:t>
            </w:r>
          </w:p>
          <w:p w14:paraId="4C0D3B4C" w14:textId="77777777" w:rsidR="002D3983" w:rsidRDefault="00000000">
            <w:pPr>
              <w:pStyle w:val="Felsorols"/>
              <w:spacing w:after="60"/>
            </w:pPr>
            <w:r>
              <w:rPr>
                <w:sz w:val="19"/>
              </w:rPr>
              <w:t>Workspace and access: a desk or office for months 25–30, and access to the software development, staging and customer-data environments.</w:t>
            </w:r>
          </w:p>
          <w:p w14:paraId="32A8A99A" w14:textId="77777777" w:rsidR="002D3983" w:rsidRDefault="00000000">
            <w:pPr>
              <w:pStyle w:val="Felsorols"/>
              <w:spacing w:after="60"/>
            </w:pPr>
            <w:r>
              <w:rPr>
                <w:sz w:val="19"/>
              </w:rPr>
              <w:t>The role of the company contact person (currently named as Zsuzsanna Balázs).</w:t>
            </w:r>
          </w:p>
          <w:p w14:paraId="0B7F4E5E" w14:textId="77777777" w:rsidR="002D3983" w:rsidRDefault="00000000">
            <w:pPr>
              <w:pStyle w:val="Felsorols"/>
              <w:spacing w:after="60"/>
            </w:pPr>
            <w:r>
              <w:rPr>
                <w:sz w:val="19"/>
              </w:rPr>
              <w:t>The company profile statement: twenty years in Hungarian commercial agriculture and a farm-management software product, with no prior EU-funded research participation.</w:t>
            </w:r>
          </w:p>
          <w:p w14:paraId="2DEE2253" w14:textId="77777777" w:rsidR="002D3983" w:rsidRDefault="00000000">
            <w:pPr>
              <w:pStyle w:val="Felsorols"/>
              <w:spacing w:after="60"/>
            </w:pPr>
            <w:r>
              <w:rPr>
                <w:sz w:val="19"/>
              </w:rPr>
              <w:t>The placement agreement on results and intellectual property (to be concluded between the fellow, ELTE and AgroVIR before the placement begins).</w:t>
            </w:r>
          </w:p>
          <w:p w14:paraId="23A78A25" w14:textId="77777777" w:rsidR="002D3983" w:rsidRDefault="00000000">
            <w:pPr>
              <w:spacing w:after="0"/>
            </w:pPr>
            <w:r>
              <w:rPr>
                <w:color w:val="5C6455"/>
                <w:sz w:val="17"/>
              </w:rPr>
              <w:t>A short signed letter or an email from AgroVIR management covering these points is sufficient for now; a formal letter of commitment would be stronger still.</w:t>
            </w:r>
          </w:p>
        </w:tc>
      </w:tr>
    </w:tbl>
    <w:p w14:paraId="4C242106" w14:textId="77777777" w:rsidR="002D3983" w:rsidRDefault="002D3983"/>
    <w:tbl>
      <w:tblPr>
        <w:tblW w:w="0" w:type="auto"/>
        <w:jc w:val="center"/>
        <w:tblLook w:val="04A0" w:firstRow="1" w:lastRow="0" w:firstColumn="1" w:lastColumn="0" w:noHBand="0" w:noVBand="1"/>
      </w:tblPr>
      <w:tblGrid>
        <w:gridCol w:w="8958"/>
      </w:tblGrid>
      <w:tr w:rsidR="002D3983" w14:paraId="672BA718" w14:textId="77777777">
        <w:trPr>
          <w:jc w:val="center"/>
        </w:trPr>
        <w:tc>
          <w:tcPr>
            <w:tcW w:w="8958" w:type="dxa"/>
            <w:shd w:val="clear" w:color="auto" w:fill="F3F4EC"/>
            <w:tcMar>
              <w:top w:w="170" w:type="dxa"/>
              <w:left w:w="170" w:type="dxa"/>
              <w:bottom w:w="170" w:type="dxa"/>
              <w:right w:w="170" w:type="dxa"/>
            </w:tcMar>
          </w:tcPr>
          <w:p w14:paraId="2113C99C" w14:textId="77777777" w:rsidR="002D3983" w:rsidRDefault="00000000">
            <w:pPr>
              <w:spacing w:after="80"/>
            </w:pPr>
            <w:r>
              <w:rPr>
                <w:rFonts w:ascii="Segoe UI" w:hAnsi="Segoe UI"/>
                <w:caps/>
                <w:color w:val="5C6455"/>
                <w:sz w:val="15"/>
              </w:rPr>
              <w:t>Minor — review finding F-8, action A-8 · Implementation 3.1, Excellence 1.3</w:t>
            </w:r>
          </w:p>
          <w:p w14:paraId="0F2A24C4" w14:textId="77777777" w:rsidR="002D3983" w:rsidRDefault="00000000">
            <w:pPr>
              <w:spacing w:after="120"/>
            </w:pPr>
            <w:r>
              <w:rPr>
                <w:rFonts w:ascii="Segoe UI" w:hAnsi="Segoe UI"/>
                <w:b/>
                <w:sz w:val="23"/>
              </w:rPr>
              <w:lastRenderedPageBreak/>
              <w:t>All partners: committed effort figures</w:t>
            </w:r>
          </w:p>
          <w:p w14:paraId="5ED1246E" w14:textId="77777777" w:rsidR="002D3983" w:rsidRDefault="00000000">
            <w:pPr>
              <w:spacing w:after="120"/>
            </w:pPr>
            <w:r>
              <w:rPr>
                <w:sz w:val="19"/>
              </w:rPr>
              <w:t>The fellow's own 30 person-months are firm. The partner contributions that support the supervision and implementation case are currently our estimates, and the draft says so. The evaluation criterion on the appropriateness of effort is better served by committed figures.</w:t>
            </w:r>
          </w:p>
          <w:tbl>
            <w:tblPr>
              <w:tblStyle w:val="Rcsostblzat"/>
              <w:tblW w:w="0" w:type="auto"/>
              <w:tblLook w:val="04A0" w:firstRow="1" w:lastRow="0" w:firstColumn="1" w:lastColumn="0" w:noHBand="0" w:noVBand="1"/>
            </w:tblPr>
            <w:tblGrid>
              <w:gridCol w:w="2886"/>
              <w:gridCol w:w="2854"/>
              <w:gridCol w:w="2868"/>
            </w:tblGrid>
            <w:tr w:rsidR="002D3983" w14:paraId="658BA7AE" w14:textId="77777777">
              <w:tc>
                <w:tcPr>
                  <w:tcW w:w="2986" w:type="dxa"/>
                </w:tcPr>
                <w:p w14:paraId="186F76C4" w14:textId="77777777" w:rsidR="002D3983" w:rsidRDefault="00000000">
                  <w:r>
                    <w:rPr>
                      <w:rFonts w:ascii="Segoe UI" w:hAnsi="Segoe UI"/>
                      <w:b/>
                      <w:caps/>
                      <w:color w:val="5C6455"/>
                      <w:sz w:val="15"/>
                    </w:rPr>
                    <w:t>Contribution</w:t>
                  </w:r>
                </w:p>
              </w:tc>
              <w:tc>
                <w:tcPr>
                  <w:tcW w:w="2986" w:type="dxa"/>
                </w:tcPr>
                <w:p w14:paraId="072BF8C6" w14:textId="77777777" w:rsidR="002D3983" w:rsidRDefault="00000000">
                  <w:r>
                    <w:rPr>
                      <w:rFonts w:ascii="Segoe UI" w:hAnsi="Segoe UI"/>
                      <w:b/>
                      <w:caps/>
                      <w:color w:val="5C6455"/>
                      <w:sz w:val="15"/>
                    </w:rPr>
                    <w:t>Figure in draft</w:t>
                  </w:r>
                </w:p>
              </w:tc>
              <w:tc>
                <w:tcPr>
                  <w:tcW w:w="2986" w:type="dxa"/>
                </w:tcPr>
                <w:p w14:paraId="3CF386EB" w14:textId="77777777" w:rsidR="002D3983" w:rsidRDefault="00000000">
                  <w:r>
                    <w:rPr>
                      <w:rFonts w:ascii="Segoe UI" w:hAnsi="Segoe UI"/>
                      <w:b/>
                      <w:caps/>
                      <w:color w:val="5C6455"/>
                      <w:sz w:val="15"/>
                    </w:rPr>
                    <w:t>Who confirms</w:t>
                  </w:r>
                </w:p>
              </w:tc>
            </w:tr>
            <w:tr w:rsidR="002D3983" w14:paraId="31D1F9EC" w14:textId="77777777">
              <w:tc>
                <w:tcPr>
                  <w:tcW w:w="2986" w:type="dxa"/>
                </w:tcPr>
                <w:p w14:paraId="39ACB4E6" w14:textId="77777777" w:rsidR="002D3983" w:rsidRDefault="00000000">
                  <w:r>
                    <w:rPr>
                      <w:sz w:val="18"/>
                    </w:rPr>
                    <w:t>Supervisor (Prof. András Jung, ELTE)</w:t>
                  </w:r>
                </w:p>
              </w:tc>
              <w:tc>
                <w:tcPr>
                  <w:tcW w:w="2986" w:type="dxa"/>
                </w:tcPr>
                <w:p w14:paraId="31A4AA9B" w14:textId="77777777" w:rsidR="002D3983" w:rsidRDefault="00000000">
                  <w:r>
                    <w:rPr>
                      <w:sz w:val="18"/>
                    </w:rPr>
                    <w:t>2.5 person-months</w:t>
                  </w:r>
                </w:p>
              </w:tc>
              <w:tc>
                <w:tcPr>
                  <w:tcW w:w="2986" w:type="dxa"/>
                </w:tcPr>
                <w:p w14:paraId="1531C7FD" w14:textId="77777777" w:rsidR="002D3983" w:rsidRDefault="00000000">
                  <w:r>
                    <w:rPr>
                      <w:sz w:val="18"/>
                    </w:rPr>
                    <w:t>ELTE / supervisor</w:t>
                  </w:r>
                </w:p>
              </w:tc>
            </w:tr>
            <w:tr w:rsidR="002D3983" w14:paraId="5617B8DE" w14:textId="77777777">
              <w:tc>
                <w:tcPr>
                  <w:tcW w:w="2986" w:type="dxa"/>
                </w:tcPr>
                <w:p w14:paraId="5F6D915F" w14:textId="77777777" w:rsidR="002D3983" w:rsidRDefault="00000000">
                  <w:r>
                    <w:rPr>
                      <w:sz w:val="18"/>
                    </w:rPr>
                    <w:t>Co-supervisor (Dr. Roland Hollós, ELTE)</w:t>
                  </w:r>
                </w:p>
              </w:tc>
              <w:tc>
                <w:tcPr>
                  <w:tcW w:w="2986" w:type="dxa"/>
                </w:tcPr>
                <w:p w14:paraId="096EE406" w14:textId="77777777" w:rsidR="002D3983" w:rsidRDefault="00000000">
                  <w:r>
                    <w:rPr>
                      <w:sz w:val="18"/>
                    </w:rPr>
                    <w:t>2.0 person-months</w:t>
                  </w:r>
                </w:p>
              </w:tc>
              <w:tc>
                <w:tcPr>
                  <w:tcW w:w="2986" w:type="dxa"/>
                </w:tcPr>
                <w:p w14:paraId="7E2E6CFA" w14:textId="77777777" w:rsidR="002D3983" w:rsidRDefault="00000000">
                  <w:r>
                    <w:rPr>
                      <w:sz w:val="18"/>
                    </w:rPr>
                    <w:t>ELTE / co-supervisor</w:t>
                  </w:r>
                </w:p>
              </w:tc>
            </w:tr>
            <w:tr w:rsidR="002D3983" w14:paraId="6EC2CF94" w14:textId="77777777">
              <w:tc>
                <w:tcPr>
                  <w:tcW w:w="2986" w:type="dxa"/>
                </w:tcPr>
                <w:p w14:paraId="671BF4D6" w14:textId="77777777" w:rsidR="002D3983" w:rsidRDefault="00000000">
                  <w:r>
                    <w:rPr>
                      <w:sz w:val="18"/>
                    </w:rPr>
                    <w:t>AgroVIR (placement host)</w:t>
                  </w:r>
                </w:p>
              </w:tc>
              <w:tc>
                <w:tcPr>
                  <w:tcW w:w="2986" w:type="dxa"/>
                </w:tcPr>
                <w:p w14:paraId="368CADEE" w14:textId="77777777" w:rsidR="002D3983" w:rsidRDefault="00000000">
                  <w:r>
                    <w:rPr>
                      <w:sz w:val="18"/>
                    </w:rPr>
                    <w:t>3.0 person-months</w:t>
                  </w:r>
                </w:p>
              </w:tc>
              <w:tc>
                <w:tcPr>
                  <w:tcW w:w="2986" w:type="dxa"/>
                </w:tcPr>
                <w:p w14:paraId="4DF9446C" w14:textId="77777777" w:rsidR="002D3983" w:rsidRDefault="00000000">
                  <w:r>
                    <w:rPr>
                      <w:sz w:val="18"/>
                    </w:rPr>
                    <w:t>AgroVIR</w:t>
                  </w:r>
                </w:p>
              </w:tc>
            </w:tr>
            <w:tr w:rsidR="002D3983" w14:paraId="2EB9863E" w14:textId="77777777">
              <w:tc>
                <w:tcPr>
                  <w:tcW w:w="2986" w:type="dxa"/>
                </w:tcPr>
                <w:p w14:paraId="42A253A2" w14:textId="77777777" w:rsidR="002D3983" w:rsidRDefault="00000000">
                  <w:r>
                    <w:rPr>
                      <w:sz w:val="18"/>
                    </w:rPr>
                    <w:t>MATE (experimental environment)</w:t>
                  </w:r>
                </w:p>
              </w:tc>
              <w:tc>
                <w:tcPr>
                  <w:tcW w:w="2986" w:type="dxa"/>
                </w:tcPr>
                <w:p w14:paraId="686F32DC" w14:textId="77777777" w:rsidR="002D3983" w:rsidRDefault="00000000">
                  <w:r>
                    <w:rPr>
                      <w:sz w:val="18"/>
                    </w:rPr>
                    <w:t>2.4 person-months</w:t>
                  </w:r>
                </w:p>
              </w:tc>
              <w:tc>
                <w:tcPr>
                  <w:tcW w:w="2986" w:type="dxa"/>
                </w:tcPr>
                <w:p w14:paraId="0CFF06EE" w14:textId="77777777" w:rsidR="002D3983" w:rsidRDefault="00000000">
                  <w:r>
                    <w:rPr>
                      <w:sz w:val="18"/>
                    </w:rPr>
                    <w:t>MATE</w:t>
                  </w:r>
                </w:p>
              </w:tc>
            </w:tr>
            <w:tr w:rsidR="002D3983" w14:paraId="6B5D2D97" w14:textId="77777777">
              <w:tc>
                <w:tcPr>
                  <w:tcW w:w="2986" w:type="dxa"/>
                </w:tcPr>
                <w:p w14:paraId="1E5FD1B1" w14:textId="77777777" w:rsidR="002D3983" w:rsidRDefault="00000000">
                  <w:r>
                    <w:rPr>
                      <w:sz w:val="18"/>
                    </w:rPr>
                    <w:t>Maritsa Institute, Plovdiv (Bulgarian trial site)</w:t>
                  </w:r>
                </w:p>
              </w:tc>
              <w:tc>
                <w:tcPr>
                  <w:tcW w:w="2986" w:type="dxa"/>
                </w:tcPr>
                <w:p w14:paraId="5CFC2C9F" w14:textId="77777777" w:rsidR="002D3983" w:rsidRDefault="00000000">
                  <w:r>
                    <w:rPr>
                      <w:sz w:val="18"/>
                    </w:rPr>
                    <w:t>1.5 person-months</w:t>
                  </w:r>
                </w:p>
              </w:tc>
              <w:tc>
                <w:tcPr>
                  <w:tcW w:w="2986" w:type="dxa"/>
                </w:tcPr>
                <w:p w14:paraId="5148A7E0" w14:textId="77777777" w:rsidR="002D3983" w:rsidRDefault="00000000">
                  <w:r>
                    <w:rPr>
                      <w:sz w:val="18"/>
                    </w:rPr>
                    <w:t>MVCRI</w:t>
                  </w:r>
                </w:p>
              </w:tc>
            </w:tr>
          </w:tbl>
          <w:p w14:paraId="70AAE54D" w14:textId="77777777" w:rsidR="002D3983" w:rsidRDefault="002D3983"/>
        </w:tc>
      </w:tr>
    </w:tbl>
    <w:p w14:paraId="10B621C2" w14:textId="77777777" w:rsidR="002D3983" w:rsidRDefault="002D3983"/>
    <w:tbl>
      <w:tblPr>
        <w:tblW w:w="0" w:type="auto"/>
        <w:jc w:val="center"/>
        <w:tblLook w:val="04A0" w:firstRow="1" w:lastRow="0" w:firstColumn="1" w:lastColumn="0" w:noHBand="0" w:noVBand="1"/>
      </w:tblPr>
      <w:tblGrid>
        <w:gridCol w:w="8958"/>
      </w:tblGrid>
      <w:tr w:rsidR="002D3983" w14:paraId="503AF927" w14:textId="77777777">
        <w:trPr>
          <w:jc w:val="center"/>
        </w:trPr>
        <w:tc>
          <w:tcPr>
            <w:tcW w:w="8958" w:type="dxa"/>
            <w:shd w:val="clear" w:color="auto" w:fill="F3F4EC"/>
            <w:tcMar>
              <w:top w:w="170" w:type="dxa"/>
              <w:left w:w="170" w:type="dxa"/>
              <w:bottom w:w="170" w:type="dxa"/>
              <w:right w:w="170" w:type="dxa"/>
            </w:tcMar>
          </w:tcPr>
          <w:p w14:paraId="3639C161" w14:textId="77777777" w:rsidR="002D3983" w:rsidRDefault="00000000">
            <w:pPr>
              <w:spacing w:after="80"/>
            </w:pPr>
            <w:r>
              <w:rPr>
                <w:rFonts w:ascii="Segoe UI" w:hAnsi="Segoe UI"/>
                <w:caps/>
                <w:color w:val="5C6455"/>
                <w:sz w:val="15"/>
              </w:rPr>
              <w:t>Minor · Implementation 3.2</w:t>
            </w:r>
          </w:p>
          <w:p w14:paraId="60BC7F07" w14:textId="77777777" w:rsidR="002D3983" w:rsidRDefault="00000000">
            <w:pPr>
              <w:spacing w:after="120"/>
            </w:pPr>
            <w:r>
              <w:rPr>
                <w:rFonts w:ascii="Segoe UI" w:hAnsi="Segoe UI"/>
                <w:b/>
                <w:sz w:val="23"/>
              </w:rPr>
              <w:t>Remaining factual checks</w:t>
            </w:r>
          </w:p>
          <w:p w14:paraId="3A6212C0" w14:textId="77777777" w:rsidR="002D3983" w:rsidRDefault="00000000">
            <w:pPr>
              <w:pStyle w:val="Felsorols"/>
              <w:spacing w:after="60"/>
            </w:pPr>
            <w:r>
              <w:rPr>
                <w:b/>
                <w:sz w:val="19"/>
              </w:rPr>
              <w:t>MATE contact person</w:t>
            </w:r>
            <w:r>
              <w:rPr>
                <w:sz w:val="19"/>
              </w:rPr>
              <w:t xml:space="preserve"> — currently named as Dr. Sándor Takács; please confirm.</w:t>
            </w:r>
          </w:p>
          <w:p w14:paraId="5F76161B" w14:textId="77777777" w:rsidR="002D3983" w:rsidRDefault="00000000">
            <w:pPr>
              <w:pStyle w:val="Felsorols"/>
              <w:spacing w:after="0"/>
            </w:pPr>
            <w:r>
              <w:rPr>
                <w:b/>
                <w:sz w:val="19"/>
              </w:rPr>
              <w:t>ELTE hosting history</w:t>
            </w:r>
            <w:r>
              <w:rPr>
                <w:sz w:val="19"/>
              </w:rPr>
              <w:t xml:space="preserve"> — the draft states, honestly, that ELTE has not previously hosted a funded MSCA fellow. The institution's research office should confirm this is accurate (and see the related editorial item below on demonstrating institutional readiness).</w:t>
            </w:r>
          </w:p>
        </w:tc>
      </w:tr>
    </w:tbl>
    <w:p w14:paraId="017523DD" w14:textId="77777777" w:rsidR="002D3983" w:rsidRDefault="00000000">
      <w:pPr>
        <w:pStyle w:val="Cmsor1"/>
      </w:pPr>
      <w:r>
        <w:t>6 — Editorial strengthening (in-house)</w:t>
      </w:r>
    </w:p>
    <w:p w14:paraId="05ED8ED5" w14:textId="77777777" w:rsidR="002D3983" w:rsidRDefault="00000000">
      <w:r>
        <w:rPr>
          <w:color w:val="5C6455"/>
          <w:sz w:val="19"/>
        </w:rPr>
        <w:t>These four improvements need no partner sign-off — we will draft them — but suggestions and material are welcome, especially where you hold the facts.</w:t>
      </w:r>
    </w:p>
    <w:p w14:paraId="058D480B" w14:textId="77777777" w:rsidR="002D3983" w:rsidRDefault="00000000">
      <w:pPr>
        <w:spacing w:after="20"/>
      </w:pPr>
      <w:r>
        <w:rPr>
          <w:rFonts w:ascii="Segoe UI" w:hAnsi="Segoe UI"/>
          <w:b/>
          <w:color w:val="2F6B3A"/>
          <w:sz w:val="19"/>
        </w:rPr>
        <w:t xml:space="preserve">A-3  </w:t>
      </w:r>
      <w:r>
        <w:t>Foreground the researcher's concrete, already-achieved data-science outputs (what the DrR prototype integrates, models built, validation done; any technical or conference outputs), so present competence rests on more than mobility experience.</w:t>
      </w:r>
    </w:p>
    <w:p w14:paraId="1811719F" w14:textId="77777777" w:rsidR="002D3983" w:rsidRDefault="00000000">
      <w:r>
        <w:rPr>
          <w:color w:val="5C6455"/>
          <w:sz w:val="17"/>
        </w:rPr>
        <w:t>Excellence 1.4 — researcher's experience, competences and skills</w:t>
      </w:r>
    </w:p>
    <w:p w14:paraId="7040ADFD" w14:textId="77777777" w:rsidR="002D3983" w:rsidRDefault="00000000">
      <w:pPr>
        <w:spacing w:after="20"/>
      </w:pPr>
      <w:r>
        <w:rPr>
          <w:rFonts w:ascii="Segoe UI" w:hAnsi="Segoe UI"/>
          <w:b/>
          <w:color w:val="2F6B3A"/>
          <w:sz w:val="19"/>
        </w:rPr>
        <w:t xml:space="preserve">A-4  </w:t>
      </w:r>
      <w:r>
        <w:t>Add a short statement on inclusive recruitment of growers and company staff for feedback and demonstrations, so the diversity dimension covers the one strand of the research that involves people.</w:t>
      </w:r>
    </w:p>
    <w:p w14:paraId="7C5FA763" w14:textId="77777777" w:rsidR="002D3983" w:rsidRDefault="00000000">
      <w:r>
        <w:rPr>
          <w:color w:val="5C6455"/>
          <w:sz w:val="17"/>
        </w:rPr>
        <w:t>Excellence 1.2 — methodology, gender and diversity aspects</w:t>
      </w:r>
    </w:p>
    <w:p w14:paraId="7CA57121" w14:textId="77777777" w:rsidR="002D3983" w:rsidRDefault="00000000">
      <w:pPr>
        <w:spacing w:after="20"/>
      </w:pPr>
      <w:r>
        <w:rPr>
          <w:rFonts w:ascii="Segoe UI" w:hAnsi="Segoe UI"/>
          <w:b/>
          <w:color w:val="2F6B3A"/>
          <w:sz w:val="19"/>
        </w:rPr>
        <w:t xml:space="preserve">A-6  </w:t>
      </w:r>
      <w:r>
        <w:t>Give the public-communication activities concrete targets — audiences, channels, indicative reach, timing, and a monitored indicator — so they are as verifiable as the dissemination and exploitation measures.</w:t>
      </w:r>
    </w:p>
    <w:p w14:paraId="71F1FC0A" w14:textId="77777777" w:rsidR="002D3983" w:rsidRDefault="00000000">
      <w:r>
        <w:rPr>
          <w:color w:val="5C6455"/>
          <w:sz w:val="17"/>
        </w:rPr>
        <w:t>Impact 2.2 — measures to maximise outcomes, including communication</w:t>
      </w:r>
    </w:p>
    <w:p w14:paraId="6B5F11FA" w14:textId="77777777" w:rsidR="002D3983" w:rsidRDefault="00000000">
      <w:pPr>
        <w:spacing w:after="20"/>
      </w:pPr>
      <w:r>
        <w:rPr>
          <w:rFonts w:ascii="Segoe UI" w:hAnsi="Segoe UI"/>
          <w:b/>
          <w:color w:val="2F6B3A"/>
          <w:sz w:val="19"/>
        </w:rPr>
        <w:lastRenderedPageBreak/>
        <w:t xml:space="preserve">A-7  </w:t>
      </w:r>
      <w:r>
        <w:t>Offset the absence of a prior funded-MSCA hosting record with concrete evidence of ELTE's readiness: research-support office services, other international fellowships hosted, researcher-development and HR provisions. ELTE colleagues: examples welcome.</w:t>
      </w:r>
      <w:r>
        <w:rPr>
          <w:i/>
        </w:rPr>
        <w:t xml:space="preserve"> [Superseded in part by the host switch (section 2): the institutional-readiness case must now be made for HUN-REN ATK, and ELTE's readiness evidence supports its associated-partner role instead.]</w:t>
      </w:r>
    </w:p>
    <w:p w14:paraId="394197E3" w14:textId="77777777" w:rsidR="002D3983" w:rsidRDefault="00000000">
      <w:r>
        <w:rPr>
          <w:color w:val="5C6455"/>
          <w:sz w:val="17"/>
        </w:rPr>
        <w:t>Implementation 3.2 — capacity of the host institution</w:t>
      </w:r>
    </w:p>
    <w:p w14:paraId="246CA0E1" w14:textId="77777777" w:rsidR="002D3983" w:rsidRDefault="00000000">
      <w:pPr>
        <w:pStyle w:val="Cmsor1"/>
      </w:pPr>
      <w:r>
        <w:t>7 — How to respond, and what happens next</w:t>
      </w:r>
    </w:p>
    <w:p w14:paraId="7664A12A" w14:textId="77777777" w:rsidR="002D3983" w:rsidRDefault="00000000">
      <w:r>
        <w:t>Please send confirmations, corrections and literature suggestions in writing (email is fine) — each confirmed item will then be restated in Part B as established fact, and the affected sections revised in one pass. Anything still unconfirmed when we finalise cannot be asserted in the proposal: it would have to stay visibly qualified or come out, and both weaken the sections an evaluator scores. The host-switch and Krumatic confirmations (sections 2 and 3) now come first, because they decide what the host and partner sections say at all. After them, the impact reference points and the AgroVIR placement confirmations remain the items that most affect the score.</w:t>
      </w:r>
    </w:p>
    <w:p w14:paraId="0D87C8C3" w14:textId="77777777" w:rsidR="002D3983" w:rsidRDefault="00000000">
      <w:r>
        <w:t>Once the confirmations and sources are in, we consolidate the final draft. Prose style, structural refinements (tables, charts, images and references) and strict alignment with the official application template are deliberately left to that final step, together with a last consistency check — so please focus your feedback on substance rather than layout or wording.</w:t>
      </w:r>
    </w:p>
    <w:p w14:paraId="2D2DA819" w14:textId="77777777" w:rsidR="002D3983" w:rsidRPr="00792CB7" w:rsidRDefault="00000000">
      <w:pPr>
        <w:rPr>
          <w:b/>
          <w:bCs/>
        </w:rPr>
      </w:pPr>
      <w:r w:rsidRPr="00792CB7">
        <w:rPr>
          <w:b/>
          <w:bCs/>
        </w:rPr>
        <w:t xml:space="preserve">Please respond by: </w:t>
      </w:r>
      <w:r w:rsidR="004B7C62" w:rsidRPr="00792CB7">
        <w:rPr>
          <w:b/>
          <w:bCs/>
        </w:rPr>
        <w:t xml:space="preserve"> 2026.08.31</w:t>
      </w:r>
    </w:p>
    <w:sectPr w:rsidR="002D3983" w:rsidRPr="00792CB7" w:rsidSect="00034616">
      <w:footerReference w:type="default" r:id="rId8"/>
      <w:pgSz w:w="11906" w:h="16838"/>
      <w:pgMar w:top="1361" w:right="1474" w:bottom="136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34F5" w14:textId="77777777" w:rsidR="002C3DDF" w:rsidRDefault="002C3DDF">
      <w:pPr>
        <w:spacing w:after="0" w:line="240" w:lineRule="auto"/>
      </w:pPr>
      <w:r>
        <w:separator/>
      </w:r>
    </w:p>
  </w:endnote>
  <w:endnote w:type="continuationSeparator" w:id="0">
    <w:p w14:paraId="4CB15D74" w14:textId="77777777" w:rsidR="002C3DDF" w:rsidRDefault="002C3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7B6C" w14:textId="77777777" w:rsidR="002D3983" w:rsidRDefault="00000000">
    <w:pPr>
      <w:pStyle w:val="llb"/>
      <w:jc w:val="center"/>
    </w:pPr>
    <w:r>
      <w:rPr>
        <w:rFonts w:ascii="Segoe UI" w:hAnsi="Segoe UI"/>
        <w:color w:val="5C6455"/>
        <w:sz w:val="16"/>
      </w:rPr>
      <w:fldChar w:fldCharType="begin"/>
    </w:r>
    <w:r>
      <w:rPr>
        <w:rFonts w:ascii="Segoe UI" w:hAnsi="Segoe UI"/>
        <w:color w:val="5C6455"/>
        <w:sz w:val="16"/>
      </w:rPr>
      <w:instrText xml:space="preserve"> PAGE </w:instrText>
    </w:r>
    <w:r>
      <w:rPr>
        <w:rFonts w:ascii="Segoe UI" w:hAnsi="Segoe UI"/>
        <w:color w:val="5C6455"/>
        <w:sz w:val="16"/>
      </w:rPr>
      <w:fldChar w:fldCharType="separate"/>
    </w:r>
    <w:r w:rsidR="004B7C62">
      <w:rPr>
        <w:rFonts w:ascii="Segoe UI" w:hAnsi="Segoe UI"/>
        <w:noProof/>
        <w:color w:val="5C6455"/>
        <w:sz w:val="16"/>
      </w:rPr>
      <w:t>1</w:t>
    </w:r>
    <w:r>
      <w:rPr>
        <w:rFonts w:ascii="Segoe UI" w:hAnsi="Segoe UI"/>
        <w:color w:val="5C64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DAE64" w14:textId="77777777" w:rsidR="002C3DDF" w:rsidRDefault="002C3DDF">
      <w:pPr>
        <w:spacing w:after="0" w:line="240" w:lineRule="auto"/>
      </w:pPr>
      <w:r>
        <w:separator/>
      </w:r>
    </w:p>
  </w:footnote>
  <w:footnote w:type="continuationSeparator" w:id="0">
    <w:p w14:paraId="7DF01DCB" w14:textId="77777777" w:rsidR="002C3DDF" w:rsidRDefault="002C3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938630805">
    <w:abstractNumId w:val="8"/>
  </w:num>
  <w:num w:numId="2" w16cid:durableId="1978341971">
    <w:abstractNumId w:val="6"/>
  </w:num>
  <w:num w:numId="3" w16cid:durableId="1820610692">
    <w:abstractNumId w:val="5"/>
  </w:num>
  <w:num w:numId="4" w16cid:durableId="1224558815">
    <w:abstractNumId w:val="4"/>
  </w:num>
  <w:num w:numId="5" w16cid:durableId="89744082">
    <w:abstractNumId w:val="7"/>
  </w:num>
  <w:num w:numId="6" w16cid:durableId="31226335">
    <w:abstractNumId w:val="3"/>
  </w:num>
  <w:num w:numId="7" w16cid:durableId="2036614618">
    <w:abstractNumId w:val="2"/>
  </w:num>
  <w:num w:numId="8" w16cid:durableId="1442799741">
    <w:abstractNumId w:val="1"/>
  </w:num>
  <w:num w:numId="9" w16cid:durableId="45144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4FB"/>
    <w:rsid w:val="0006063C"/>
    <w:rsid w:val="0015074B"/>
    <w:rsid w:val="0029639D"/>
    <w:rsid w:val="002C3DDF"/>
    <w:rsid w:val="002D3983"/>
    <w:rsid w:val="00326F90"/>
    <w:rsid w:val="00453C93"/>
    <w:rsid w:val="004B7C62"/>
    <w:rsid w:val="006C3B7F"/>
    <w:rsid w:val="006E1CB3"/>
    <w:rsid w:val="00792CB7"/>
    <w:rsid w:val="00977292"/>
    <w:rsid w:val="00AA1D8D"/>
    <w:rsid w:val="00B47730"/>
    <w:rsid w:val="00CB0664"/>
    <w:rsid w:val="00D66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F6B03"/>
  <w14:defaultImageDpi w14:val="300"/>
  <w15:docId w15:val="{A6F11A50-BC2A-4D8F-99E7-E38E56A5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60" w:line="300" w:lineRule="auto"/>
    </w:pPr>
    <w:rPr>
      <w:rFonts w:ascii="Georgia" w:hAnsi="Georgia"/>
      <w:color w:val="242A20"/>
      <w:sz w:val="21"/>
    </w:rPr>
  </w:style>
  <w:style w:type="paragraph" w:styleId="Cmsor1">
    <w:name w:val="heading 1"/>
    <w:basedOn w:val="Norml"/>
    <w:next w:val="Norml"/>
    <w:link w:val="Cmsor1Char"/>
    <w:uiPriority w:val="9"/>
    <w:qFormat/>
    <w:rsid w:val="00FC693F"/>
    <w:pPr>
      <w:keepNext/>
      <w:keepLines/>
      <w:spacing w:before="480"/>
      <w:outlineLvl w:val="0"/>
    </w:pPr>
    <w:rPr>
      <w:rFonts w:asciiTheme="majorHAnsi" w:eastAsiaTheme="majorEastAsia" w:hAnsiTheme="majorHAnsi" w:cstheme="majorBidi"/>
      <w:bCs/>
      <w:sz w:val="40"/>
      <w:szCs w:val="28"/>
    </w:rPr>
  </w:style>
  <w:style w:type="paragraph" w:styleId="Cmsor2">
    <w:name w:val="heading 2"/>
    <w:basedOn w:val="Norml"/>
    <w:next w:val="Norml"/>
    <w:link w:val="Cmsor2Char"/>
    <w:uiPriority w:val="9"/>
    <w:unhideWhenUsed/>
    <w:qFormat/>
    <w:rsid w:val="00FC693F"/>
    <w:pPr>
      <w:keepNext/>
      <w:keepLines/>
      <w:spacing w:before="320" w:after="120"/>
      <w:outlineLvl w:val="1"/>
    </w:pPr>
    <w:rPr>
      <w:rFonts w:asciiTheme="majorHAnsi" w:eastAsiaTheme="majorEastAsia" w:hAnsiTheme="majorHAnsi" w:cstheme="majorBidi"/>
      <w:b/>
      <w:bCs/>
      <w:sz w:val="23"/>
      <w:szCs w:val="26"/>
    </w:rPr>
  </w:style>
  <w:style w:type="paragraph" w:styleId="Cmsor3">
    <w:name w:val="heading 3"/>
    <w:basedOn w:val="Norml"/>
    <w:next w:val="Norml"/>
    <w:link w:val="Cmsor3Char"/>
    <w:uiPriority w:val="9"/>
    <w:unhideWhenUsed/>
    <w:qFormat/>
    <w:rsid w:val="00FC693F"/>
    <w:pPr>
      <w:keepNext/>
      <w:keepLines/>
      <w:spacing w:before="280" w:after="80"/>
      <w:outlineLvl w:val="2"/>
    </w:pPr>
    <w:rPr>
      <w:rFonts w:asciiTheme="majorHAnsi" w:eastAsiaTheme="majorEastAsia" w:hAnsiTheme="majorHAnsi" w:cstheme="majorBidi"/>
      <w:b/>
      <w:bCs/>
      <w:caps/>
      <w:color w:val="2F6B3A"/>
      <w:sz w:val="18"/>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spacing w:after="80"/>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2482</Words>
  <Characters>17130</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József Kiss</cp:lastModifiedBy>
  <cp:revision>5</cp:revision>
  <dcterms:created xsi:type="dcterms:W3CDTF">2013-12-23T23:15:00Z</dcterms:created>
  <dcterms:modified xsi:type="dcterms:W3CDTF">2026-08-26T14:57:00Z</dcterms:modified>
  <cp:category/>
</cp:coreProperties>
</file>