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FIELDWISE — Open Decisions, Round 3 (2026-09-04)</w:t>
      </w:r>
    </w:p>
    <w:p>
      <w:r>
        <w:rPr>
          <w:b/>
        </w:rPr>
        <w:t>Submission deadline: Tuesday 2026-09-09</w:t>
      </w:r>
      <w:r>
        <w:rPr>
          <w:b w:val="0"/>
        </w:rPr>
        <w:t xml:space="preserve"> (HORIZON-MSCA-2026-PF-01-01, MSCA-PF 2026). </w:t>
      </w:r>
      <w:r>
        <w:rPr>
          <w:b/>
        </w:rPr>
        <w:t>Answers needed by: Friday 2026-09-05, end of day</w:t>
      </w:r>
      <w:r>
        <w:rPr>
          <w:b w:val="0"/>
        </w:rPr>
        <w:t xml:space="preserve"> — hard, because the submission master freezes 2026-09-06. Anything unanswered at that point takes its stated fallback. A fallback is always the honest, currently confirmed position — never a strengthened claim.</w:t>
      </w:r>
    </w:p>
    <w:p>
      <w:r>
        <w:rPr>
          <w:b w:val="0"/>
        </w:rPr>
        <w:t>This round closes the unresolved revision actions of the run-03 structured review (`drafting_review_status.json`, run `7860a89a`, gate_12 green 2026-09-03). It circulates together with the annotated draft `FIELDWISE_Part_B_draft_run-03_2026-09-04_annotated.docx`. Every item below cites its exact anchor there: the section and paragraph, and the highlighted `[A-x]` marker whose Word comment repeats the question. Answers can therefore be applied unambiguously.</w:t>
      </w:r>
    </w:p>
    <w:p>
      <w:r>
        <w:rPr>
          <w:b w:val="0"/>
        </w:rPr>
        <w:t>Items are keyed by their review action ids (A-1 … A-10), staying traceable to the review record. Round-2 items (OD-1 … OD-6) keep their own ids and are not re-opened here. The standing OD-4/5/6 confirmations are still welcome; they convert Assumed→Confirmed if they arrive before the freeze.</w:t>
      </w:r>
    </w:p>
    <w:p>
      <w:r>
        <w:rPr>
          <w:b w:val="0"/>
        </w:rPr>
        <w:t xml:space="preserve">Status vocabulary is the project's standard: </w:t>
      </w:r>
      <w:r>
        <w:rPr>
          <w:b/>
        </w:rPr>
        <w:t>Confirmed</w:t>
      </w:r>
      <w:r>
        <w:rPr>
          <w:b w:val="0"/>
        </w:rPr>
        <w:t xml:space="preserve"> (written evidence) / </w:t>
      </w:r>
      <w:r>
        <w:rPr>
          <w:b/>
        </w:rPr>
        <w:t>Assumed</w:t>
      </w:r>
      <w:r>
        <w:rPr>
          <w:b w:val="0"/>
        </w:rPr>
        <w:t xml:space="preserve"> (declared working assumption) / </w:t>
      </w:r>
      <w:r>
        <w:rPr>
          <w:b/>
        </w:rPr>
        <w:t>Unresolved</w:t>
      </w:r>
      <w:r>
        <w:rPr>
          <w:b w:val="0"/>
        </w:rPr>
        <w:t xml:space="preserve">. Draft answers below are </w:t>
      </w:r>
      <w:r>
        <w:rPr>
          <w:b/>
        </w:rPr>
        <w:t>Assumed-pending-confirmation</w:t>
      </w:r>
      <w:r>
        <w:rPr>
          <w:b w:val="0"/>
        </w:rPr>
        <w:t>. They are grounded strictly in existing Tier 3 / partner-reviewed Pack content, and are offered so the owner only needs to confirm or correct, not author from scratch. Nothing enters the submitted text until the owner confirms it. Any new fact an answer introduces is written to the project records (paired edit) before it is asserted in the form.</w:t>
      </w:r>
    </w:p>
    <w:p>
      <w:r>
        <w:rPr>
          <w:b w:val="0"/>
        </w:rPr>
        <w:t>One scope note. The review's A-8 asked for two things: naming the career KPI, and anchoring one or two concrete post-fellowship trajectories. The KPI half is already resolved in the annotated draft — the Tier 4 KPI K11 is now named at 2.1 ¶2. Only the trajectory half appears below.</w:t>
      </w:r>
    </w:p>
    <w:p>
      <w:pPr>
        <w:pStyle w:val="Heading1"/>
      </w:pPr>
      <w:r>
        <w:t>A-1 — Month-3 model freeze vs the month-14 D1.1/D1.2 due dates (major)</w:t>
      </w:r>
    </w:p>
    <w:p>
      <w:r>
        <w:rPr>
          <w:b/>
        </w:rPr>
        <w:t>Owner: Prof. Tibor Janda with Dr. Rositsa Cholakova.</w:t>
      </w:r>
      <w:r>
        <w:rPr>
          <w:b w:val="0"/>
        </w:rPr>
        <w:t xml:space="preserve"> </w:t>
      </w:r>
      <w:r>
        <w:rPr>
          <w:b/>
        </w:rPr>
        <w:t>Needed by 2026-09-05 EOD.</w:t>
      </w:r>
      <w:r>
        <w:rPr>
          <w:b w:val="0"/>
        </w:rPr>
        <w:t xml:space="preserve"> </w:t>
      </w:r>
      <w:r>
        <w:rPr>
          <w:b/>
        </w:rPr>
        <w:t>Draft anchors: section 1.1 ¶4 — comment [A-1]; section 1.2 ¶6 — comment [A-1].</w:t>
      </w:r>
    </w:p>
    <w:p>
      <w:r>
        <w:rPr>
          <w:b w:val="0"/>
        </w:rPr>
        <w:t>The reviewer's point: the draft freezes the primary model and registers its model card at month 3 (D2.1, milestone MS6). The harmonised knowledge base (D1.1) and the stress-target/validation protocol (D1.2) are formally delivered only at month 14. Read literally, the model is frozen eleven months before the protocol that defines its target exists.</w:t>
      </w:r>
    </w:p>
    <w:p>
      <w:r>
        <w:rPr>
          <w:b/>
        </w:rPr>
        <w:t>The underlying question:</w:t>
      </w:r>
      <w:r>
        <w:rPr>
          <w:b w:val="0"/>
        </w:rPr>
        <w:t xml:space="preserve"> which reading do you commit to?</w:t>
      </w:r>
    </w:p>
    <w:p>
      <w:pPr>
        <w:pStyle w:val="ListBullet"/>
      </w:pPr>
      <w:r>
        <w:rPr>
          <w:b/>
        </w:rPr>
        <w:t>(a)</w:t>
      </w:r>
      <w:r>
        <w:rPr>
          <w:b w:val="0"/>
        </w:rPr>
        <w:t xml:space="preserve"> The month-3 freeze is defined by a provisional, documented stress-target and validation protocol fixed before the freeze. D1.1/D1.2 are its month-14 formalisation.</w:t>
      </w:r>
    </w:p>
    <w:p>
      <w:pPr>
        <w:pStyle w:val="ListBullet"/>
      </w:pPr>
      <w:r>
        <w:rPr>
          <w:b/>
        </w:rPr>
        <w:t>(b)</w:t>
      </w:r>
      <w:r>
        <w:rPr>
          <w:b w:val="0"/>
        </w:rPr>
        <w:t xml:space="preserve"> The D1.1/D1.2 due months move so the defining documents precede D2.1. This touches the work plan and the Gantt.</w:t>
      </w:r>
    </w:p>
    <w:p>
      <w:r>
        <w:rPr>
          <w:b/>
        </w:rPr>
        <w:t>Draft answer for confirmation (Assumed-pending-confirmation — built only from the recorded work plan):</w:t>
      </w:r>
      <w:r>
        <w:rPr>
          <w:b w:val="0"/>
        </w:rPr>
        <w:t xml:space="preserve"> the reconciliation narrative, option (a):</w:t>
      </w:r>
    </w:p>
    <w:p>
      <w:pPr>
        <w:pStyle w:val="Quote"/>
      </w:pPr>
      <w:r>
        <w:rPr>
          <w:b w:val="0"/>
        </w:rPr>
        <w:t>The stress target, the common-variable matrix and the blocked validation design are selected and documented in the opening tasks T1.1–T1.5 (months 1–3), before the MS6 model freeze at month 3. The month-14 D1.1/D1.2 deliverables are the formalised and expanded editions of those working documents after the full harmonisation cycle (T2.4–T2.6) — not their first existence. The freeze is therefore made against a fixed, documented provisional protocol. No target-model change occurs after MS6.</w:t>
      </w:r>
    </w:p>
    <w:p>
      <w:r>
        <w:rPr>
          <w:b w:val="0"/>
        </w:rPr>
        <w:t>This asserts no new task or date. T1.3 (stress-target selection) and T1.4/T1.5 (blocked validation predefinition) already sit in months 1–3 of the recorded work plan. It does commit to the framing that D1.1/D1.2 formalise pre-freeze working documents. That commitment is yours to make.</w:t>
      </w:r>
    </w:p>
    <w:p>
      <w:r>
        <w:rPr>
          <w:b/>
        </w:rPr>
        <w:t>If you prefer option (b), say so explicitly.</w:t>
      </w:r>
      <w:r>
        <w:rPr>
          <w:b w:val="0"/>
        </w:rPr>
        <w:t xml:space="preserve"> Shifting due months changes deliverable records (a paired edit to the work plan, with ripple into the Gantt and deliverable tables). We apply it 2026-09-05.</w:t>
      </w:r>
    </w:p>
    <w:p>
      <w:r>
        <w:rPr>
          <w:b/>
        </w:rPr>
        <w:t>Fallback if unanswered:</w:t>
      </w:r>
      <w:r>
        <w:rPr>
          <w:b w:val="0"/>
        </w:rPr>
        <w:t xml:space="preserve"> the submitted proposal keeps the current due months and adds no reconciliation claim. The sequencing tension stays visible as drafted — an honest gap, flagged per the project's rules.</w:t>
      </w:r>
    </w:p>
    <w:p>
      <w:pPr>
        <w:pStyle w:val="Heading1"/>
      </w:pPr>
      <w:r>
        <w:t>A-2 — Beyond the state of the art: name the new citable knowledge (major)</w:t>
      </w:r>
    </w:p>
    <w:p>
      <w:r>
        <w:rPr>
          <w:b/>
        </w:rPr>
        <w:t>Owner: Dr. Rositsa Cholakova with Prof. Tibor Janda.</w:t>
      </w:r>
      <w:r>
        <w:rPr>
          <w:b w:val="0"/>
        </w:rPr>
        <w:t xml:space="preserve"> </w:t>
      </w:r>
      <w:r>
        <w:rPr>
          <w:b/>
        </w:rPr>
        <w:t>Needed by 2026-09-05 EOD.</w:t>
      </w:r>
      <w:r>
        <w:rPr>
          <w:b w:val="0"/>
        </w:rPr>
        <w:t xml:space="preserve"> </w:t>
      </w:r>
      <w:r>
        <w:rPr>
          <w:b/>
        </w:rPr>
        <w:t>Draft anchor: section 1.1 ¶6 — comment [A-2].</w:t>
      </w:r>
    </w:p>
    <w:p>
      <w:r>
        <w:rPr>
          <w:b w:val="0"/>
        </w:rPr>
        <w:t>The reviewer's point: 1.1 locates the advance in the validation framework and parsimony — process rigour. It never states the new, citable scientific knowledge the framework yields, or what is currently not achievable without it.</w:t>
      </w:r>
    </w:p>
    <w:p>
      <w:r>
        <w:rPr>
          <w:b/>
        </w:rPr>
        <w:t>Draft answer for confirmation (Assumed-pending-confirmation — assembled only from the project's recorded outputs; the scientific commitment is yours):</w:t>
      </w:r>
    </w:p>
    <w:p>
      <w:pPr>
        <w:pStyle w:val="Quote"/>
      </w:pPr>
      <w:r>
        <w:rPr>
          <w:b w:val="0"/>
        </w:rPr>
        <w:t>FIELDWISE yields three citable objects that do not currently exist for irrigated processing tomato:</w:t>
      </w:r>
    </w:p>
    <w:p>
      <w:pPr>
        <w:pStyle w:val="Quote"/>
      </w:pPr>
      <w:r>
        <w:rPr>
          <w:b w:val="0"/>
        </w:rPr>
        <w:t>1. A released, physiologically grounded water-stress model with documented calibration, uncertainty and blocked unseen-year performance (D2.1).</w:t>
      </w:r>
    </w:p>
    <w:p>
      <w:pPr>
        <w:pStyle w:val="Quote"/>
      </w:pPr>
      <w:r>
        <w:rPr>
          <w:b w:val="0"/>
        </w:rPr>
        <w:t>2. A quantified prospective transfer gap: how much of that performance survives the move from a multi-season research archive to an independent commercial field, measured against pre-registered criteria rather than estimated (D3.2).</w:t>
      </w:r>
    </w:p>
    <w:p>
      <w:pPr>
        <w:pStyle w:val="Quote"/>
      </w:pPr>
      <w:r>
        <w:rPr>
          <w:b w:val="0"/>
        </w:rPr>
        <w:t>3. A crop-transfer specification enumerating which components are crop-generic and which require recalibration (D2.2).</w:t>
      </w:r>
    </w:p>
    <w:p>
      <w:pPr>
        <w:pStyle w:val="Quote"/>
      </w:pPr>
      <w:r>
        <w:rPr>
          <w:b w:val="0"/>
        </w:rPr>
        <w:t>What is currently not achievable is (2). Published water-stress models for this crop report within-experiment performance; the research-to-field transfer loss is asserted or assumed, not prospectively measured.</w:t>
      </w:r>
    </w:p>
    <w:p>
      <w:r>
        <w:rPr>
          <w:b/>
        </w:rPr>
        <w:t>Questions to the owner:</w:t>
      </w:r>
      <w:r>
        <w:rPr>
          <w:b w:val="0"/>
        </w:rPr>
        <w:t xml:space="preserve"> Do you stand behind the claim that the transfer gap has not been prospectively quantified for processing tomato? It will be challenged in review. Is there a sharper phrasing of the new knowledge you would prefer?</w:t>
      </w:r>
    </w:p>
    <w:p>
      <w:r>
        <w:rPr>
          <w:b/>
        </w:rPr>
        <w:t>Fallback if unanswered:</w:t>
      </w:r>
      <w:r>
        <w:rPr>
          <w:b w:val="0"/>
        </w:rPr>
        <w:t xml:space="preserve"> the current framing stands (advance located in the validation framework and parsimony), with no sharpened beyond-state-of-the-art claim.</w:t>
      </w:r>
    </w:p>
    <w:p>
      <w:pPr>
        <w:pStyle w:val="Heading1"/>
      </w:pPr>
      <w:r>
        <w:t>A-3 — ELTE training capacity secured + host-side continuity safeguard (major)</w:t>
      </w:r>
    </w:p>
    <w:p>
      <w:r>
        <w:rPr>
          <w:b/>
        </w:rPr>
        <w:t>Owner: operator with ATK (host).</w:t>
      </w:r>
      <w:r>
        <w:rPr>
          <w:b w:val="0"/>
        </w:rPr>
        <w:t xml:space="preserve"> </w:t>
      </w:r>
      <w:r>
        <w:rPr>
          <w:b/>
        </w:rPr>
        <w:t>Needed by 2026-09-05 EOD.</w:t>
      </w:r>
      <w:r>
        <w:rPr>
          <w:b w:val="0"/>
        </w:rPr>
        <w:t xml:space="preserve"> </w:t>
      </w:r>
      <w:r>
        <w:rPr>
          <w:b/>
        </w:rPr>
        <w:t>Draft anchor: section 1.3 ¶8 — comment [A-3].</w:t>
      </w:r>
    </w:p>
    <w:p>
      <w:r>
        <w:rPr>
          <w:b w:val="0"/>
        </w:rPr>
        <w:t>The reviewer's point: the modelling/EO training strand runs through ELTE — co-supervision, instruments, the named ML team member — and all of it is currently Assumed. 1.3 should evidence that this capacity is secured (confirmations imminent). It should also describe a host-side continuity safeguard if the associated-partner arrangement changes.</w:t>
      </w:r>
    </w:p>
    <w:p>
      <w:r>
        <w:rPr>
          <w:b/>
        </w:rPr>
        <w:t>The underlying questions:</w:t>
      </w:r>
    </w:p>
    <w:p>
      <w:pPr>
        <w:pStyle w:val="ListNumber"/>
      </w:pPr>
      <w:r>
        <w:rPr>
          <w:b w:val="0"/>
        </w:rPr>
        <w:t>Can we state, as fact, that the three ELTE written confirmations have been requested and are expected before or shortly after submission? (Jung co-supervision continuation; the associated-partner agreement; the Hollós ELTE-side ML seat.)</w:t>
      </w:r>
    </w:p>
    <w:p>
      <w:pPr>
        <w:pStyle w:val="ListNumber"/>
      </w:pPr>
      <w:r>
        <w:rPr>
          <w:b w:val="0"/>
        </w:rPr>
        <w:t>What is the honest host-side safeguard if the ELTE arrangement changes?</w:t>
      </w:r>
    </w:p>
    <w:p>
      <w:r>
        <w:rPr>
          <w:b/>
        </w:rPr>
        <w:t>Draft answer for confirmation (Assumed-pending-confirmation — grounded in the declared working assumptions and recorded roles):</w:t>
      </w:r>
    </w:p>
    <w:p>
      <w:pPr>
        <w:pStyle w:val="Quote"/>
      </w:pPr>
      <w:r>
        <w:rPr>
          <w:b w:val="0"/>
        </w:rPr>
        <w:t>The ELTE arrangement is declared and pending written confirmation [owner to confirm the request status: requested, expected around submission?]. Should the associated-partner arrangement change, the training strand's continuity rests on capacities already inside the project. The host's own modelling and data-integration environment at the Agricultural Institute carries the computational strand. Dr. Hollós is ATK-based (interim ATK project contact) and carries the predictive-modelling/ML competence irrespective of which side hosts his seat. The co-supervision cadence would be re-anchored with the host's agreement rather than dropped.</w:t>
      </w:r>
    </w:p>
    <w:p>
      <w:pPr>
        <w:pStyle w:val="Quote"/>
      </w:pPr>
      <w:r>
        <w:rPr>
          <w:b w:val="0"/>
        </w:rPr>
        <w:t>The EO instrument access (UAV/hyperspectral campaigns) is the one ELTE-specific dependency. Its loss would reduce the sensing-scale strand to the archive's proximal-spectral and Sentinel-2 components, which the work plan supports.</w:t>
      </w:r>
    </w:p>
    <w:p>
      <w:r>
        <w:rPr>
          <w:b/>
        </w:rPr>
        <w:t>Questions to the owner:</w:t>
      </w:r>
      <w:r>
        <w:rPr>
          <w:b w:val="0"/>
        </w:rPr>
        <w:t xml:space="preserve"> Is "requested, expected around submission" accurate for all three ELTE confirmations? Is the safeguard above the one you would defend — host modelling environment, Hollós's ATK base, re-anchored co-supervision, Sentinel-2/proximal fallback for sensing? And may 1.3 say it?</w:t>
      </w:r>
    </w:p>
    <w:p>
      <w:r>
        <w:rPr>
          <w:b/>
        </w:rPr>
        <w:t>Fallback if unanswered:</w:t>
      </w:r>
      <w:r>
        <w:rPr>
          <w:b w:val="0"/>
        </w:rPr>
        <w:t xml:space="preserve"> 1.3 keeps its current transparent Assumed status statement, with no securing evidence and no safeguard claim.</w:t>
      </w:r>
    </w:p>
    <w:p>
      <w:pPr>
        <w:pStyle w:val="Heading1"/>
      </w:pPr>
      <w:r>
        <w:t>A-4 — Method-anchored expected-effect ranges in 2.3 (major)</w:t>
      </w:r>
    </w:p>
    <w:p>
      <w:r>
        <w:rPr>
          <w:b/>
        </w:rPr>
        <w:t>Owner: Dr. Rositsa Cholakova with Prof. Tibor Janda.</w:t>
      </w:r>
      <w:r>
        <w:rPr>
          <w:b w:val="0"/>
        </w:rPr>
        <w:t xml:space="preserve"> </w:t>
      </w:r>
      <w:r>
        <w:rPr>
          <w:b/>
        </w:rPr>
        <w:t>Needed by 2026-09-05 EOD.</w:t>
      </w:r>
      <w:r>
        <w:rPr>
          <w:b w:val="0"/>
        </w:rPr>
        <w:t xml:space="preserve"> </w:t>
      </w:r>
      <w:r>
        <w:rPr>
          <w:b/>
        </w:rPr>
        <w:t>Draft anchor: section 2.3 ¶4 — comment [A-4].</w:t>
      </w:r>
    </w:p>
    <w:p>
      <w:r>
        <w:rPr>
          <w:b w:val="0"/>
        </w:rPr>
        <w:t>The reviewer's point: 2.3 quantifies impact only through literature context (the ~8–30% water-saving range). The project's own expected magnitude should be stated as a conditional, method-anchored envelope — what the design is powered to show.</w:t>
      </w:r>
    </w:p>
    <w:p>
      <w:r>
        <w:rPr>
          <w:b w:val="0"/>
        </w:rPr>
        <w:t>Background: 2.3 deliberately declines project-specific numeric targets. That is a prior operator decision; the sub-section is fragile and honesty-first. This item does not reopen that decision by default. It asks whether a conditional envelope is now defensible.</w:t>
      </w:r>
    </w:p>
    <w:p>
      <w:r>
        <w:rPr>
          <w:b/>
        </w:rPr>
        <w:t>Draft answer for confirmation (Assumed-pending-confirmation — conditional formulation only; every number in it is either the recorded literature range or left for you):</w:t>
      </w:r>
    </w:p>
    <w:p>
      <w:pPr>
        <w:pStyle w:val="Quote"/>
      </w:pPr>
      <w:r>
        <w:rPr>
          <w:b w:val="0"/>
        </w:rPr>
        <w:t>Conditional on the frozen model meeting its pre-registered D1.2 acceptance thresholds under prospective commercial-field validation, the action's defensible expectation is twofold. First, stress detection with a lead time of [owner to state: e.g. 2–5 days] ahead of visible expression, as measured by the pre-registered lead-time metric. Second, monitoring-guided irrigation effects within the published 8–30% envelope for comparable strategies — the project's own contribution being the measured transfer gap and uncertainty (D3.2), not a claimed saving. If the thresholds are not met, the quantified negative result is itself the deliverable.</w:t>
      </w:r>
    </w:p>
    <w:p>
      <w:r>
        <w:rPr>
          <w:b/>
        </w:rPr>
        <w:t>Questions to the owner:</w:t>
      </w:r>
      <w:r>
        <w:rPr>
          <w:b w:val="0"/>
        </w:rPr>
        <w:t xml:space="preserve"> Can you commit to a lead-time envelope? That is the one number the formulation needs. Is a "powered to show" phrasing defensible for the water-productivity side, or should it stay literature-anchored as drafted?</w:t>
      </w:r>
    </w:p>
    <w:p>
      <w:r>
        <w:rPr>
          <w:b/>
        </w:rPr>
        <w:t>Fallback if unanswered:</w:t>
      </w:r>
      <w:r>
        <w:rPr>
          <w:b w:val="0"/>
        </w:rPr>
        <w:t xml:space="preserve"> 2.3 keeps bounded literature ranges only, per the standing operator decision.</w:t>
      </w:r>
    </w:p>
    <w:p>
      <w:pPr>
        <w:pStyle w:val="Heading1"/>
      </w:pPr>
      <w:r>
        <w:t>A-5 — In-kind offload framing at the M4–M14 peak (major; confirm-half)</w:t>
      </w:r>
    </w:p>
    <w:p>
      <w:r>
        <w:rPr>
          <w:b/>
        </w:rPr>
        <w:t>Owner: operator → partners (host supervisor, ELTE, MATE, AgroVIR, Krumatic).</w:t>
      </w:r>
      <w:r>
        <w:rPr>
          <w:b w:val="0"/>
        </w:rPr>
        <w:t xml:space="preserve"> </w:t>
      </w:r>
      <w:r>
        <w:rPr>
          <w:b/>
        </w:rPr>
        <w:t>Needed by 2026-09-05 EOD.</w:t>
      </w:r>
      <w:r>
        <w:rPr>
          <w:b w:val="0"/>
        </w:rPr>
        <w:t xml:space="preserve"> </w:t>
      </w:r>
      <w:r>
        <w:rPr>
          <w:b/>
        </w:rPr>
        <w:t>Draft anchor: section 3.1 ¶16 — comment [A-5]. The derived task-loading table is inserted directly after it.</w:t>
      </w:r>
    </w:p>
    <w:p>
      <w:r>
        <w:rPr>
          <w:b w:val="0"/>
        </w:rPr>
        <w:t>The table half of this action is already resolved in the annotated draft. A month-by-month task-loading view at the WP1/WP3/WP4 overlap (M4–M14) was derived strictly from the recorded Gantt — task activity counts, no invented per-month person-month split. Verify it rather than author it; see the resolved-in-draft table at the end.</w:t>
      </w:r>
    </w:p>
    <w:p>
      <w:r>
        <w:rPr>
          <w:b/>
        </w:rPr>
        <w:t>The confirm-half question.</w:t>
      </w:r>
      <w:r>
        <w:rPr>
          <w:b w:val="0"/>
        </w:rPr>
        <w:t xml:space="preserve"> The draft states partner in-kind effort as operator-declared commitments pending written confirmation: host supervisor 2.5 PM, ELTE co-supervisor 2.0 PM, MATE 2.4 PM, AgroVIR 3.0 PM, Krumatic 1.5 PM. May the prose additionally say that this in-kind support offloads the fellow at the M4–M14 peak? Concretely: supervision cadence, ELTE instrument campaigns and MATE archive support absorb work that would otherwise fall on the fellow in exactly those months. Each partner should recognise that framing as true of their own contribution.</w:t>
      </w:r>
    </w:p>
    <w:p>
      <w:r>
        <w:rPr>
          <w:b/>
        </w:rPr>
        <w:t>On confirmation:</w:t>
      </w:r>
      <w:r>
        <w:rPr>
          <w:b w:val="0"/>
        </w:rPr>
        <w:t xml:space="preserve"> the offload sentence is added at 3.1 ¶16. The per-partner PM declarations stay Assumed until the written confirmations land; they convert separately. </w:t>
      </w:r>
      <w:r>
        <w:rPr>
          <w:b/>
        </w:rPr>
        <w:t>Fallback if unanswered:</w:t>
      </w:r>
      <w:r>
        <w:rPr>
          <w:b w:val="0"/>
        </w:rPr>
        <w:t xml:space="preserve"> the table stands as a Tier 4 derivation, and the prose keeps the current wording — in-kind commitments declared, no offload claim.</w:t>
      </w:r>
    </w:p>
    <w:p>
      <w:pPr>
        <w:pStyle w:val="Heading1"/>
      </w:pPr>
      <w:r>
        <w:t>A-6 — WP3 lead reassignment to the fellow/beneficiary (major)</w:t>
      </w:r>
    </w:p>
    <w:p>
      <w:r>
        <w:rPr>
          <w:b/>
        </w:rPr>
        <w:t>Owner: operator with Dr. Rositsa Cholakova.</w:t>
      </w:r>
      <w:r>
        <w:rPr>
          <w:b w:val="0"/>
        </w:rPr>
        <w:t xml:space="preserve"> </w:t>
      </w:r>
      <w:r>
        <w:rPr>
          <w:b/>
        </w:rPr>
        <w:t>Needed by 2026-09-05 EOD.</w:t>
      </w:r>
      <w:r>
        <w:rPr>
          <w:b w:val="0"/>
        </w:rPr>
        <w:t xml:space="preserve"> </w:t>
      </w:r>
      <w:r>
        <w:rPr>
          <w:b/>
        </w:rPr>
        <w:t>Draft anchor: section 3.1 ¶5 (WP3 bullet) — comment [A-6].</w:t>
      </w:r>
    </w:p>
    <w:p>
      <w:r>
        <w:rPr>
          <w:b w:val="0"/>
        </w:rPr>
        <w:t>The reviewer's point: 3.1 designates the WP3 lead as "the independent commercial-farmer validation site". A farmer hosting a validation season is an environment, not a scientific lead. An evaluator may read the attribution as the action outsourcing its central evidence step. The reviewer proposes: WP3 scientific leadership sits with the fellow/beneficiary; the farmer site is the hosting environment; the T3.1 written access agreement and the recorded backup-producer contingency ladder are cited as the mitigating controls.</w:t>
      </w:r>
    </w:p>
    <w:p>
      <w:r>
        <w:rPr>
          <w:b/>
        </w:rPr>
        <w:t>The underlying question:</w:t>
      </w:r>
      <w:r>
        <w:rPr>
          <w:b w:val="0"/>
        </w:rPr>
        <w:t xml:space="preserve"> approve the reassignment? This changes a recorded project fact (a WP lead), so it takes the paired edit first. The consortium roles and work-package records are updated before the prose changes, reusing the existing WP3 and task ids per the id-stability rule. The resolution is logged in the decision log.</w:t>
      </w:r>
    </w:p>
    <w:p>
      <w:r>
        <w:rPr>
          <w:b/>
        </w:rPr>
        <w:t>Draft answer for confirmation (Assumed-pending-confirmation):</w:t>
      </w:r>
    </w:p>
    <w:p>
      <w:pPr>
        <w:pStyle w:val="Quote"/>
      </w:pPr>
      <w:r>
        <w:rPr>
          <w:b w:val="0"/>
        </w:rPr>
        <w:t>WP3 scientific lead: the fellow (beneficiary HUN-REN ATK). The independent commercial farm is the hosting and measurement environment for the prospective season. It is secured by the T3.1 written access agreement (M1), with the second-producer backup ladder as contingency. Scientific decisions — protocol, measurement design, acceptance criteria — remain with the fellow under host supervision.</w:t>
      </w:r>
    </w:p>
    <w:p>
      <w:r>
        <w:rPr>
          <w:b/>
        </w:rPr>
        <w:t>Fallback if unanswered:</w:t>
      </w:r>
      <w:r>
        <w:rPr>
          <w:b w:val="0"/>
        </w:rPr>
        <w:t xml:space="preserve"> the WP3 lead attribution remains exactly as recorded (the validation site), unchanged in the form.</w:t>
      </w:r>
    </w:p>
    <w:p>
      <w:pPr>
        <w:pStyle w:val="Heading1"/>
      </w:pPr>
      <w:r>
        <w:t>A-8 — One or two concrete post-fellowship trajectories (minor; trajectory half)</w:t>
      </w:r>
    </w:p>
    <w:p>
      <w:r>
        <w:rPr>
          <w:b/>
        </w:rPr>
        <w:t>Owner: Dr. Rositsa Cholakova.</w:t>
      </w:r>
      <w:r>
        <w:rPr>
          <w:b w:val="0"/>
        </w:rPr>
        <w:t xml:space="preserve"> </w:t>
      </w:r>
      <w:r>
        <w:rPr>
          <w:b/>
        </w:rPr>
        <w:t>Needed by 2026-09-05 EOD.</w:t>
      </w:r>
      <w:r>
        <w:rPr>
          <w:b w:val="0"/>
        </w:rPr>
        <w:t xml:space="preserve"> </w:t>
      </w:r>
      <w:r>
        <w:rPr>
          <w:b/>
        </w:rPr>
        <w:t>Draft anchor: section 2.1 ¶2 — comment [A-8].</w:t>
      </w:r>
    </w:p>
    <w:p>
      <w:r>
        <w:rPr>
          <w:b w:val="0"/>
        </w:rPr>
        <w:t>The KPI half is resolved in the draft. The career KPI is now named there as K11 — the Career Development Plan agreed by M3 as D1.3 and reviewed at the five steering points — verified against the Tier 4 KPI record. What remains is the reviewer's other half: anchor the employability breadth in one or two concrete post-fellowship trajectories.</w:t>
      </w:r>
    </w:p>
    <w:p>
      <w:r>
        <w:rPr>
          <w:b/>
        </w:rPr>
        <w:t>Draft answer for confirmation (Assumed-pending-confirmation — both trajectories are assembled from routes already recorded in the project):</w:t>
      </w:r>
    </w:p>
    <w:p>
      <w:pPr>
        <w:pStyle w:val="Quote"/>
      </w:pPr>
      <w:r>
        <w:rPr>
          <w:b w:val="0"/>
        </w:rPr>
        <w:t>Two concrete trajectories anchor the breadth. First, a research-and-innovation role at the academia–agtech interface, for which the AgroVIR placement is the deliberate stepping stone: an operational FMIS vendor evaluating the fellow's validated outputs. Second, a Bulgarian re-entry route through the Maritsa Vegetable Crops Research Institute, already recorded as the post-MSCA replication and transfer environment. There, the fellow's five years of university teaching and the validated methodology would seed an independent research line.</w:t>
      </w:r>
    </w:p>
    <w:p>
      <w:r>
        <w:rPr>
          <w:b/>
        </w:rPr>
        <w:t>Questions to the owner:</w:t>
      </w:r>
      <w:r>
        <w:rPr>
          <w:b w:val="0"/>
        </w:rPr>
        <w:t xml:space="preserve"> are these the two you would state? Rank them, replace either, or supply the one you actually intend. The draft needs your named intent, not our inference.</w:t>
      </w:r>
    </w:p>
    <w:p>
      <w:r>
        <w:rPr>
          <w:b/>
        </w:rPr>
        <w:t>Fallback if unanswered:</w:t>
      </w:r>
      <w:r>
        <w:rPr>
          <w:b w:val="0"/>
        </w:rPr>
        <w:t xml:space="preserve"> the named career KPI (K11) stays. The breadth framing stays as drafted, without trajectory claims.</w:t>
      </w:r>
    </w:p>
    <w:p>
      <w:pPr>
        <w:pStyle w:val="Heading1"/>
      </w:pPr>
      <w:r>
        <w:t>A-9 — Measurable dissemination/uptake indicators (minor)</w:t>
      </w:r>
    </w:p>
    <w:p>
      <w:r>
        <w:rPr>
          <w:b/>
        </w:rPr>
        <w:t>Owner: Dr. Rositsa Cholakova with operator.</w:t>
      </w:r>
      <w:r>
        <w:rPr>
          <w:b w:val="0"/>
        </w:rPr>
        <w:t xml:space="preserve"> </w:t>
      </w:r>
      <w:r>
        <w:rPr>
          <w:b/>
        </w:rPr>
        <w:t>Needed by 2026-09-05 EOD.</w:t>
      </w:r>
      <w:r>
        <w:rPr>
          <w:b w:val="0"/>
        </w:rPr>
        <w:t xml:space="preserve"> </w:t>
      </w:r>
      <w:r>
        <w:rPr>
          <w:b/>
        </w:rPr>
        <w:t>Draft anchor: section 2.2 ¶5 — comment [A-9].</w:t>
      </w:r>
    </w:p>
    <w:p>
      <w:r>
        <w:rPr>
          <w:b w:val="0"/>
        </w:rPr>
        <w:t>The reviewer's point: 2.2 defines dissemination success by output counts — papers, one public field demonstration and one public-facing article per year. It should carry a small set of measurable reach/uptake indicators tied to the named channels, proportionate to a single-researcher action.</w:t>
      </w:r>
    </w:p>
    <w:p>
      <w:r>
        <w:rPr>
          <w:b/>
        </w:rPr>
        <w:t>Draft answer for confirmation (Assumed-pending-confirmation — channels are the ones already named in the plan; every bracketed number needs your commitment, we cannot set them):</w:t>
      </w:r>
    </w:p>
    <w:p>
      <w:pPr>
        <w:pStyle w:val="Quote"/>
      </w:pPr>
      <w:r>
        <w:rPr>
          <w:b w:val="0"/>
        </w:rPr>
        <w:t>Proportionate uptake indicators, each tied to an existing channel:</w:t>
      </w:r>
    </w:p>
    <w:p>
      <w:pPr>
        <w:pStyle w:val="Quote"/>
      </w:pPr>
      <w:r>
        <w:rPr>
          <w:b w:val="0"/>
        </w:rPr>
        <w:t>1. Field demonstrations (ATK; Krumatic-supported in Bulgaria): at least [e.g. 20] grower/practitioner participants per demonstration, recorded by attendance.</w:t>
      </w:r>
    </w:p>
    <w:p>
      <w:pPr>
        <w:pStyle w:val="Quote"/>
      </w:pPr>
      <w:r>
        <w:rPr>
          <w:b w:val="0"/>
        </w:rPr>
        <w:t>2. Public-facing articles: at least [e.g. 500] readers/views per article where the outlet reports reach; otherwise publication in a named sector outlet.</w:t>
      </w:r>
    </w:p>
    <w:p>
      <w:pPr>
        <w:pStyle w:val="Quote"/>
      </w:pPr>
      <w:r>
        <w:rPr>
          <w:b w:val="0"/>
        </w:rPr>
        <w:t>3. MVP evaluation: the structured AgroVIR product-team assessment (D5.1) completed across all six evaluation dimensions — already a recorded KPI (K9).</w:t>
      </w:r>
    </w:p>
    <w:p>
      <w:pPr>
        <w:pStyle w:val="Quote"/>
      </w:pPr>
      <w:r>
        <w:rPr>
          <w:b w:val="0"/>
        </w:rPr>
        <w:t>4. Model-card and specification uptake: downloads/citations tracked via the repository from release.</w:t>
      </w:r>
    </w:p>
    <w:p>
      <w:r>
        <w:rPr>
          <w:b/>
        </w:rPr>
        <w:t>Questions to the owner:</w:t>
      </w:r>
      <w:r>
        <w:rPr>
          <w:b w:val="0"/>
        </w:rPr>
        <w:t xml:space="preserve"> fill or strike the two bracketed numbers. Confirm attendance recording at demonstrations is realistic. Anything here you would not defend?</w:t>
      </w:r>
    </w:p>
    <w:p>
      <w:r>
        <w:rPr>
          <w:b/>
        </w:rPr>
        <w:t>Fallback if unanswered:</w:t>
      </w:r>
      <w:r>
        <w:rPr>
          <w:b w:val="0"/>
        </w:rPr>
        <w:t xml:space="preserve"> output-count success measures stand as drafted.</w:t>
      </w:r>
    </w:p>
    <w:p>
      <w:pPr>
        <w:pStyle w:val="Heading1"/>
      </w:pPr>
      <w:r>
        <w:t>A-10 — Quantify the near-term reachable segment (minor)</w:t>
      </w:r>
    </w:p>
    <w:p>
      <w:r>
        <w:rPr>
          <w:b/>
        </w:rPr>
        <w:t>Owner: Dr. Rositsa Cholakova (source); operator applies.</w:t>
      </w:r>
      <w:r>
        <w:rPr>
          <w:b w:val="0"/>
        </w:rPr>
        <w:t xml:space="preserve"> </w:t>
      </w:r>
      <w:r>
        <w:rPr>
          <w:b/>
        </w:rPr>
        <w:t>Needed by 2026-09-05 EOD.</w:t>
      </w:r>
      <w:r>
        <w:rPr>
          <w:b w:val="0"/>
        </w:rPr>
        <w:t xml:space="preserve"> </w:t>
      </w:r>
      <w:r>
        <w:rPr>
          <w:b/>
        </w:rPr>
        <w:t>Draft anchor: section 2.3 ¶6 — comment [A-10].</w:t>
      </w:r>
    </w:p>
    <w:p>
      <w:r>
        <w:rPr>
          <w:b w:val="0"/>
        </w:rPr>
        <w:t>The reviewer's point: 2.3 gives the EU-wide domain figures (≈2.0 M ha fresh vegetables, ≈0.7 M farms) and qualitative Bulgarian context. It never quantifies what the action itself can plausibly touch near-term — the processing-tomato segment in the target countries. The scale claim therefore jumps from one field to the whole EU.</w:t>
      </w:r>
    </w:p>
    <w:p>
      <w:r>
        <w:rPr>
          <w:b/>
        </w:rPr>
        <w:t>The ask — a number with a citable source; we cannot invent it:</w:t>
      </w:r>
      <w:r>
        <w:rPr>
          <w:b w:val="0"/>
        </w:rPr>
        <w:t xml:space="preserve"> the processing-tomato cultivated area for Hungary and Bulgaria, with the source you would cite. Grower count too, if available. Candidate sources to check first: Eurostat annual crop statistics (tomato, by country); the WPTC (World Processing Tomato Council) country production tables; national statistics (KSH, NSI). An approximate, sourced figure is enough — "on the order of X thousand hectares, [source, year]". Precision is not the point; graduation of the claim is.</w:t>
      </w:r>
    </w:p>
    <w:p>
      <w:r>
        <w:rPr>
          <w:b/>
        </w:rPr>
        <w:t>On answer:</w:t>
      </w:r>
      <w:r>
        <w:rPr>
          <w:b w:val="0"/>
        </w:rPr>
        <w:t xml:space="preserve"> the figure enters 2.3 ¶6 with its citation, framed as the near-term reachable segment between the single validation field and the EU domain. </w:t>
      </w:r>
      <w:r>
        <w:rPr>
          <w:b/>
        </w:rPr>
        <w:t>Fallback if unanswered:</w:t>
      </w:r>
      <w:r>
        <w:rPr>
          <w:b w:val="0"/>
        </w:rPr>
        <w:t xml:space="preserve"> the EU-domain figures and qualitative Bulgarian context stand as drafted, with no reachable-segment number.</w:t>
      </w:r>
    </w:p>
    <w:p>
      <w:pPr>
        <w:pStyle w:val="Heading1"/>
      </w:pPr>
      <w:r>
        <w:t>Resolved in the annotated draft — verify, don't author</w:t>
      </w:r>
    </w:p>
    <w:p>
      <w:r>
        <w:rPr>
          <w:b w:val="0"/>
        </w:rPr>
        <w:t>These closed in the draft from existing project records. Reviewers can veto or correct; nothing needs authoring.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Where in the draft</w:t>
            </w:r>
          </w:p>
        </w:tc>
        <w:tc>
          <w:tcPr>
            <w:tcW w:type="dxa" w:w="2160"/>
          </w:tcPr>
          <w:p>
            <w:r>
              <w:rPr>
                <w:b/>
              </w:rPr>
              <w:t>What was done</w:t>
            </w:r>
          </w:p>
        </w:tc>
        <w:tc>
          <w:tcPr>
            <w:tcW w:type="dxa" w:w="2160"/>
          </w:tcPr>
          <w:p>
            <w:r>
              <w:rPr>
                <w:b/>
              </w:rPr>
              <w:t>Ground</w:t>
            </w:r>
          </w:p>
        </w:tc>
      </w:tr>
      <w:tr>
        <w:tc>
          <w:tcPr>
            <w:tcW w:type="dxa" w:w="2160"/>
          </w:tcPr>
          <w:p>
            <w:r>
              <w:rPr>
                <w:b w:val="0"/>
              </w:rPr>
              <w:t>A-11 numbering-gap note</w:t>
            </w:r>
          </w:p>
        </w:tc>
        <w:tc>
          <w:tcPr>
            <w:tcW w:type="dxa" w:w="2160"/>
          </w:tcPr>
          <w:p>
            <w:r>
              <w:rPr>
                <w:b w:val="0"/>
              </w:rPr>
              <w:t>3.1, note after ¶5 (WP list)</w:t>
            </w:r>
          </w:p>
        </w:tc>
        <w:tc>
          <w:tcPr>
            <w:tcW w:type="dxa" w:w="2160"/>
          </w:tcPr>
          <w:p>
            <w:r>
              <w:rPr>
                <w:b w:val="0"/>
              </w:rPr>
              <w:t>One-line note: former WP2 merged into WP1; ids retained deliberately</w:t>
            </w:r>
          </w:p>
        </w:tc>
        <w:tc>
          <w:tcPr>
            <w:tcW w:type="dxa" w:w="2160"/>
          </w:tcPr>
          <w:p>
            <w:r>
              <w:rPr>
                <w:b w:val="0"/>
              </w:rPr>
              <w:t>Recorded OD-1 merge (consistency log CC-02); id-stability rule</w:t>
            </w:r>
          </w:p>
        </w:tc>
      </w:tr>
      <w:tr>
        <w:tc>
          <w:tcPr>
            <w:tcW w:type="dxa" w:w="2160"/>
          </w:tcPr>
          <w:p>
            <w:r>
              <w:rPr>
                <w:b w:val="0"/>
              </w:rPr>
              <w:t>A-5 table half</w:t>
            </w:r>
          </w:p>
        </w:tc>
        <w:tc>
          <w:tcPr>
            <w:tcW w:type="dxa" w:w="2160"/>
          </w:tcPr>
          <w:p>
            <w:r>
              <w:rPr>
                <w:b w:val="0"/>
              </w:rPr>
              <w:t>3.1, table after ¶16</w:t>
            </w:r>
          </w:p>
        </w:tc>
        <w:tc>
          <w:tcPr>
            <w:tcW w:type="dxa" w:w="2160"/>
          </w:tcPr>
          <w:p>
            <w:r>
              <w:rPr>
                <w:b w:val="0"/>
              </w:rPr>
              <w:t>Month-by-month WP1/WP3/WP4 task-loading table, M4–M14</w:t>
            </w:r>
          </w:p>
        </w:tc>
        <w:tc>
          <w:tcPr>
            <w:tcW w:type="dxa" w:w="2160"/>
          </w:tcPr>
          <w:p>
            <w:r>
              <w:rPr>
                <w:b w:val="0"/>
              </w:rPr>
              <w:t>Derived strictly from the recorded Gantt; no per-month person-month split (none exists in the records)</w:t>
            </w:r>
          </w:p>
        </w:tc>
      </w:tr>
      <w:tr>
        <w:tc>
          <w:tcPr>
            <w:tcW w:type="dxa" w:w="2160"/>
          </w:tcPr>
          <w:p>
            <w:r>
              <w:rPr>
                <w:b w:val="0"/>
              </w:rPr>
              <w:t>A-8 KPI half</w:t>
            </w:r>
          </w:p>
        </w:tc>
        <w:tc>
          <w:tcPr>
            <w:tcW w:type="dxa" w:w="2160"/>
          </w:tcPr>
          <w:p>
            <w:r>
              <w:rPr>
                <w:b w:val="0"/>
              </w:rPr>
              <w:t>2.1 ¶2, inserted sentence</w:t>
            </w:r>
          </w:p>
        </w:tc>
        <w:tc>
          <w:tcPr>
            <w:tcW w:type="dxa" w:w="2160"/>
          </w:tcPr>
          <w:p>
            <w:r>
              <w:rPr>
                <w:b w:val="0"/>
              </w:rPr>
              <w:t>Career KPI named: K11 (CDP by M3 as D1.3; reviewed at M6/M14/M18/M24/M27)</w:t>
            </w:r>
          </w:p>
        </w:tc>
        <w:tc>
          <w:tcPr>
            <w:tcW w:type="dxa" w:w="2160"/>
          </w:tcPr>
          <w:p>
            <w:r>
              <w:rPr>
                <w:b w:val="0"/>
              </w:rPr>
              <w:t>Tier 4 KPI record K11, re-verified at render time</w:t>
            </w:r>
          </w:p>
        </w:tc>
      </w:tr>
    </w:tbl>
    <w:p>
      <w:r>
        <w:rPr>
          <w:b w:val="0"/>
        </w:rPr>
        <w:t>Also preserved, resolved in the earlier review round and spot-checked in the draft: the 1.4 concrete modelling/EO artefact framing (A-7), and the 3.2 capacity/PIC content (A-12).</w:t>
      </w:r>
    </w:p>
    <w:p>
      <w:pPr>
        <w:pStyle w:val="Heading1"/>
      </w:pPr>
      <w:r>
        <w:t>What happens on each date</w:t>
      </w:r>
    </w:p>
    <w:tbl>
      <w:tblPr>
        <w:tblStyle w:val="TableGrid"/>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rPr>
                <w:b/>
              </w:rPr>
              <w:t>Action</w:t>
            </w:r>
          </w:p>
        </w:tc>
      </w:tr>
      <w:tr>
        <w:tc>
          <w:tcPr>
            <w:tcW w:type="dxa" w:w="4320"/>
          </w:tcPr>
          <w:p>
            <w:r>
              <w:rPr>
                <w:b w:val="0"/>
              </w:rPr>
              <w:t>2026-09-05 EOD</w:t>
            </w:r>
          </w:p>
        </w:tc>
        <w:tc>
          <w:tcPr>
            <w:tcW w:type="dxa" w:w="4320"/>
          </w:tcPr>
          <w:p>
            <w:r>
              <w:rPr>
                <w:b w:val="0"/>
              </w:rPr>
              <w:t>Answer cut-off; unanswered items take their fallbacks, and each fallback taken is logged as such</w:t>
            </w:r>
          </w:p>
        </w:tc>
      </w:tr>
      <w:tr>
        <w:tc>
          <w:tcPr>
            <w:tcW w:type="dxa" w:w="4320"/>
          </w:tcPr>
          <w:p>
            <w:r>
              <w:rPr>
                <w:b w:val="0"/>
              </w:rPr>
              <w:t>2026-09-05 (rolling)</w:t>
            </w:r>
          </w:p>
        </w:tc>
        <w:tc>
          <w:tcPr>
            <w:tcW w:type="dxa" w:w="4320"/>
          </w:tcPr>
          <w:p>
            <w:r>
              <w:rPr>
                <w:b w:val="0"/>
              </w:rPr>
              <w:t>Confirmed answers applied: paired edit to project records first, then the draft; each resolution logged; the matching Word comment marked resolved</w:t>
            </w:r>
          </w:p>
        </w:tc>
      </w:tr>
      <w:tr>
        <w:tc>
          <w:tcPr>
            <w:tcW w:type="dxa" w:w="4320"/>
          </w:tcPr>
          <w:p>
            <w:r>
              <w:rPr>
                <w:b w:val="0"/>
              </w:rPr>
              <w:t>2026-09-06</w:t>
            </w:r>
          </w:p>
        </w:tc>
        <w:tc>
          <w:tcPr>
            <w:tcW w:type="dxa" w:w="4320"/>
          </w:tcPr>
          <w:p>
            <w:r>
              <w:rPr>
                <w:b w:val="0"/>
              </w:rPr>
              <w:t>Submission master frozen (hash recorded)</w:t>
            </w:r>
          </w:p>
        </w:tc>
      </w:tr>
      <w:tr>
        <w:tc>
          <w:tcPr>
            <w:tcW w:type="dxa" w:w="4320"/>
          </w:tcPr>
          <w:p>
            <w:r>
              <w:rPr>
                <w:b w:val="0"/>
              </w:rPr>
              <w:t>2026-09-07/08</w:t>
            </w:r>
          </w:p>
        </w:tc>
        <w:tc>
          <w:tcPr>
            <w:tcW w:type="dxa" w:w="4320"/>
          </w:tcPr>
          <w:p>
            <w:r>
              <w:rPr>
                <w:b w:val="0"/>
              </w:rPr>
              <w:t>Buffer; portal upload</w:t>
            </w:r>
          </w:p>
        </w:tc>
      </w:tr>
      <w:tr>
        <w:tc>
          <w:tcPr>
            <w:tcW w:type="dxa" w:w="4320"/>
          </w:tcPr>
          <w:p>
            <w:r>
              <w:rPr>
                <w:b w:val="0"/>
              </w:rPr>
              <w:t>2026-09-09</w:t>
            </w:r>
          </w:p>
        </w:tc>
        <w:tc>
          <w:tcPr>
            <w:tcW w:type="dxa" w:w="4320"/>
          </w:tcPr>
          <w:p>
            <w:r>
              <w:rPr>
                <w:b w:val="0"/>
              </w:rPr>
              <w:t>Call deadline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