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FIELDWISE · MSCA Postdoctoral Fellowship 2026</w:t>
      </w:r>
    </w:p>
    <w:p>
      <w:r>
        <w:rPr>
          <w:b/>
          <w:i w:val="0"/>
        </w:rPr>
        <w:t>Open decisions before submission — COMPLETED RECORD</w:t>
      </w:r>
    </w:p>
    <w:p>
      <w:r>
        <w:rPr>
          <w:b w:val="0"/>
          <w:i/>
        </w:rPr>
        <w:t>Completed 2026-08-28. This document closes the open-decisions handout of 2026-08-22 (updated 2026-08-26). Every decision and confirmation it collected is resolved below, from the Consolidated Scientific, Implementation and Partner Review Pack of 2026-08-28, the collected partner decision inputs, and public-register evidence gathered on 2026-08-28. Each resolution carries its evidence status: CONFIRMED (evidenced by a named source), or DECLARED (operator-declared assumption pending the partner’s written confirmation — the AgroVIR pattern). Nothing below is left unresolved.</w:t>
      </w:r>
    </w:p>
    <w:p>
      <w:r>
        <w:rPr>
          <w:b w:val="0"/>
          <w:i/>
        </w:rPr>
        <w:t>Consequence: the resolved facts are transcribed into the orchestration system (Tier 3) and the full Phase 1–8 pipeline is re-run as fieldwise-run-02 to produce the new ATK-hosted draft. The submission deadline is 2026-09-09.</w:t>
      </w:r>
    </w:p>
    <w:p>
      <w:pPr>
        <w:pStyle w:val="Heading1"/>
      </w:pPr>
      <w:r>
        <w:t>The road to submission — where this record fits</w:t>
      </w:r>
    </w:p>
    <w:p>
      <w:r>
        <w:rPr>
          <w:b w:val="0"/>
          <w:i w:val="0"/>
        </w:rPr>
        <w:t>✓ Project set-up · ✓ Iterative drafting · ✓ Preliminary compiled Part B draft · ✓ Feedback on decisions and confirmations (THIS DOCUMENT closes that step) · ▶ Close of drafting, start of the revision cycle: the resolved facts are folded into the project state and the affected sections are re-drafted in one full pass (fieldwise-run-02). · ○ Independent quality checks and final refinement, then submission.</w:t>
      </w:r>
    </w:p>
    <w:p>
      <w:pPr>
        <w:pStyle w:val="Heading1"/>
      </w:pPr>
      <w:r>
        <w:t>1 — Where the draft stands</w:t>
      </w:r>
    </w:p>
    <w:p>
      <w:r>
        <w:rPr>
          <w:b w:val="0"/>
          <w:i w:val="0"/>
        </w:rPr>
        <w:t>The nine Part B sub-sections drafted against the 2026-08-16 state remain the text base, but the Consolidated Partner Review Pack of 2026-08-28 supersedes the concept they instantiate: the recruiting organisation switches to HUN-REN ATK, the work-plan is restructured (WP1 data harmonisation M1–M6, WP2 modelling and scale harmonisation M3–M14, WP3 independent commercial-farmer prospective validation M4–M18, WP4 DrR web-MVP co-development M1–M24, WP5 AgroVIR placement M25–M30), MVCRI moves to a post-MSCA replication route, Krumatic joins from M1, and the project title becomes “From Plant Water-Stress Signatures to Transferable Irrigation Decision Support for High-Value Horticulture: Processing Tomato as the Model Crop”. The re-run drafts the new configuration in full rather than patching the old sections.</w:t>
      </w:r>
    </w:p>
    <w:p>
      <w:pPr>
        <w:pStyle w:val="Heading1"/>
      </w:pPr>
      <w:r>
        <w:t>2 — RESOLVED: the recruiting organisation and the supervisor roles switch</w:t>
      </w:r>
    </w:p>
    <w:p>
      <w:r>
        <w:rPr>
          <w:b w:val="0"/>
          <w:i w:val="0"/>
        </w:rPr>
        <w:t>Decided 2026-08-26; facts consolidated 2026-08-28. The 2026 call bars resubmission by the same recruiting organisation and researcher after a score below 80%; PLANTDIGISENSE (ELTE + the same researcher) scored 70.40%. HUN-REN Centre for Agricultural Research (ATK), Martonvásár, becomes the recruiting organisation and host with Dr. Roland Hollós as supervisor; ELTE continues as an associated partner with Prof. András Jung as co-supervisor. The fellowship shape (24-month European Fellowship + 6-month AgroVIR placement), the budget basis (host country HU) and the mobility position are unchanged.</w:t>
      </w:r>
    </w:p>
    <w:p>
      <w:pPr>
        <w:pStyle w:val="Heading2"/>
      </w:pPr>
      <w:r>
        <w:t>HUN-REN ATK — the new recruiting organisation: facts of record</w:t>
      </w:r>
    </w:p>
    <w:p>
      <w:r>
        <w:rPr>
          <w:b/>
          <w:color w:val="1F7A33"/>
          <w:sz w:val="18"/>
        </w:rPr>
        <w:t>RESOLVED — mixed CONFIRMED / DECLARED</w:t>
      </w:r>
    </w:p>
    <w:p>
      <w:r>
        <w:rPr>
          <w:b w:val="0"/>
          <w:i w:val="0"/>
        </w:rPr>
        <w:t>Agreement to host: DECLARED. ATK’s hosting of the fellowship is the operator’s decision of 2026-08-26, relayed through Dr. Hollós; ATK’s written institutional confirmation and the name of the Part A signatory are still to arrive and the fact runs as an operator-declared assumption until they do.</w:t>
      </w:r>
    </w:p>
    <w:p>
      <w:r>
        <w:rPr>
          <w:b w:val="0"/>
          <w:i w:val="0"/>
        </w:rPr>
        <w:t>Legal identity: CONFIRMED. HUN-REN Agrartudomanyi Kutatokozpont (HUN-REN Centre for Agricultural Research), Brunszvik u. 2, 2462 Martonvásár, Hungary — the legal name and seat under which ATK participates in Horizon Europe today (CORDIS, projects 101135314 COUSIN, 101086179 AI4SoilHealth, 101000224 TUdi; consulted 2026-08-28).</w:t>
      </w:r>
    </w:p>
    <w:p>
      <w:r>
        <w:rPr>
          <w:b w:val="0"/>
          <w:i w:val="0"/>
        </w:rPr>
        <w:t>PIC: CONFIRMED. 866599553, the active PIC of ATK’s current Horizon Europe participations (an earlier participation under PIC 954478449 is marked ended on CORDIS, consistent with the MTA→ELKH→HUN-REN transformations). A registered PIC is sufficient to submit. One caveat is recorded: the October 2025 HUN-REN transformation is recent, and ATK’s grants office should confirm the PIC survives it unchanged.</w:t>
      </w:r>
    </w:p>
    <w:p>
      <w:r>
        <w:rPr>
          <w:b w:val="0"/>
          <w:i w:val="0"/>
        </w:rPr>
        <w:t>Hosting unit: CONFIRMED as to the supervisor’s unit. Dr. Hollós is a research associate in the Department of Crop Production (ATK staff page, consulted 2026-08-28); the fellow sits with the supervisor’s group at Martonvásár. The Plant Physiology and Metabolomics Department (Prof. Tibor Janda) provides the physiological-validation environment. ATK’s formal statement of the hosting unit is expected with the written confirmation.</w:t>
      </w:r>
    </w:p>
    <w:p>
      <w:r>
        <w:rPr>
          <w:b w:val="0"/>
          <w:i w:val="0"/>
        </w:rPr>
        <w:t>Contact person: DECLARED. Dr. Roland Hollós (hollos.roland@atk.hun-ren.hu) is the interim project contact until ATK names its administrative or grants-office contact.</w:t>
      </w:r>
    </w:p>
    <w:p>
      <w:r>
        <w:rPr>
          <w:b w:val="0"/>
          <w:i w:val="0"/>
        </w:rPr>
        <w:t>Research infrastructure for §3.2: CONFIRMED from the partner input. HUN-REN provides the computational and data-processing environment required for multi-source data integration and predictive modelling, with access to the wider HUN-REN research infrastructure for computationally intensive analyses; ATK additionally holds strong plant-phenotyping expertise and the Plant Physiology and Metabolomics Department for drought and abiotic-stress validation. The spatial instruments remain ELTE’s and are covered by the ELTE item below.</w:t>
      </w:r>
    </w:p>
    <w:p>
      <w:r>
        <w:rPr>
          <w:b w:val="0"/>
          <w:i w:val="0"/>
        </w:rPr>
        <w:t>Hosting arrangements and support services: DECLARED. Workspace and integration into the hosting group at Martonvásár, administrative support, and continuation of the arrangements during the M25–M30 placement are operator-declared pending ATK’s written confirmation.</w:t>
      </w:r>
    </w:p>
    <w:p>
      <w:r>
        <w:rPr>
          <w:b w:val="0"/>
          <w:i w:val="0"/>
        </w:rPr>
        <w:t>Recent projects and publications: CONFIRMED. The hosting environment’s record includes Hollós et al. 2026, Geoscientific Model Development 19, 4385–4438 (doi:10.5194/gmd-19-4385-2026); ATK participations in Horizon Europe COUSIN (101135314), AI4SoilHealth (101086179) and TUdi (101000224); and Dr. Hollós’s role as HUN-REN AI Ambassador for the Centre for Agricultural Research.</w:t>
      </w:r>
    </w:p>
    <w:p>
      <w:r>
        <w:rPr>
          <w:b w:val="0"/>
          <w:i w:val="0"/>
        </w:rPr>
        <w:t>Prior MSCA hosting: CONFIRMED — YES. ATK coordinated and hosted the funded MSCA Individual Fellowship LANDRACES (H2020 grant 752453, Standard European Fellowship, 2017–2019, €146,239.20), verified on CORDIS 2026-08-28. The institutional-readiness case (old item A-7) now rests on a real hosting record.</w:t>
      </w:r>
    </w:p>
    <w:p>
      <w:r>
        <w:rPr>
          <w:b w:val="0"/>
          <w:i w:val="0"/>
        </w:rPr>
        <w:t>Teaching route: RESOLVED. ATK is a research organisation, not a university; the higher-education route runs through guest lectures, seminars and practical sessions at MATE and, where institutionally possible, the Agricultural University of Plovdiv — transferring the fellow’s five years of university teaching into precision agriculture and EO. The former ELTE MSc module measure is superseded.</w:t>
      </w:r>
    </w:p>
    <w:p>
      <w:pPr>
        <w:pStyle w:val="Heading2"/>
      </w:pPr>
      <w:r>
        <w:t>Dr. Hollós — the supervisor role</w:t>
      </w:r>
    </w:p>
    <w:p>
      <w:r>
        <w:rPr>
          <w:b/>
          <w:color w:val="1F7A33"/>
          <w:sz w:val="18"/>
        </w:rPr>
        <w:t>RESOLVED — CONFIRMED employment, DECLARED acceptance and effort</w:t>
      </w:r>
    </w:p>
    <w:p>
      <w:r>
        <w:rPr>
          <w:b w:val="0"/>
          <w:i w:val="0"/>
        </w:rPr>
        <w:t>Employment: CONFIRMED. Research associate, Department of Crop Production, HUN-REN ATK (ATK staff page, consulted 2026-08-28; hollos.roland@atk.hun-ren.hu; ORCID 0000-0001-5137-7471). The 2026-08-14 record that named ELTE as his primary employment is formally reversed in the decision log: supervision is carried at the recruiting organisation, ATK.</w:t>
      </w:r>
    </w:p>
    <w:p>
      <w:r>
        <w:rPr>
          <w:b w:val="0"/>
          <w:i w:val="0"/>
        </w:rPr>
        <w:t>Acceptance and routine: DECLARED. He serves as primary supervisor with weekly technical sessions through the modelling-intensive work packages; his central role is the integration of heterogeneous agricultural datasets and the development of the predictive modelling framework (partner input, 2026-08).</w:t>
      </w:r>
    </w:p>
    <w:p>
      <w:r>
        <w:rPr>
          <w:b w:val="0"/>
          <w:i w:val="0"/>
        </w:rPr>
        <w:t>Effort: DECLARED. 2.5 person-months across the action (the supervisor figure of the effort table below).</w:t>
      </w:r>
    </w:p>
    <w:p>
      <w:r>
        <w:rPr>
          <w:b w:val="0"/>
          <w:i w:val="0"/>
        </w:rPr>
        <w:t>Facts for §1.3: CONFIRMED. AI-based agricultural research, data integration, environmental and phenotypic data analysis, agricultural and ecosystem modelling, climate-related modelling; HUN-REN AI Ambassador; Hollós et al. 2026 (GMD).</w:t>
      </w:r>
    </w:p>
    <w:p>
      <w:pPr>
        <w:pStyle w:val="Heading2"/>
      </w:pPr>
      <w:r>
        <w:t>ELTE and Prof. Jung — the associated-partner role</w:t>
      </w:r>
    </w:p>
    <w:p>
      <w:r>
        <w:rPr>
          <w:b/>
          <w:color w:val="A56A00"/>
          <w:sz w:val="18"/>
        </w:rPr>
        <w:t>RESOLVED — DECLARED (evidence-grade only, per the 2026-08-26 ruling)</w:t>
      </w:r>
    </w:p>
    <w:p>
      <w:r>
        <w:rPr>
          <w:b w:val="0"/>
          <w:i w:val="0"/>
        </w:rPr>
        <w:t>Agreement: DECLARED. ELTE’s continuation as associated partner is relayed by the operator; per the 2026-08-26 ruling, ELTE’s written agreement is evidence-grade only and not a gate requirement, so ELTE-dependent facts run as operator-declared assumptions (the AgroVIR pattern). ELTE’s PIC and contact are collected at Part A.</w:t>
      </w:r>
    </w:p>
    <w:p>
      <w:r>
        <w:rPr>
          <w:b w:val="0"/>
          <w:i w:val="0"/>
        </w:rPr>
        <w:t>Co-supervision: DECLARED. Prof. András Jung accepts the co-supervisor role at 2.0 person-months; his remote-sensing, hyperspectral-imaging, field-spectroscopy and multisensor-fusion expertise carries the satellite-transfer strand (harmonising the historical hyperspectral measurements with Sentinel observations) — a substantive, named methodological role, not a courtesy title.</w:t>
      </w:r>
    </w:p>
    <w:p>
      <w:r>
        <w:rPr>
          <w:b w:val="0"/>
          <w:i w:val="0"/>
        </w:rPr>
        <w:t>Instrument access: DECLARED, with the arrangement specified. The DJI Matrice 350 RTK platform with Zenmuse L1/P1/H20T payloads and the Ultris S5 and Cubert CUVIS hyperspectral cameras are ELTE’s. The fellow (EU A1/A3 UAV pilot licence) conducts the UAV measurements, supported by Dr. Zsófia Varga for flight planning, sensor operation and data acquisition; campaigns are scheduled around the key physiological measurement dates at the validation site, with ELTE software environments (ArcGIS, ENVI, MATLAB, GEE, QGIS, SNAP) for processing. The written arrangement (operator, sites, months, terms) is to be signed before the campaign season; until then the access runs as a declared assumption and WP3/WP2 carry the ELTE-constrained risk with a physiology/proximal-sensing fallback.</w:t>
      </w:r>
    </w:p>
    <w:p>
      <w:pPr>
        <w:pStyle w:val="Heading2"/>
      </w:pPr>
      <w:r>
        <w:t>Evidence the switch rests on — verification status</w:t>
      </w:r>
    </w:p>
    <w:p>
      <w:r>
        <w:rPr>
          <w:b w:val="0"/>
          <w:i w:val="0"/>
        </w:rPr>
        <w:t>The official PLANTDIGISENSE score: DECLARED. 70.40% per the researcher’s CV; the Evaluation Summary Report has not yet been retrieved. The switch is the safe course under either reading, and the declared score is what the eligibility argument uses until the ESR is on file.</w:t>
      </w:r>
    </w:p>
    <w:p>
      <w:r>
        <w:rPr>
          <w:b w:val="0"/>
          <w:i w:val="0"/>
        </w:rPr>
        <w:t>NCP/REA eligibility answer: DECLARED. The call text keys the bar on “the same recruiting organisation and individual researcher”; a new recruiting organisation therefore releases it, and an associated partner is not a recruiting organisation, so ELTE’s continued involvement does not re-trigger it. This reading stands as an operator-declared position until the NCP/REA answer to the 2026-08-24 query arrives.</w:t>
      </w:r>
    </w:p>
    <w:p>
      <w:r>
        <w:rPr>
          <w:b w:val="0"/>
          <w:i w:val="0"/>
        </w:rPr>
        <w:t>ATK PIC registration: CONFIRMED — see the PIC item above (866599553, CORDIS).</w:t>
      </w:r>
    </w:p>
    <w:p>
      <w:pPr>
        <w:pStyle w:val="Heading2"/>
      </w:pPr>
      <w:r>
        <w:t>Consequential changes now made in the project state</w:t>
      </w:r>
    </w:p>
    <w:p>
      <w:r>
        <w:rPr>
          <w:b w:val="0"/>
          <w:i w:val="0"/>
        </w:rPr>
        <w:t>• The placement agreement on results and intellectual property is re-anchored: its parties become the fellow, HUN-REN ATK and AgroVIR, results vesting in the new beneficiary by the grant default. • The ethics-committee consultation and Data Protection Officer commitments are restated for ATK’s equivalents (HUN-REN research-ethics framework). • Governance: Dr. Hollós chairs the Steering Group; escalation runs through ATK; ELTE holds a named associated-partner seat (Prof. Jung). • Every statement in the earlier handouts naming ELTE as host is read against the switch.</w:t>
      </w:r>
    </w:p>
    <w:p>
      <w:pPr>
        <w:pStyle w:val="Heading1"/>
      </w:pPr>
      <w:r>
        <w:t>3 — RESOLVED: Krumatic joins as an associated partner</w:t>
      </w:r>
    </w:p>
    <w:p>
      <w:r>
        <w:rPr>
          <w:b/>
          <w:color w:val="1F7A33"/>
          <w:sz w:val="18"/>
        </w:rPr>
        <w:t>RESOLVED — CONFIRMED identity, DECLARED effort and independence</w:t>
      </w:r>
    </w:p>
    <w:p>
      <w:r>
        <w:rPr>
          <w:b w:val="0"/>
          <w:i w:val="0"/>
        </w:rPr>
        <w:t>The role: CONFIRMED from the partner input. Krumatic contributes from the start of the project: a developer provides continuous software-development support for the existing DrR prototype — progressively improving the architecture, integrating new model outputs and data-processing functions, and migrating validated core functions toward the web MVP (WP4) — and in the later stages Krumatic supports the promotion, dissemination and implementation of the MVP among Bulgarian farmers (farmer-facing demonstrations, communication, uptake). In one sentence each: Krumatic builds and disseminates the software vehicle in Bulgaria, AgroVIR evaluates the validated MVP operationally inside its FMIS environment and hosts the placement, and MVCRI is the post-MSCA scientific replication route — three seats, no overlap.</w:t>
      </w:r>
    </w:p>
    <w:p>
      <w:r>
        <w:rPr>
          <w:b w:val="0"/>
          <w:i w:val="0"/>
        </w:rPr>
        <w:t>Legal identity: CONFIRMED. КРУМАТИК ЕООД (KRUMATIC Ltd.), UIC/EIK 201511899, single-member limited liability company (EOOD), established 29 March 2011, registered at 1408 Sofia, Triaditsa District, Ivan Vazov residential area, Bl. 75A, Floor 6, Apt. 17, Bulgaria.</w:t>
      </w:r>
    </w:p>
    <w:p>
      <w:r>
        <w:rPr>
          <w:b w:val="0"/>
          <w:i w:val="0"/>
        </w:rPr>
        <w:t>Contact person and signatory: CONFIRMED. Lyubomir Lyubomirov Krumov, registered manager and sole owner — the verified legal representative.</w:t>
      </w:r>
    </w:p>
    <w:p>
      <w:r>
        <w:rPr>
          <w:b w:val="0"/>
          <w:i w:val="0"/>
        </w:rPr>
        <w:t>Capacity: CONFIRMED. A Bulgarian technology and digital-solutions company with experience in software implementation and systems integration, including previous involvement in the deployment of the AgroVIR farm-management platform in Bulgaria. No EU-funded research participation is claimed; the commercial footprint stands in for it, stated plainly.</w:t>
      </w:r>
    </w:p>
    <w:p>
      <w:r>
        <w:rPr>
          <w:b w:val="0"/>
          <w:i w:val="0"/>
        </w:rPr>
        <w:t>Effort: DECLARED. 1.5 person-months (top of the company’s own proposed 1.0–1.5 range, reflecting the expanded development-from-M1 role).</w:t>
      </w:r>
    </w:p>
    <w:p>
      <w:r>
        <w:rPr>
          <w:b w:val="0"/>
          <w:i w:val="0"/>
        </w:rPr>
        <w:t>Independence: DECLARED. Krumatic’s prior involvement in deploying the AgroVIR platform in Bulgaria is stated openly as a commercial-deployment relationship; no ownership, employment or family relationship with the fellow or another partner is known to the operator. IP terms for Krumatic-developed code (ownership or sufficient exploitation rights) are to be defined in a development agreement before the action starts — carried as an open pre-grant action, not a proposal fact.</w:t>
      </w:r>
    </w:p>
    <w:p>
      <w:r>
        <w:rPr>
          <w:b w:val="0"/>
          <w:i w:val="0"/>
        </w:rPr>
        <w:t>PIC: not required to submit. The application form asks for a draft PIC for an associated partner only where already known, and registration becomes mandatory only if the proposal is shortlisted; the legal identity above is what registration would then need.</w:t>
      </w:r>
    </w:p>
    <w:p>
      <w:pPr>
        <w:pStyle w:val="Heading1"/>
      </w:pPr>
      <w:r>
        <w:t>4 — RESOLVED: how we size the impact</w:t>
      </w:r>
    </w:p>
    <w:p>
      <w:r>
        <w:rPr>
          <w:b/>
          <w:color w:val="1F7A33"/>
          <w:sz w:val="18"/>
        </w:rPr>
        <w:t>RESOLVED — CONFIRMED published reference points</w:t>
      </w:r>
    </w:p>
    <w:p>
      <w:r>
        <w:rPr>
          <w:b w:val="0"/>
          <w:i w:val="0"/>
        </w:rPr>
        <w:t>The section 2.3 magnitude case now rests on bounded, literature-referenced context (review finding F-4 / action A-1 closed):</w:t>
      </w:r>
    </w:p>
    <w:p>
      <w:r>
        <w:rPr>
          <w:b w:val="0"/>
          <w:i w:val="0"/>
        </w:rPr>
        <w:t>• Processing tomato, plant + soil monitoring: ~30% less irrigation water than empirical farmer management and ~7.5% less than ET-based scheduling in a two-year field trial, with yield differences reported (Carucci et al. 2023, Applied Sciences 13, 7625, doi:10.3390/app13137625).</w:t>
      </w:r>
    </w:p>
    <w:p>
      <w:r>
        <w:rPr>
          <w:b w:val="0"/>
          <w:i w:val="0"/>
        </w:rPr>
        <w:t>• Timing of deficit: 25% water saving from early-stage controlled deficit without statistically significant yield loss; poorly timed or prolonged deficits reduced yield (Badr et al. 2026, BMC Plant Biology 26, 169, doi:10.1186/s12870-025-08065-6).</w:t>
      </w:r>
    </w:p>
    <w:p>
      <w:r>
        <w:rPr>
          <w:b w:val="0"/>
          <w:i w:val="0"/>
        </w:rPr>
        <w:t>• EU scale: fresh vegetables on ~2.0 million ha in the EU in 2023; ~0.7 million EU farms cultivated fresh vegetables in 2020 (Eurostat 2024; Eurostat 2025).</w:t>
      </w:r>
    </w:p>
    <w:p>
      <w:r>
        <w:rPr>
          <w:b w:val="0"/>
          <w:i w:val="0"/>
        </w:rPr>
        <w:t>• Bulgaria scale: 35.6 thousand ha main vegetable area, ~128 thousand tonnes of tomato in harvest 2024 (Ministry of Agriculture and Food, Bulgaria, 2025, No. 452).</w:t>
      </w:r>
    </w:p>
    <w:p>
      <w:r>
        <w:rPr>
          <w:b w:val="0"/>
          <w:i w:val="0"/>
        </w:rPr>
        <w:t>Adopted claim form: comparable published studies demonstrate water-saving effects in the approximate 8–30% range under specific strategies; FIELDWISE quantifies its own outcome prospectively and reports water saving together with yield, quality and uncertainty. The proposal does not write “FIELDWISE will save 25% water.”</w:t>
      </w:r>
    </w:p>
    <w:p>
      <w:pPr>
        <w:pStyle w:val="Heading1"/>
      </w:pPr>
      <w:r>
        <w:t>5 — Partner confirmations: resolutions</w:t>
      </w:r>
    </w:p>
    <w:p>
      <w:pPr>
        <w:pStyle w:val="Heading2"/>
      </w:pPr>
      <w:r>
        <w:t>AgroVIR — the placement arrangements</w:t>
      </w:r>
    </w:p>
    <w:p>
      <w:r>
        <w:rPr>
          <w:b/>
          <w:color w:val="A56A00"/>
          <w:sz w:val="18"/>
        </w:rPr>
        <w:t>RESOLVED — DECLARED, arrangement updated 2026-08-28</w:t>
      </w:r>
    </w:p>
    <w:p>
      <w:r>
        <w:rPr>
          <w:b w:val="0"/>
          <w:i w:val="0"/>
        </w:rPr>
        <w:t>The placement arrangement is restated by the consolidated pack and supersedes the earlier workspace item: the six-month placement (M25–M30) is conducted mainly through remote collaboration with monthly face-to-face technical meetings. The fellow does not require direct access to AgroVIR’s proprietary software, customer databases, office infrastructure or computing equipment; AgroVIR provides the information and data extracts required for interoperability testing in protected, coded or anonymised form. Supervision: Miklós Maróti, Managing Director of AgroVIR. AgroVIR is additionally consulted from M1 on requirements, usability and interoperability. All of this remains operator-declared pending AgroVIR’s short written confirmation; the earlier “desk + development/staging/customer-data access” framing is withdrawn.</w:t>
      </w:r>
    </w:p>
    <w:p>
      <w:pPr>
        <w:pStyle w:val="Heading2"/>
      </w:pPr>
      <w:r>
        <w:t>All partners: committed effort figures (updated)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Contribution</w:t>
            </w:r>
          </w:p>
        </w:tc>
        <w:tc>
          <w:tcPr>
            <w:tcW w:type="dxa" w:w="2880"/>
          </w:tcPr>
          <w:p>
            <w:r>
              <w:t>Figure of record</w:t>
            </w:r>
          </w:p>
        </w:tc>
        <w:tc>
          <w:tcPr>
            <w:tcW w:type="dxa" w:w="2880"/>
          </w:tcPr>
          <w:p>
            <w:r>
              <w:t>Status</w:t>
            </w:r>
          </w:p>
        </w:tc>
      </w:tr>
      <w:tr>
        <w:tc>
          <w:tcPr>
            <w:tcW w:type="dxa" w:w="2880"/>
          </w:tcPr>
          <w:p>
            <w:r>
              <w:t>Supervisor — Dr. Roland Hollós, HUN-REN ATK</w:t>
            </w:r>
          </w:p>
        </w:tc>
        <w:tc>
          <w:tcPr>
            <w:tcW w:type="dxa" w:w="2880"/>
          </w:tcPr>
          <w:p>
            <w:r>
              <w:t>2.5 person-months</w:t>
            </w:r>
          </w:p>
        </w:tc>
        <w:tc>
          <w:tcPr>
            <w:tcW w:type="dxa" w:w="2880"/>
          </w:tcPr>
          <w:p>
            <w:r>
              <w:t>DECLARED</w:t>
            </w:r>
          </w:p>
        </w:tc>
      </w:tr>
      <w:tr>
        <w:tc>
          <w:tcPr>
            <w:tcW w:type="dxa" w:w="2880"/>
          </w:tcPr>
          <w:p>
            <w:r>
              <w:t>Co-supervisor — Prof. András Jung, ELTE</w:t>
            </w:r>
          </w:p>
        </w:tc>
        <w:tc>
          <w:tcPr>
            <w:tcW w:type="dxa" w:w="2880"/>
          </w:tcPr>
          <w:p>
            <w:r>
              <w:t>2.0 person-months</w:t>
            </w:r>
          </w:p>
        </w:tc>
        <w:tc>
          <w:tcPr>
            <w:tcW w:type="dxa" w:w="2880"/>
          </w:tcPr>
          <w:p>
            <w:r>
              <w:t>DECLARED</w:t>
            </w:r>
          </w:p>
        </w:tc>
      </w:tr>
      <w:tr>
        <w:tc>
          <w:tcPr>
            <w:tcW w:type="dxa" w:w="2880"/>
          </w:tcPr>
          <w:p>
            <w:r>
              <w:t>AgroVIR (consultation + placement host)</w:t>
            </w:r>
          </w:p>
        </w:tc>
        <w:tc>
          <w:tcPr>
            <w:tcW w:type="dxa" w:w="2880"/>
          </w:tcPr>
          <w:p>
            <w:r>
              <w:t>3.0 person-months</w:t>
            </w:r>
          </w:p>
        </w:tc>
        <w:tc>
          <w:tcPr>
            <w:tcW w:type="dxa" w:w="2880"/>
          </w:tcPr>
          <w:p>
            <w:r>
              <w:t>DECLARED</w:t>
            </w:r>
          </w:p>
        </w:tc>
      </w:tr>
      <w:tr>
        <w:tc>
          <w:tcPr>
            <w:tcW w:type="dxa" w:w="2880"/>
          </w:tcPr>
          <w:p>
            <w:r>
              <w:t>MATE (experimental environment, Dr. Takács)</w:t>
            </w:r>
          </w:p>
        </w:tc>
        <w:tc>
          <w:tcPr>
            <w:tcW w:type="dxa" w:w="2880"/>
          </w:tcPr>
          <w:p>
            <w:r>
              <w:t>2.4 person-months</w:t>
            </w:r>
          </w:p>
        </w:tc>
        <w:tc>
          <w:tcPr>
            <w:tcW w:type="dxa" w:w="2880"/>
          </w:tcPr>
          <w:p>
            <w:r>
              <w:t>DECLARED</w:t>
            </w:r>
          </w:p>
        </w:tc>
      </w:tr>
      <w:tr>
        <w:tc>
          <w:tcPr>
            <w:tcW w:type="dxa" w:w="2880"/>
          </w:tcPr>
          <w:p>
            <w:r>
              <w:t>Krumatic (software development + BG uptake)</w:t>
            </w:r>
          </w:p>
        </w:tc>
        <w:tc>
          <w:tcPr>
            <w:tcW w:type="dxa" w:w="2880"/>
          </w:tcPr>
          <w:p>
            <w:r>
              <w:t>1.5 person-months</w:t>
            </w:r>
          </w:p>
        </w:tc>
        <w:tc>
          <w:tcPr>
            <w:tcW w:type="dxa" w:w="2880"/>
          </w:tcPr>
          <w:p>
            <w:r>
              <w:t>DECLARED</w:t>
            </w:r>
          </w:p>
        </w:tc>
      </w:tr>
      <w:tr>
        <w:tc>
          <w:tcPr>
            <w:tcW w:type="dxa" w:w="2880"/>
          </w:tcPr>
          <w:p>
            <w:r>
              <w:t>MVCRI</w:t>
            </w:r>
          </w:p>
        </w:tc>
        <w:tc>
          <w:tcPr>
            <w:tcW w:type="dxa" w:w="2880"/>
          </w:tcPr>
          <w:p>
            <w:r>
              <w:t>removed from the in-action table (post-MSCA route)</w:t>
            </w:r>
          </w:p>
        </w:tc>
        <w:tc>
          <w:tcPr>
            <w:tcW w:type="dxa" w:w="2880"/>
          </w:tcPr>
          <w:p>
            <w:r>
              <w:t>—</w:t>
            </w:r>
          </w:p>
        </w:tc>
      </w:tr>
    </w:tbl>
    <w:p>
      <w:r>
        <w:rPr>
          <w:b w:val="0"/>
          <w:i w:val="0"/>
        </w:rPr>
        <w:t>The fellow’s own 30 person-months are firm. All partner figures are operator estimates to be countersigned by the partners; the role-for-role swap of the supervision figures (2.5 follows the supervisor role to ATK, 2.0 follows the co-supervisor role to ELTE) was decided 2026-08-28.</w:t>
      </w:r>
    </w:p>
    <w:p>
      <w:pPr>
        <w:pStyle w:val="Heading2"/>
      </w:pPr>
      <w:r>
        <w:t>Remaining factual checks</w:t>
      </w:r>
    </w:p>
    <w:p>
      <w:r>
        <w:rPr>
          <w:b w:val="0"/>
          <w:i w:val="0"/>
        </w:rPr>
        <w:t>MATE contact person: CONFIRMED as Dr. Sándor Takács — the partner input names him for the historical dataset, tomato experiments and primary validation, and MATE’s instrument inventory (TDR and capacitive soil-moisture sensors at 15/30 cm, stomatal-resistance equipment, SPAD meters, VIS–NIR and VIS–NIR–SWIR leaf spectroradiometers, meteorological monitoring, leaf-temperature and CWSI tools) is stated for §3.2.</w:t>
      </w:r>
    </w:p>
    <w:p>
      <w:r>
        <w:rPr>
          <w:b w:val="0"/>
          <w:i w:val="0"/>
        </w:rPr>
        <w:t>Hosting history: re-attributed to ATK and answered — see LANDRACES above. ELTE’s “no prior funded MSCA fellow” statement is retained for its associated-partner description only.</w:t>
      </w:r>
    </w:p>
    <w:p>
      <w:r>
        <w:rPr>
          <w:b w:val="0"/>
          <w:i w:val="0"/>
        </w:rPr>
        <w:t>MVCRI: its in-action Bulgarian trial seat is removed; MVCRI (director Prof. Daniela Ganeva) becomes the post-MSCA replication and transferability route under the Bulgarian Agricultural Academy, and the proposal must state that DrR was developed by the fellow independently and is not an MVCRI institutional product.</w:t>
      </w:r>
    </w:p>
    <w:p>
      <w:pPr>
        <w:pStyle w:val="Heading1"/>
      </w:pPr>
      <w:r>
        <w:t>6 — Editorial strengthening: how each lands in the re-run</w:t>
      </w:r>
    </w:p>
    <w:p>
      <w:r>
        <w:rPr>
          <w:b w:val="0"/>
          <w:i w:val="0"/>
        </w:rPr>
        <w:t>A-3 (researcher’s concrete data-science outputs): the consolidated career narrative (agronomy → plant physiology → remote sensing → data science, KPMG data-analyst experience, DrR’s real status as a self-financed research tool in use at MVCRI) is transcribed into the researcher profile and §1.4 drafts from it.</w:t>
      </w:r>
    </w:p>
    <w:p>
      <w:r>
        <w:rPr>
          <w:b w:val="0"/>
          <w:i w:val="0"/>
        </w:rPr>
        <w:t>A-4 (inclusive recruitment of growers and staff for feedback): carried into the gender/diversity input of the implementation sections.</w:t>
      </w:r>
    </w:p>
    <w:p>
      <w:r>
        <w:rPr>
          <w:b w:val="0"/>
          <w:i w:val="0"/>
        </w:rPr>
        <w:t>A-6 (concrete public-communication targets): the pack’s communication activities (conference presentations, MATE/HUN-REN/ELTE seminars, teaching sessions at MATE and AU Plovdiv, practitioner demonstrations, the possible Skanzen public demonstration) are transcribed; numeric targets are set at drafting.</w:t>
      </w:r>
    </w:p>
    <w:p>
      <w:r>
        <w:rPr>
          <w:b w:val="0"/>
          <w:i w:val="0"/>
        </w:rPr>
        <w:t>A-7 (institutional readiness): superseded — the case is now ATK’s and rests on the LANDRACES hosting record, current Horizon participations and the HUN-REN AI environment; ELTE’s readiness evidence supports its associated-partner role.</w:t>
      </w:r>
    </w:p>
    <w:p>
      <w:pPr>
        <w:pStyle w:val="Heading1"/>
      </w:pPr>
      <w:r>
        <w:t>7 — What happens next</w:t>
      </w:r>
    </w:p>
    <w:p>
      <w:r>
        <w:rPr>
          <w:b w:val="0"/>
          <w:i w:val="0"/>
        </w:rPr>
        <w:t>The resolutions above are transcribed into the orchestration state (Tier 3) with their evidence statuses, the supersessions are recorded in the decision log, and the full Phase 1–8 pipeline is re-run as fieldwise-run-02 to produce the ATK-hosted draft. Before submission, the DECLARED items convert to CONFIRMED as the written confirmations arrive: ATK’s hosting confirmation and signatory, Hollós’s acceptance and effort, ELTE’s agreement and the instrument-access arrangement, AgroVIR’s placement letter, Krumatic’s role-and-effort confirmation, the farmer’s written field access, the Evaluation Summary Report score of record, and the NCP/REA eligibility answer. Anything still unconverted at finalisation stays visibly qualified in the submitted text, by design.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