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19B6" w14:textId="77777777" w:rsidR="005A31FB" w:rsidRDefault="00000000">
      <w:pPr>
        <w:spacing w:after="0" w:line="240" w:lineRule="auto"/>
        <w:contextualSpacing/>
        <w:jc w:val="center"/>
        <w:rPr>
          <w:rFonts w:ascii="Times New Roman" w:hAnsi="Times New Roman"/>
          <w:b/>
          <w:bCs/>
          <w:i/>
          <w:iCs/>
          <w:color w:val="FF0000"/>
          <w:sz w:val="28"/>
          <w:szCs w:val="24"/>
          <w:u w:val="single"/>
          <w:lang w:val="fr-BE"/>
        </w:rPr>
      </w:pPr>
      <w:r>
        <w:rPr>
          <w:rFonts w:ascii="Times New Roman" w:hAnsi="Times New Roman"/>
          <w:b/>
          <w:bCs/>
          <w:sz w:val="28"/>
          <w:szCs w:val="24"/>
          <w:u w:val="single"/>
          <w:lang w:val="fr-BE"/>
        </w:rPr>
        <w:t>Part B-1</w:t>
      </w:r>
      <w:r>
        <w:rPr>
          <w:rFonts w:ascii="Times New Roman" w:hAnsi="Times New Roman"/>
          <w:b/>
          <w:bCs/>
          <w:i/>
          <w:iCs/>
          <w:color w:val="FF0000"/>
          <w:sz w:val="28"/>
          <w:szCs w:val="24"/>
          <w:u w:val="single"/>
          <w:lang w:val="fr-BE"/>
        </w:rPr>
        <w:t xml:space="preserve"> </w:t>
      </w:r>
    </w:p>
    <w:p w14:paraId="00032932" w14:textId="77777777" w:rsidR="005A31FB" w:rsidRDefault="00000000">
      <w:pPr>
        <w:pStyle w:val="Cmsor2"/>
        <w:spacing w:line="240" w:lineRule="auto"/>
        <w:rPr>
          <w:rFonts w:ascii="Times New Roman" w:hAnsi="Times New Roman"/>
          <w:lang w:val="fr-BE"/>
        </w:rPr>
      </w:pPr>
      <w:r>
        <w:rPr>
          <w:rFonts w:ascii="Times New Roman" w:hAnsi="Times New Roman"/>
          <w:lang w:val="fr-BE"/>
        </w:rPr>
        <w:t xml:space="preserve">1. Excellence </w:t>
      </w:r>
    </w:p>
    <w:p w14:paraId="145020FC"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Quality and pertinence of the project’s research and innovation objectives (and the extent to which they are ambitious, and go beyond the state of the art)</w:t>
      </w:r>
    </w:p>
    <w:p w14:paraId="610E1167" w14:textId="77777777" w:rsidR="005A31FB" w:rsidRDefault="00000000">
      <w:pPr>
        <w:pStyle w:val="FWBody"/>
        <w:spacing w:after="60"/>
      </w:pPr>
      <w:r>
        <w:rPr>
          <w:b/>
        </w:rPr>
        <w:t>Problem and overarching aim.</w:t>
      </w:r>
      <w:r>
        <w:t xml:space="preserve"> European agriculture faces increasing water constraints: approximately 30% of EU territory experiences seasonal water scarcity in an average year, while climate change is expected to intensify drought frequency, severity and seasonal freshwater fluctuations</w:t>
      </w:r>
      <w:r>
        <w:rPr>
          <w:rStyle w:val="Lbjegyzet-hivatkozs"/>
        </w:rPr>
        <w:footnoteReference w:id="1"/>
      </w:r>
      <w:r>
        <w:t xml:space="preserve">. High-value horticultural irrigation often relies on delayed visual symptoms, isolated sensor thresholds or retrospective crop-performance records, risking mistimed or unnecessary irrigation. FIELDWISE asks: </w:t>
      </w:r>
      <w:r>
        <w:rPr>
          <w:b/>
        </w:rPr>
        <w:t>can a physiologically grounded plant water-stress signal remain valid across seasons, environments and sensing scales, survive prospective validation under real commercial-field conditions, and be translated into crop-configurable irrigation decision support?</w:t>
      </w:r>
      <w:r>
        <w:t xml:space="preserve"> Processing tomato is the </w:t>
      </w:r>
      <w:r>
        <w:rPr>
          <w:b/>
        </w:rPr>
        <w:t>development and validation crop</w:t>
      </w:r>
      <w:r>
        <w:t>, supported by an unusually rich five-season (2022–2026) archive of physiological, soil, meteorological and proximal-spectral observations, enabling rigorous testing beyond a short-term fellowship-generated dataset. Unchanged transfer to other crops is not assumed: FIELDWISE will distinguish reusable methodological components from biological and calibration elements requiring crop-specific recalibration and revalidation. An end-of-project non-academic placement completes inter-sectoral translation.</w:t>
      </w:r>
    </w:p>
    <w:p w14:paraId="73BE8A5F" w14:textId="77777777" w:rsidR="005A31FB" w:rsidRDefault="00000000">
      <w:pPr>
        <w:pStyle w:val="FWBody"/>
        <w:spacing w:after="60"/>
      </w:pPr>
      <w:r>
        <w:rPr>
          <w:b/>
        </w:rPr>
        <w:t>Pertinence.</w:t>
      </w:r>
      <w:r>
        <w:t xml:space="preserve"> Three linked scientific gaps motivate the objectives: (</w:t>
      </w:r>
      <w:proofErr w:type="spellStart"/>
      <w:r>
        <w:t>i</w:t>
      </w:r>
      <w:proofErr w:type="spellEnd"/>
      <w:r>
        <w:t xml:space="preserve">) insufficient physiological grounding of water-stress indicators; </w:t>
      </w:r>
      <w:r>
        <w:rPr>
          <w:b/>
        </w:rPr>
        <w:t>(ii)</w:t>
      </w:r>
      <w:r>
        <w:t xml:space="preserve"> limited evidence of predictive validity across unseen years, environments and sensing scales; and </w:t>
      </w:r>
      <w:r>
        <w:rPr>
          <w:b/>
        </w:rPr>
        <w:t>(iii)</w:t>
      </w:r>
      <w:r>
        <w:t xml:space="preserve"> weak translation into operational irrigation decision support. Spectral and environmental variables frequently serve as stress proxies without demonstrated consistency with plant physiological responses</w:t>
      </w:r>
      <w:r>
        <w:rPr>
          <w:rStyle w:val="Lbjegyzet-hivatkozs"/>
        </w:rPr>
        <w:footnoteReference w:id="2"/>
      </w:r>
      <w:r>
        <w:t xml:space="preserve">. FIELDWISE </w:t>
      </w:r>
      <w:proofErr w:type="spellStart"/>
      <w:r>
        <w:t>centres</w:t>
      </w:r>
      <w:proofErr w:type="spellEnd"/>
      <w:r>
        <w:t xml:space="preserve"> prediction on physiology and tests transferability prospectively rather than inferring it from retrospective accuracy. These objectives also advance the fellow from plant physiologist and agronomist toward an independent </w:t>
      </w:r>
      <w:r>
        <w:rPr>
          <w:b/>
        </w:rPr>
        <w:t>Agricultural Data Scientist</w:t>
      </w:r>
      <w:r>
        <w:t xml:space="preserve"> integrating plant physiology, Earth observation, IoT-enabled sensing, predictive modelling and decision-support development. Scientific and career objectives thus reinforce each other and align directly with MSCA Postdoctoral Fellowships’ interdisciplinary and inter-sectoral profile.</w:t>
      </w:r>
    </w:p>
    <w:p w14:paraId="6FCF60E2" w14:textId="77777777" w:rsidR="005A31FB" w:rsidRDefault="00000000">
      <w:pPr>
        <w:pStyle w:val="FWBody"/>
      </w:pPr>
      <w:r>
        <w:rPr>
          <w:b/>
          <w:u w:val="single"/>
        </w:rPr>
        <w:t>The four objectives, and why they are measurable and verifiable</w:t>
      </w:r>
      <w:r>
        <w:rPr>
          <w:b/>
        </w:rPr>
        <w:t>.</w:t>
      </w:r>
      <w:r>
        <w:t xml:space="preserve"> </w:t>
      </w:r>
      <w:r>
        <w:rPr>
          <w:b/>
          <w:bCs/>
        </w:rPr>
        <w:t xml:space="preserve">O1 — </w:t>
      </w:r>
      <w:proofErr w:type="spellStart"/>
      <w:r>
        <w:rPr>
          <w:b/>
          <w:bCs/>
        </w:rPr>
        <w:t>Harmonise</w:t>
      </w:r>
      <w:proofErr w:type="spellEnd"/>
      <w:r>
        <w:rPr>
          <w:b/>
          <w:bCs/>
        </w:rPr>
        <w:t xml:space="preserve"> the 2022–2026 MATE archive and establish the water-stress reference and validation protocol.</w:t>
      </w:r>
      <w:r>
        <w:t xml:space="preserve"> The five-season processing-tomato archive will be </w:t>
      </w:r>
      <w:proofErr w:type="spellStart"/>
      <w:r>
        <w:t>harmonised</w:t>
      </w:r>
      <w:proofErr w:type="spellEnd"/>
      <w:r>
        <w:t xml:space="preserve"> across physiological, soil-water, meteorological and hyperspectral observations collected under contrasting irrigation treatments. These treatments provide a known water-deficit context, with irrigation requirements historically derived using </w:t>
      </w:r>
      <w:proofErr w:type="spellStart"/>
      <w:r>
        <w:t>AquaCrop</w:t>
      </w:r>
      <w:proofErr w:type="spellEnd"/>
      <w:r>
        <w:t>-based crop-water-demand calculations, as established in previous MATE processing-tomato research</w:t>
      </w:r>
      <w:r>
        <w:rPr>
          <w:rStyle w:val="Lbjegyzet-hivatkozs"/>
        </w:rPr>
        <w:footnoteReference w:id="3"/>
      </w:r>
      <w:r>
        <w:t>,</w:t>
      </w:r>
      <w:r>
        <w:rPr>
          <w:rStyle w:val="Lbjegyzet-hivatkozs"/>
        </w:rPr>
        <w:footnoteReference w:id="4"/>
      </w:r>
      <w:r>
        <w:t xml:space="preserve">. Historical hyperspectral measurements will be converted, where technically possible, to Sentinel-2-compatible predictor definitions and temporally aligned with the other observations. Outputs are the </w:t>
      </w:r>
      <w:proofErr w:type="spellStart"/>
      <w:r>
        <w:t>harmonised</w:t>
      </w:r>
      <w:proofErr w:type="spellEnd"/>
      <w:r>
        <w:t xml:space="preserve"> database and predictor-availability map (</w:t>
      </w:r>
      <w:r>
        <w:rPr>
          <w:b/>
          <w:bCs/>
        </w:rPr>
        <w:t>D1.1, M2</w:t>
      </w:r>
      <w:r>
        <w:t>) and the stress-reference, feature-selection and physiological-validation protocol (</w:t>
      </w:r>
      <w:r>
        <w:rPr>
          <w:b/>
          <w:bCs/>
        </w:rPr>
        <w:t>D1.2, M3</w:t>
      </w:r>
      <w:r>
        <w:t xml:space="preserve">). </w:t>
      </w:r>
      <w:r>
        <w:rPr>
          <w:b/>
          <w:bCs/>
        </w:rPr>
        <w:t>O2 — Develop an interpretable and uncertainty-aware probabilistic water-stress model.</w:t>
      </w:r>
      <w:r>
        <w:t xml:space="preserve"> Under HUN-REN ATK supervision, with Prof. András Jung/ELTE supporting hyperspectral-to-Sentinel </w:t>
      </w:r>
      <w:proofErr w:type="spellStart"/>
      <w:r>
        <w:t>harmonisation</w:t>
      </w:r>
      <w:proofErr w:type="spellEnd"/>
      <w:r>
        <w:t xml:space="preserve">, the model will integrate Sentinel-compatible spectral indices reconstructed from historical hyperspectral observations with soil-water and meteorological variables. Irrigation treatment provides the imposed water-deficit context, while physiological measurements such as chlorophyll fluorescence and stomatal conductance provide independent evidence of whether that deficit produced an actual plant stress response. The primary model output will be water-stress probability and operational stress status. The model, benchmark, predictor definitions and model card will be frozen at </w:t>
      </w:r>
      <w:r>
        <w:rPr>
          <w:b/>
          <w:bCs/>
        </w:rPr>
        <w:t>M3 (D1.4)</w:t>
      </w:r>
      <w:r>
        <w:t xml:space="preserve">. </w:t>
      </w:r>
      <w:r>
        <w:rPr>
          <w:b/>
          <w:bCs/>
        </w:rPr>
        <w:t>O3 — Prospectively validate the frozen model under unseen commercial-field conditions over two processing-tomato seasons.</w:t>
      </w:r>
      <w:r>
        <w:t xml:space="preserve"> Validation will be conducted in a commercial-scale field large enough for valid Sentinel-2 observation and containing contrasting controlled irrigation regimes, providing non-stressed and water-deficit conditions. The model will receive actual Sentinel-2-derived indices together with soil-water and meteorological observations. Coordinated physiological measurements will independently verify the plant response. Correct detections, missed detections, false alarms, calibration and warning lead time will be quantified. Outputs are the </w:t>
      </w:r>
      <w:r>
        <w:lastRenderedPageBreak/>
        <w:t>prospective validation dataset (</w:t>
      </w:r>
      <w:r>
        <w:rPr>
          <w:b/>
          <w:bCs/>
        </w:rPr>
        <w:t>D2.1, M20</w:t>
      </w:r>
      <w:r>
        <w:t>) and transferability and uncertainty report (</w:t>
      </w:r>
      <w:r>
        <w:rPr>
          <w:b/>
          <w:bCs/>
        </w:rPr>
        <w:t>D2.2, M21</w:t>
      </w:r>
      <w:r>
        <w:t xml:space="preserve">). </w:t>
      </w:r>
      <w:r>
        <w:rPr>
          <w:b/>
          <w:bCs/>
        </w:rPr>
        <w:t xml:space="preserve">O4 — Translate validated outputs into the </w:t>
      </w:r>
      <w:proofErr w:type="spellStart"/>
      <w:r>
        <w:rPr>
          <w:b/>
          <w:bCs/>
        </w:rPr>
        <w:t>DrR</w:t>
      </w:r>
      <w:proofErr w:type="spellEnd"/>
      <w:r>
        <w:rPr>
          <w:b/>
          <w:bCs/>
        </w:rPr>
        <w:t xml:space="preserve"> web MVP and assess their operational relevance.</w:t>
      </w:r>
      <w:r>
        <w:t xml:space="preserve"> FIELDWISE builds on the fellow's pre-existing desktop </w:t>
      </w:r>
      <w:proofErr w:type="spellStart"/>
      <w:r>
        <w:t>DrR</w:t>
      </w:r>
      <w:proofErr w:type="spellEnd"/>
      <w:r>
        <w:t xml:space="preserve"> research prototype. </w:t>
      </w:r>
      <w:proofErr w:type="spellStart"/>
      <w:r>
        <w:t>Krumatic</w:t>
      </w:r>
      <w:proofErr w:type="spellEnd"/>
      <w:r>
        <w:t xml:space="preserve"> will provide remunerated software-engineering support for development of the web MVP, while </w:t>
      </w:r>
      <w:proofErr w:type="spellStart"/>
      <w:r>
        <w:t>AgroVIR</w:t>
      </w:r>
      <w:proofErr w:type="spellEnd"/>
      <w:r>
        <w:t xml:space="preserve"> will contribute operational requirements, user feedback and final non-academic evaluation. Only scientifically validated model outputs will enter the operational prototype. Outputs are the web MVP and readiness dossier (</w:t>
      </w:r>
      <w:r>
        <w:rPr>
          <w:b/>
          <w:bCs/>
        </w:rPr>
        <w:t>D3.1–D3.2, M24</w:t>
      </w:r>
      <w:r>
        <w:t>) and the operational/interoperability assessment and roadmap (</w:t>
      </w:r>
      <w:r>
        <w:rPr>
          <w:b/>
          <w:bCs/>
        </w:rPr>
        <w:t>D4.1–D4.2, M30</w:t>
      </w:r>
      <w:r>
        <w:t>).</w:t>
      </w:r>
    </w:p>
    <w:p w14:paraId="01C4C068" w14:textId="77777777" w:rsidR="005A31FB" w:rsidRDefault="00000000">
      <w:pPr>
        <w:pStyle w:val="FWBody"/>
        <w:rPr>
          <w:color w:val="auto"/>
        </w:rPr>
      </w:pPr>
      <w:r>
        <w:rPr>
          <w:b/>
          <w:bCs/>
          <w:color w:val="auto"/>
          <w:u w:val="single"/>
        </w:rPr>
        <w:t xml:space="preserve">Measurability and </w:t>
      </w:r>
      <w:proofErr w:type="spellStart"/>
      <w:proofErr w:type="gramStart"/>
      <w:r>
        <w:rPr>
          <w:b/>
          <w:bCs/>
          <w:color w:val="auto"/>
          <w:u w:val="single"/>
        </w:rPr>
        <w:t>verifiability</w:t>
      </w:r>
      <w:r>
        <w:rPr>
          <w:color w:val="auto"/>
        </w:rPr>
        <w:t>.Model</w:t>
      </w:r>
      <w:proofErr w:type="spellEnd"/>
      <w:proofErr w:type="gramEnd"/>
      <w:r>
        <w:rPr>
          <w:color w:val="auto"/>
        </w:rPr>
        <w:t xml:space="preserve"> development within the historical archive will use blocked, leakage-safe unseen-year validation. The stress-reference definition, predictors, feature-selection rules, evaluation metrics and permitted recalibration strategy will be pre-specified in D1.2. The frozen model will subsequently be tested prospectively over two unseen commercial-field seasons. Performance will be evaluated using balanced accuracy, F1 and ROC-AUC for stress detection; reliability and Brier score for probabilistic calibration; and lead time and false-alarm rate for operational value. Regression metrics will be used only if the archive supports a defensible continuous stress-severity reference. Freezing the model and predictor definitions at M3 prevents retrospective </w:t>
      </w:r>
      <w:proofErr w:type="spellStart"/>
      <w:r>
        <w:rPr>
          <w:color w:val="auto"/>
        </w:rPr>
        <w:t>optimisation</w:t>
      </w:r>
      <w:proofErr w:type="spellEnd"/>
      <w:r>
        <w:rPr>
          <w:color w:val="auto"/>
        </w:rPr>
        <w:t xml:space="preserve"> against prospective outcomes and makes the central hypothesis directly falsifiable: whether water-stress relationships learned from controlled experimental observations remain valid when corresponding predictors are obtained from actual Sentinel-2 observations under commercial-field conditions.</w:t>
      </w:r>
    </w:p>
    <w:p w14:paraId="74160475" w14:textId="77777777" w:rsidR="005A31FB" w:rsidRDefault="00000000">
      <w:pPr>
        <w:pStyle w:val="FWBody"/>
        <w:spacing w:after="60"/>
        <w:rPr>
          <w:color w:val="auto"/>
        </w:rPr>
      </w:pPr>
      <w:r>
        <w:rPr>
          <w:b/>
        </w:rPr>
        <w:t>Realistically achievable.</w:t>
      </w:r>
      <w:r>
        <w:t xml:space="preserve"> FIELDWISE combines a 24-month MSCA Postdoctoral Fellowship at HUN-REN ATK with a six-month </w:t>
      </w:r>
      <w:proofErr w:type="spellStart"/>
      <w:r>
        <w:t>AgroVIR</w:t>
      </w:r>
      <w:proofErr w:type="spellEnd"/>
      <w:r>
        <w:t xml:space="preserve"> non-academic placement. The existing five-season MATE processing-tomato archive and controlled irrigation experiments support feasibility. Previous MATE research established </w:t>
      </w:r>
      <w:proofErr w:type="spellStart"/>
      <w:r>
        <w:t>AquaCrop</w:t>
      </w:r>
      <w:proofErr w:type="spellEnd"/>
      <w:r>
        <w:t xml:space="preserve">-based full-to-deficit irrigation treatments and demonstrated the value and limitations of modelling water stress from irrigation and crop-water-demand information alone. FIELDWISE links this imposed deficit context to physiological plant response and transferable spectral predictors. Prospective validation covers one commercial environment, two growing seasons and controlled irrigation contrasts; </w:t>
      </w:r>
      <w:proofErr w:type="spellStart"/>
      <w:r>
        <w:t>DrR</w:t>
      </w:r>
      <w:proofErr w:type="spellEnd"/>
      <w:r>
        <w:t xml:space="preserve"> builds on an existing prototype. In-action validation remains limited to processing tomato; a crop-transfer specification and subsequent post-project replication and knowledge transfer through MVCRI address additional crops.</w:t>
      </w:r>
    </w:p>
    <w:p w14:paraId="0BB602EE" w14:textId="77777777" w:rsidR="005A31FB" w:rsidRDefault="00000000">
      <w:pPr>
        <w:pStyle w:val="FWBody"/>
        <w:spacing w:after="60"/>
      </w:pPr>
      <w:r>
        <w:rPr>
          <w:b/>
        </w:rPr>
        <w:t>Beyond the state of the art, and the extent of the ambition.</w:t>
      </w:r>
      <w:r>
        <w:t xml:space="preserve"> FIELDWISE challenges four assumptions: vegetation indices themselves represent water stress; proximal and satellite observations are interchangeable; internal validation demonstrates field transferability; and one crop’s model transfers unchanged to another. Its ambition is a physiologically validated, uncertainty-aware transfer framework, not a new machine-learning algorithm, testing whether relationships learned from controlled experiments remain valid across unseen years, sensing scales and commercial fields. Three citable advances are: (1) a probabilistic processing-tomato water-stress model documenting calibration, uncertainty and blocked unseen-year performance; (2) a prospective experimental-to-commercial-field transfer gap quantified with a model frozen before deployment; and (3) a specification separating reusable modelling components from sensing-scale and crop-specific elements requiring recalibration. The new knowledge quantifies </w:t>
      </w:r>
      <w:r>
        <w:rPr>
          <w:b/>
        </w:rPr>
        <w:t>whether, how far and under what conditions predictive validity survives transfer from controlled experiments to operational satellite-based monitoring.</w:t>
      </w:r>
    </w:p>
    <w:p w14:paraId="609B29C5"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Soundness of the proposed methodology (including interdisciplinary approaches, consideration of the gender dimension and other diversity aspects if relevant for the research project, and the quality of open science practices).</w:t>
      </w:r>
    </w:p>
    <w:p w14:paraId="3B9E4515" w14:textId="77777777" w:rsidR="005A31FB" w:rsidRDefault="00000000">
      <w:pPr>
        <w:pStyle w:val="FWBody"/>
        <w:spacing w:after="60"/>
      </w:pPr>
      <w:r>
        <w:rPr>
          <w:b/>
        </w:rPr>
        <w:t>Overall methodology: concepts, models and assumptions.</w:t>
      </w:r>
      <w:r>
        <w:t xml:space="preserve"> Four linked criteria evaluate water-stress prediction: physiological validity, predictive performance, transferability and management relevance. Operational predictors comprise spectral, soil-water and meteorological variables. Historical MATE controlled irrigation treatments and </w:t>
      </w:r>
      <w:proofErr w:type="spellStart"/>
      <w:r>
        <w:t>AquaCrop</w:t>
      </w:r>
      <w:proofErr w:type="spellEnd"/>
      <w:r>
        <w:t>-informed crop-water requirements establish the imposed deficit context; physiological measurements independently indicate whether it produced actual plant stress. Before model fitting, D1.2 will specify how these complementary sources define the stress reference.</w:t>
      </w:r>
    </w:p>
    <w:p w14:paraId="41CCFA4A" w14:textId="77777777" w:rsidR="005A31FB" w:rsidRDefault="00000000">
      <w:pPr>
        <w:pStyle w:val="FWBody"/>
        <w:spacing w:after="60"/>
      </w:pPr>
      <w:r>
        <w:rPr>
          <w:b/>
        </w:rPr>
        <w:t xml:space="preserve">Stage 1 (WP1) </w:t>
      </w:r>
      <w:proofErr w:type="spellStart"/>
      <w:r>
        <w:rPr>
          <w:b/>
        </w:rPr>
        <w:t>harmonises</w:t>
      </w:r>
      <w:proofErr w:type="spellEnd"/>
      <w:r>
        <w:rPr>
          <w:b/>
        </w:rPr>
        <w:t xml:space="preserve"> the 2022–2026 MATE archive into a QC-controlled common-variable matrix with explicit missingness and availability maps.</w:t>
      </w:r>
      <w:r>
        <w:t xml:space="preserve"> Historical plots are too small for defensible plot-level Sentinel-2 retrieval; handheld hyperspectral measurements will therefore be transformed, where technically possible, into Sentinel-2-compatible predictors before model freeze. A 12-month ELTE research secondment under Prof. András Jung, distributed across the 24-month fellowship, supports predictor </w:t>
      </w:r>
      <w:proofErr w:type="spellStart"/>
      <w:r>
        <w:t>harmonisation</w:t>
      </w:r>
      <w:proofErr w:type="spellEnd"/>
      <w:r>
        <w:t xml:space="preserve"> and subsequent prospective Sentinel-2 validation/EO-transfer assessment. Blocked, leakage-safe unseen-year validation tests temporal transfer; a parsimonious uncertainty-aware model is compared with a nonlinear benchmark. Predictors, validation rules and the primary model are frozen at M3, before use of any prospective-field outcome.</w:t>
      </w:r>
    </w:p>
    <w:p w14:paraId="6FAAC38B" w14:textId="77777777" w:rsidR="005A31FB" w:rsidRDefault="00000000">
      <w:pPr>
        <w:pStyle w:val="FWBody"/>
        <w:spacing w:after="60"/>
      </w:pPr>
      <w:r>
        <w:rPr>
          <w:b/>
        </w:rPr>
        <w:lastRenderedPageBreak/>
        <w:t>Stage 2 (WP2) prospectively tests environmental and sensing-scale transfer over two processing-tomato seasons in an independent commercial field.</w:t>
      </w:r>
      <w:r>
        <w:t xml:space="preserve"> Controlled irrigation creates well-watered, deficit-irrigated and unirrigated conditions in treatment areas permitting valid Sentinel-2 observation. The frozen model uses actual Sentinel-2 indices, soil-water and meteorological observations; coordinated physiology independently verifies </w:t>
      </w:r>
      <w:proofErr w:type="spellStart"/>
      <w:r>
        <w:t>realised</w:t>
      </w:r>
      <w:proofErr w:type="spellEnd"/>
      <w:r>
        <w:t xml:space="preserve"> plant stress. Primary performance precedes any recalibration; subsequent limited recalibration is secondary and pre-specified. The transfer gap quantifies predictive validity retained from controlled experiments to genuine satellite-scale field monitoring (</w:t>
      </w:r>
      <w:r>
        <w:rPr>
          <w:b/>
        </w:rPr>
        <w:t>D2.1–D2.2, M20–M21</w:t>
      </w:r>
      <w:r>
        <w:t>). Crop transfer is addressed separately, distinguishing reusable components from those requiring crop-specific recalibration and revalidation.</w:t>
      </w:r>
    </w:p>
    <w:p w14:paraId="051CA376" w14:textId="77777777" w:rsidR="005A31FB" w:rsidRDefault="00000000">
      <w:pPr>
        <w:pStyle w:val="FWBody"/>
      </w:pPr>
      <w:r>
        <w:rPr>
          <w:b/>
        </w:rPr>
        <w:t>Stage 3 (WP3–WP4)</w:t>
      </w:r>
      <w:r>
        <w:t xml:space="preserve"> </w:t>
      </w:r>
      <w:proofErr w:type="spellStart"/>
      <w:r>
        <w:t>operationalises</w:t>
      </w:r>
      <w:proofErr w:type="spellEnd"/>
      <w:r>
        <w:t xml:space="preserve"> only validated functions. </w:t>
      </w:r>
      <w:proofErr w:type="spellStart"/>
      <w:r>
        <w:t>DrR</w:t>
      </w:r>
      <w:proofErr w:type="spellEnd"/>
      <w:r>
        <w:t xml:space="preserve"> – Digital Agronomist enters FIELDWISE as the fellow’s pre-existing, independently developed research prototype. FIELDWISE validates and extends selected scientific functionalities, while </w:t>
      </w:r>
      <w:proofErr w:type="spellStart"/>
      <w:r>
        <w:t>Krumatic</w:t>
      </w:r>
      <w:proofErr w:type="spellEnd"/>
      <w:r>
        <w:t xml:space="preserve"> provides the corresponding software-engineering implementation and </w:t>
      </w:r>
      <w:proofErr w:type="spellStart"/>
      <w:r>
        <w:t>AgroVIR</w:t>
      </w:r>
      <w:proofErr w:type="spellEnd"/>
      <w:r>
        <w:t xml:space="preserve"> evaluates operational usability and interoperability.</w:t>
      </w:r>
    </w:p>
    <w:p w14:paraId="36B79200" w14:textId="77777777" w:rsidR="005A31FB" w:rsidRDefault="00000000">
      <w:pPr>
        <w:pStyle w:val="FWBody"/>
        <w:spacing w:after="60"/>
      </w:pPr>
      <w:r>
        <w:rPr>
          <w:b/>
        </w:rPr>
        <w:t>Methodological challenges and mitigation.</w:t>
      </w:r>
      <w:r>
        <w:t xml:space="preserve"> (</w:t>
      </w:r>
      <w:proofErr w:type="spellStart"/>
      <w:r>
        <w:t>i</w:t>
      </w:r>
      <w:proofErr w:type="spellEnd"/>
      <w:r>
        <w:t xml:space="preserve">) A year-by-variable availability matrix and only defensible common predictors manage inter-annual archive heterogeneity; </w:t>
      </w:r>
      <w:r>
        <w:rPr>
          <w:b/>
        </w:rPr>
        <w:t>(ii)</w:t>
      </w:r>
      <w:r>
        <w:t xml:space="preserve"> pre-model spectral </w:t>
      </w:r>
      <w:proofErr w:type="spellStart"/>
      <w:r>
        <w:t>harmonisation</w:t>
      </w:r>
      <w:proofErr w:type="spellEnd"/>
      <w:r>
        <w:t xml:space="preserve"> and prospective scale-transfer testing link hyperspectral and satellite observations without assuming interchangeability; </w:t>
      </w:r>
      <w:r>
        <w:rPr>
          <w:b/>
        </w:rPr>
        <w:t>(iii)</w:t>
      </w:r>
      <w:r>
        <w:t xml:space="preserve"> blocked unseen-year validation avoids optimistic random-split </w:t>
      </w:r>
      <w:proofErr w:type="spellStart"/>
      <w:r>
        <w:t>generalisation</w:t>
      </w:r>
      <w:proofErr w:type="spellEnd"/>
      <w:r>
        <w:t xml:space="preserve">; </w:t>
      </w:r>
      <w:r>
        <w:rPr>
          <w:b/>
        </w:rPr>
        <w:t>(iv)</w:t>
      </w:r>
      <w:r>
        <w:t xml:space="preserve"> a model frozen before deployment tests commercial-field transfer, reporting performance before recalibration; (v) sufficiently large treatment areas and valid interior observations reduce Sentinel mixed-pixel risk; and </w:t>
      </w:r>
      <w:r>
        <w:rPr>
          <w:b/>
        </w:rPr>
        <w:t>(vi)</w:t>
      </w:r>
      <w:r>
        <w:t xml:space="preserve"> parsimony, uncertainty assessment, lead time and false-alarm rate control over-fitting. If clouds or acquisition timing prevent usable Sentinel-2 observations at critical validation dates, targeted UAV flights may supply supplementary high-resolution observations, subject to platform availability and flight conditions. These support interpretation but do not replace Sentinel-2 in the primary transferability assessment. A predefined site-contingency plan protects two-season field validation.</w:t>
      </w:r>
    </w:p>
    <w:p w14:paraId="3B68E351" w14:textId="77777777" w:rsidR="005A31FB" w:rsidRDefault="00000000">
      <w:pPr>
        <w:pStyle w:val="FWBody"/>
        <w:spacing w:after="60"/>
      </w:pPr>
      <w:r>
        <w:rPr>
          <w:b/>
        </w:rPr>
        <w:t>Integration of methods and disciplines.</w:t>
      </w:r>
      <w:r>
        <w:t xml:space="preserve"> FIELDWISE combines plant physiology, agronomy, Earth observation, predictive modelling and software engineering. HUN-REN ATK supplies plant-stress physiology/modelling; MATE the multi-season controlled-irrigation archive and processing-tomato expertise; Prof. András Jung/ELTE hyperspectral-to-Sentinel </w:t>
      </w:r>
      <w:proofErr w:type="spellStart"/>
      <w:r>
        <w:t>harmonisation</w:t>
      </w:r>
      <w:proofErr w:type="spellEnd"/>
      <w:r>
        <w:t xml:space="preserve">, EO methodology and sensing-scale transfer through a distributed 12-month secondment; and </w:t>
      </w:r>
      <w:proofErr w:type="spellStart"/>
      <w:r>
        <w:t>Krumatic</w:t>
      </w:r>
      <w:proofErr w:type="spellEnd"/>
      <w:r>
        <w:t>/</w:t>
      </w:r>
      <w:proofErr w:type="spellStart"/>
      <w:r>
        <w:t>AgroVIR</w:t>
      </w:r>
      <w:proofErr w:type="spellEnd"/>
      <w:r>
        <w:t xml:space="preserve"> software-engineering and operational farm-management perspectives. The fellow integrates these disciplines in a common workflow: the biological reference constrains model interpretation, the protocol constrains development, and the validated predictor specification governs operational field inputs.</w:t>
      </w:r>
    </w:p>
    <w:p w14:paraId="41E561AF" w14:textId="77777777" w:rsidR="005A31FB" w:rsidRDefault="00000000">
      <w:pPr>
        <w:pStyle w:val="FWBody"/>
      </w:pPr>
      <w:r>
        <w:rPr>
          <w:b/>
          <w:bCs/>
          <w:u w:val="single"/>
        </w:rPr>
        <w:t>Gender dimension and other diversity aspects</w:t>
      </w:r>
      <w:r>
        <w:rPr>
          <w:b/>
          <w:bCs/>
        </w:rPr>
        <w:t>.</w:t>
      </w:r>
      <w:r>
        <w:t xml:space="preserve"> A sex/gender dimension is not relevant to the biological research content, which concerns processing-tomato water-stress responses and involves no human or animal biological data. Diversity becomes relevant only in end-user interaction: usability feedback will consider differences in farm context and digital literacy. Any grower feedback will follow informed-consent, withdrawal, data-</w:t>
      </w:r>
      <w:proofErr w:type="spellStart"/>
      <w:r>
        <w:t>minimisation</w:t>
      </w:r>
      <w:proofErr w:type="spellEnd"/>
      <w:r>
        <w:t xml:space="preserve"> and coded/</w:t>
      </w:r>
      <w:proofErr w:type="spellStart"/>
      <w:r>
        <w:t>anonymised</w:t>
      </w:r>
      <w:proofErr w:type="spellEnd"/>
      <w:r>
        <w:t>-processing principles.</w:t>
      </w:r>
    </w:p>
    <w:p w14:paraId="17E14673" w14:textId="77777777" w:rsidR="005A31FB" w:rsidRDefault="00000000">
      <w:pPr>
        <w:pStyle w:val="FWBody"/>
        <w:rPr>
          <w:lang w:val="en-GB"/>
        </w:rPr>
      </w:pPr>
      <w:r>
        <w:rPr>
          <w:b/>
          <w:bCs/>
          <w:u w:val="single"/>
        </w:rPr>
        <w:t>Open science practices</w:t>
      </w:r>
      <w:r>
        <w:rPr>
          <w:b/>
          <w:bCs/>
        </w:rPr>
        <w:t>.</w:t>
      </w:r>
      <w:r>
        <w:t xml:space="preserve"> FIELDWISE follows the principle </w:t>
      </w:r>
      <w:r>
        <w:rPr>
          <w:b/>
          <w:bCs/>
        </w:rPr>
        <w:t>“as open as possible, as closed as necessary.”</w:t>
      </w:r>
      <w:r>
        <w:t xml:space="preserve"> Stress-reference rules, predictor definitions, evaluation metrics and acceptance criteria will be pre-specified in D1.2, while D1.4 includes a model card documenting intended use, validation, uncertainty and limitations. Data and metadata will be managed according to FAIR principles, Sentinel-2 inputs originate from open Copernicus data, and both successful and unsuccessful transfer results will be reported. At least two open-access peer-reviewed papers are targeted. A Data Management Plan will be completed within the first six months, covering data standards, storage, access, sharing and reuse. Analysis code, metadata and non-sensitive derived outputs will be shared where institutional, commercial and IP rights permit; potentially protectable results will be assessed before public disclosure</w:t>
      </w:r>
    </w:p>
    <w:p w14:paraId="38587561"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Quality of the supervision, training and of the two-way transfer of knowledge between the researcher and the host</w:t>
      </w:r>
    </w:p>
    <w:p w14:paraId="349BEEA5" w14:textId="77777777" w:rsidR="005A31FB" w:rsidRDefault="00000000">
      <w:pPr>
        <w:pStyle w:val="FWBody"/>
      </w:pPr>
      <w:r>
        <w:rPr>
          <w:b/>
          <w:bCs/>
          <w:u w:val="single"/>
        </w:rPr>
        <w:t>Supervisory architecture and qualifications</w:t>
      </w:r>
      <w:r>
        <w:rPr>
          <w:b/>
          <w:bCs/>
        </w:rPr>
        <w:t>.</w:t>
      </w:r>
      <w:r>
        <w:t xml:space="preserve"> FIELDWISE is supported by complementary expertise in plant-stress physiology, predictive modelling and Earth observation. Primary supervision at the recruiting </w:t>
      </w:r>
      <w:proofErr w:type="spellStart"/>
      <w:r>
        <w:t>organisation</w:t>
      </w:r>
      <w:proofErr w:type="spellEnd"/>
      <w:r>
        <w:t xml:space="preserve">, HUN-REN ATK, is provided by </w:t>
      </w:r>
      <w:r>
        <w:rPr>
          <w:b/>
          <w:bCs/>
        </w:rPr>
        <w:t>Prof. Tibor Janda</w:t>
      </w:r>
      <w:r>
        <w:t xml:space="preserve">, Head of the Plant Physiology and Metabolomics Department at the Agricultural Institute. His expertise in plant physiology, abiotic stress, including drought, and stress metabolomics anchors interpretation of plant water-stress responses, the physiological-validation framework and </w:t>
      </w:r>
      <w:r>
        <w:lastRenderedPageBreak/>
        <w:t xml:space="preserve">the measurement </w:t>
      </w:r>
      <w:proofErr w:type="spellStart"/>
      <w:r>
        <w:t>programme</w:t>
      </w:r>
      <w:proofErr w:type="spellEnd"/>
      <w:r>
        <w:t xml:space="preserve">. </w:t>
      </w:r>
      <w:r>
        <w:rPr>
          <w:b/>
          <w:bCs/>
        </w:rPr>
        <w:t>Dr Roland Hollós</w:t>
      </w:r>
      <w:r>
        <w:t xml:space="preserve"> supports the predictive-modelling and machine-learning strand</w:t>
      </w:r>
      <w:r>
        <w:rPr>
          <w:rStyle w:val="Lbjegyzet-hivatkozs"/>
        </w:rPr>
        <w:footnoteReference w:id="5"/>
      </w:r>
      <w:r>
        <w:t xml:space="preserve">, including interpretable modelling, uncertainty analysis and leakage-safe validation. </w:t>
      </w:r>
      <w:r>
        <w:rPr>
          <w:b/>
          <w:bCs/>
        </w:rPr>
        <w:t>Prof. András Jung (ELTE, Institute of Cartography and Geoinformatics)</w:t>
      </w:r>
      <w:r>
        <w:t xml:space="preserve"> provides specialist co-supervision in field spectroscopy, hyperspectral imaging, geoinformatics, satellite Earth observation and sensing-scale transfer</w:t>
      </w:r>
      <w:r>
        <w:rPr>
          <w:rStyle w:val="Lbjegyzet-hivatkozs"/>
        </w:rPr>
        <w:footnoteReference w:id="6"/>
      </w:r>
      <w:r>
        <w:t xml:space="preserve">. MATE contributes the five-season controlled-irrigation processing-tomato archive and agronomic expertise through </w:t>
      </w:r>
      <w:r>
        <w:rPr>
          <w:b/>
          <w:bCs/>
        </w:rPr>
        <w:t>Dr Sándor Takács</w:t>
      </w:r>
      <w:r>
        <w:t xml:space="preserve">, including </w:t>
      </w:r>
      <w:proofErr w:type="spellStart"/>
      <w:r>
        <w:t>AquaCrop</w:t>
      </w:r>
      <w:proofErr w:type="spellEnd"/>
      <w:r>
        <w:t xml:space="preserve">-based irrigation and crop-water-stress methodology, complemented by precision-agriculture expertise from </w:t>
      </w:r>
      <w:r>
        <w:rPr>
          <w:b/>
          <w:bCs/>
        </w:rPr>
        <w:t>Prof. Gábor Milics</w:t>
      </w:r>
      <w:r>
        <w:t xml:space="preserve">. The host also provides demonstrated European-project experience: ATK coordinated the MSCA Individual Fellowship </w:t>
      </w:r>
      <w:r>
        <w:rPr>
          <w:b/>
          <w:bCs/>
        </w:rPr>
        <w:t>LANDRACES (752453)</w:t>
      </w:r>
      <w:r>
        <w:t xml:space="preserve"> and participates in Horizon Europe projects including </w:t>
      </w:r>
      <w:r>
        <w:rPr>
          <w:b/>
          <w:bCs/>
        </w:rPr>
        <w:t xml:space="preserve">COUSIN, AI4SoilHealth and </w:t>
      </w:r>
      <w:proofErr w:type="spellStart"/>
      <w:r>
        <w:rPr>
          <w:b/>
          <w:bCs/>
        </w:rPr>
        <w:t>TUdi</w:t>
      </w:r>
      <w:proofErr w:type="spellEnd"/>
      <w:r>
        <w:t>.</w:t>
      </w:r>
    </w:p>
    <w:p w14:paraId="5D1EF2B3" w14:textId="77777777" w:rsidR="005A31FB" w:rsidRDefault="00000000">
      <w:pPr>
        <w:pStyle w:val="FWBody"/>
        <w:spacing w:after="60"/>
      </w:pPr>
      <w:r>
        <w:rPr>
          <w:b/>
        </w:rPr>
        <w:t>Structured supervision and governance.</w:t>
      </w:r>
      <w:r>
        <w:t xml:space="preserve"> Supervision comprises regular one-to-one meetings with Prof. Janda, dedicated modelling/EO technical sessions with specialists, monthly written progress monitoring and quarterly Career Development Plan reviews. The </w:t>
      </w:r>
      <w:r>
        <w:rPr>
          <w:b/>
        </w:rPr>
        <w:t>Project Steering Group</w:t>
      </w:r>
      <w:r>
        <w:t>—fellow, primary supervisor, specialist co-supervisor/modelling expert and relevant partner contacts—reviews protocol/model freeze, prospective-field implementation, transfer-validation completion, MVP readiness and the non-academic placement. Pre-defined decision responsibilities and a two-step conflict-resolution route ensure continuity while protecting the fellow’s growing scientific independence.</w:t>
      </w:r>
    </w:p>
    <w:p w14:paraId="0751B72A" w14:textId="77777777" w:rsidR="005A31FB" w:rsidRDefault="00000000">
      <w:pPr>
        <w:pStyle w:val="FWBody"/>
        <w:spacing w:after="60"/>
      </w:pPr>
      <w:r>
        <w:rPr>
          <w:b/>
        </w:rPr>
        <w:t>Planned training activities and ELTE secondment.</w:t>
      </w:r>
      <w:r>
        <w:t xml:space="preserve"> Training is embedded in implementation. ATK deepens physiological water-stress interpretation, phenotyping, experimental design, predictive modelling, calibration and uncertainty analysis. A 12-month ELTE research secondment, distributed across the 24-month fellowship, provides advanced supervised training in hyperspectral-to-Sentinel </w:t>
      </w:r>
      <w:proofErr w:type="spellStart"/>
      <w:r>
        <w:t>harmonisation</w:t>
      </w:r>
      <w:proofErr w:type="spellEnd"/>
      <w:r>
        <w:t xml:space="preserve">, EO processing, geoinformatics and sensing-scale transfer, supporting early Sentinel-compatible predictor construction and later analysis of actual prospective-field Sentinel-2 observations. These activities advance the fellow toward an independent </w:t>
      </w:r>
      <w:r>
        <w:rPr>
          <w:b/>
        </w:rPr>
        <w:t>Agricultural Data Scientist</w:t>
      </w:r>
      <w:r>
        <w:t xml:space="preserve"> at the physiology–EO–predictive decision-support interface. Transferable skills include research integrity, open science/FAIR practice, responsible generative-AI use, grant writing, IP/exploitation, project management and science communication. Guest lectures and practical activities at MATE and, where feasible, Agricultural University–Plovdiv build on previous university teaching experience. The </w:t>
      </w:r>
      <w:r>
        <w:rPr>
          <w:b/>
        </w:rPr>
        <w:t>Career Development Plan (D5.1, M3)</w:t>
      </w:r>
      <w:r>
        <w:t xml:space="preserve"> consolidates the </w:t>
      </w:r>
      <w:proofErr w:type="spellStart"/>
      <w:r>
        <w:t>programme</w:t>
      </w:r>
      <w:proofErr w:type="spellEnd"/>
      <w:r>
        <w:t xml:space="preserve"> and is reviewed throughout the action.</w:t>
      </w:r>
    </w:p>
    <w:p w14:paraId="64EC7C94" w14:textId="77777777" w:rsidR="005A31FB" w:rsidRDefault="00000000">
      <w:pPr>
        <w:pStyle w:val="FWBody"/>
        <w:spacing w:after="60"/>
      </w:pPr>
      <w:r>
        <w:rPr>
          <w:b/>
        </w:rPr>
        <w:t>Two-way transfer of knowledge.</w:t>
      </w:r>
      <w:r>
        <w:t xml:space="preserve"> FIELDWISE connects internationally </w:t>
      </w:r>
      <w:proofErr w:type="spellStart"/>
      <w:r>
        <w:t>recognised</w:t>
      </w:r>
      <w:proofErr w:type="spellEnd"/>
      <w:r>
        <w:t xml:space="preserve"> plant-stress physiology, predictive-modelling, EO and precision-irrigation expertise. HUN-REN ATK contributes advanced abiotic-stress physiology, phenotyping and modelling; ELTE established hyperspectral-sensing, geoinformatics and satellite-EO expertise. The fellow contributes drought-stress physiology, remotely monitored plant-stress responses, field physiological phenotyping and interpretation under contrasting water availability, strengthening stress biology’s translation into irrigation decision support. Joint supervision, the distributed ELTE secondment, shared MATE-archive analysis, prospective field validation, teaching and co-authored publications reinforce exchange.</w:t>
      </w:r>
    </w:p>
    <w:p w14:paraId="5F742E0E" w14:textId="77777777" w:rsidR="005A31FB" w:rsidRDefault="00000000">
      <w:pPr>
        <w:pStyle w:val="FWBody"/>
        <w:spacing w:after="60"/>
      </w:pPr>
      <w:r>
        <w:rPr>
          <w:b/>
        </w:rPr>
        <w:t>Rationale and added value of the non-academic placement.</w:t>
      </w:r>
      <w:r>
        <w:t xml:space="preserve"> The six-month </w:t>
      </w:r>
      <w:proofErr w:type="spellStart"/>
      <w:r>
        <w:t>AgroVIR</w:t>
      </w:r>
      <w:proofErr w:type="spellEnd"/>
      <w:r>
        <w:t xml:space="preserve"> placement (M25–M30) is an integral inter-sectoral component of FIELDWISE, providing competences not fully available academically: </w:t>
      </w:r>
      <w:proofErr w:type="spellStart"/>
      <w:r>
        <w:t>DrR</w:t>
      </w:r>
      <w:proofErr w:type="spellEnd"/>
      <w:r>
        <w:t xml:space="preserve"> web-MVP operational evaluation, FMIS requirements engineering, interoperability assessment, user-oriented testing and exploitation planning. </w:t>
      </w:r>
      <w:proofErr w:type="spellStart"/>
      <w:r>
        <w:t>AgroVIR</w:t>
      </w:r>
      <w:proofErr w:type="spellEnd"/>
      <w:r>
        <w:t xml:space="preserve"> supplies requirements feedback during the fellowship; the placement adds intensive exposure to production agricultural software and decision-support workflows. Structured technical reviews assess usability, data-flow requirements, missing-data </w:t>
      </w:r>
      <w:proofErr w:type="spellStart"/>
      <w:r>
        <w:t>behaviour</w:t>
      </w:r>
      <w:proofErr w:type="spellEnd"/>
      <w:r>
        <w:t xml:space="preserve">, interoperability and the pathway toward future FMIS integration. Commercially sensitive evaluation uses protected, coded or appropriately aggregated data. Confidentiality, </w:t>
      </w:r>
      <w:proofErr w:type="spellStart"/>
      <w:r>
        <w:t>DrR</w:t>
      </w:r>
      <w:proofErr w:type="spellEnd"/>
      <w:r>
        <w:t xml:space="preserve"> background access, ownership/use of new results and exploitation arrangements will be defined in advance under the Grant Agreement and relevant institutional/contractual arrangements.</w:t>
      </w:r>
    </w:p>
    <w:p w14:paraId="0717A555"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1.4</w:t>
      </w:r>
      <w:r>
        <w:rPr>
          <w:rFonts w:ascii="Times New Roman" w:hAnsi="Times New Roman"/>
          <w:sz w:val="24"/>
          <w:szCs w:val="24"/>
        </w:rPr>
        <w:tab/>
      </w:r>
      <w:r>
        <w:rPr>
          <w:rFonts w:ascii="Times New Roman" w:hAnsi="Times New Roman"/>
          <w:b/>
          <w:bCs/>
          <w:i/>
          <w:iCs/>
          <w:sz w:val="24"/>
          <w:szCs w:val="24"/>
          <w:lang w:val="en-GB"/>
        </w:rPr>
        <w:t>Quality and appropriateness of the researcher’s professional experience, competences and skills</w:t>
      </w:r>
    </w:p>
    <w:p w14:paraId="312E63FA" w14:textId="77777777" w:rsidR="005A31FB" w:rsidRDefault="00000000">
      <w:pPr>
        <w:pStyle w:val="FWBody"/>
      </w:pPr>
      <w:r>
        <w:rPr>
          <w:b/>
          <w:bCs/>
          <w:u w:val="single"/>
        </w:rPr>
        <w:t>A profile matched to the project’s interdisciplinary chain.</w:t>
      </w:r>
      <w:r>
        <w:t xml:space="preserve"> Dr. Rositsa Cholakova (publishing before 2020 as Rositsa Cholakova-</w:t>
      </w:r>
      <w:proofErr w:type="spellStart"/>
      <w:r>
        <w:t>Bimbalova</w:t>
      </w:r>
      <w:proofErr w:type="spellEnd"/>
      <w:r>
        <w:t>) holds BSc and MSc degrees in Plant Protection and a PhD in Plant Physiology (2020, Agricultural University of Plovdiv). She was Assistant Professor in Plant Physiology and Plant Stress Physiology in Plovdiv (2015–2020) and is currently Chief Assistant Professor at the Maritsa Vegetable Crops Research Institute, where her work addresses abiotic stress and physiological phenotyping. Her expertise includes drought-stress physiology, chlorophyll fluorescence, stomatal responses, pigment status, leaf water status and field-</w:t>
      </w:r>
      <w:r>
        <w:lastRenderedPageBreak/>
        <w:t xml:space="preserve">based stress assessment. This background is central to FIELDWISE because it enables remotely sensed and model-derived signals to be interpreted against actual plant physiological responses rather than treated as stress proxies by default. </w:t>
      </w:r>
      <w:r>
        <w:rPr>
          <w:b/>
          <w:bCs/>
        </w:rPr>
        <w:t>Data-science and Earth-observation competences already in place.</w:t>
      </w:r>
      <w:r>
        <w:t xml:space="preserve"> The fellow has deliberately expanded this physiological background toward agricultural data science and remote sensing. Her experience includes agricultural data work at </w:t>
      </w:r>
      <w:proofErr w:type="spellStart"/>
      <w:r>
        <w:rPr>
          <w:b/>
          <w:bCs/>
        </w:rPr>
        <w:t>Kleffmann</w:t>
      </w:r>
      <w:proofErr w:type="spellEnd"/>
      <w:r>
        <w:rPr>
          <w:b/>
          <w:bCs/>
        </w:rPr>
        <w:t xml:space="preserve"> Group Bulgaria</w:t>
      </w:r>
      <w:r>
        <w:t xml:space="preserve">, formal upskill training in </w:t>
      </w:r>
      <w:r>
        <w:rPr>
          <w:b/>
          <w:bCs/>
        </w:rPr>
        <w:t>Artificial Intelligence, Data Science, Machine Learning and Python</w:t>
      </w:r>
      <w:r>
        <w:t xml:space="preserve">, and practical use of R, QGIS, Google Earth Engine, SNAP and satellite/UAV data. She has undertaken a COST PANGEOS Short-Term Scientific Mission and Erasmus+ training at MATE, an ELTE traineeship in geoinformatics/remote sensing, and further international mobility at the University of Novi Sad. She holds an EU A1/A3 drone-pilot qualification, is holding Environmental Engineering Master’s degree, and has independently developed the pre-existing </w:t>
      </w:r>
      <w:proofErr w:type="spellStart"/>
      <w:r>
        <w:rPr>
          <w:b/>
          <w:bCs/>
        </w:rPr>
        <w:t>DrR</w:t>
      </w:r>
      <w:proofErr w:type="spellEnd"/>
      <w:r>
        <w:rPr>
          <w:b/>
          <w:bCs/>
        </w:rPr>
        <w:t xml:space="preserve"> – Digital Agronomist</w:t>
      </w:r>
      <w:r>
        <w:t xml:space="preserve"> desktop research prototype. Five years of university teaching in Bulgarian and English provide an additional foundation in communication, mentoring and knowledge transfer. </w:t>
      </w:r>
      <w:r>
        <w:rPr>
          <w:b/>
          <w:bCs/>
        </w:rPr>
        <w:t>Fit and development potential.</w:t>
      </w:r>
      <w:r>
        <w:t xml:space="preserve"> The fellow already combines the biological, agronomic and technical competences required to lead FIELDWISE, while the fellowship addresses the next step in her progression: consolidating advanced predictive modelling, uncertainty analysis, leakage-safe validation and transfer across years, sensing scales and commercial-field conditions. The 12-month distributed ELTE secondment and specialist supervision at HUN-REN ATK are therefore designed to deepen an existing interdisciplinary trajectory rather than create it from zero. Following a full-time-parenting career break (2021–2024), she has re-entered research with a focused transition toward an independent </w:t>
      </w:r>
      <w:r>
        <w:rPr>
          <w:b/>
          <w:bCs/>
        </w:rPr>
        <w:t>Agricultural Data Scientist working at the interface of plant physiology, Earth observation and irrigation decision support</w:t>
      </w:r>
      <w:r>
        <w:t>.</w:t>
      </w:r>
    </w:p>
    <w:p w14:paraId="5BBE4D34" w14:textId="77777777" w:rsidR="005A31FB" w:rsidRDefault="00000000">
      <w:pPr>
        <w:pStyle w:val="Cmsor2"/>
        <w:rPr>
          <w:rFonts w:ascii="Times New Roman" w:hAnsi="Times New Roman"/>
          <w:lang w:val="en-GB"/>
        </w:rPr>
      </w:pPr>
      <w:r>
        <w:rPr>
          <w:rFonts w:ascii="Times New Roman" w:hAnsi="Times New Roman"/>
          <w:lang w:val="en-GB"/>
        </w:rPr>
        <w:t>2.</w:t>
      </w:r>
      <w:r>
        <w:rPr>
          <w:rFonts w:ascii="Times New Roman" w:hAnsi="Times New Roman"/>
          <w:lang w:val="en-GB"/>
        </w:rPr>
        <w:tab/>
        <w:t xml:space="preserve">Impact </w:t>
      </w:r>
    </w:p>
    <w:p w14:paraId="2EA4A67F"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2.1</w:t>
      </w:r>
      <w:r>
        <w:rPr>
          <w:rFonts w:ascii="Times New Roman" w:hAnsi="Times New Roman"/>
          <w:b/>
          <w:bCs/>
          <w:i/>
          <w:iCs/>
          <w:sz w:val="24"/>
          <w:szCs w:val="24"/>
          <w:lang w:val="en-GB"/>
        </w:rPr>
        <w:tab/>
        <w:t>Credibility of the measures to enhance the career perspectives and employability of the researcher and contribution to his/her skills development</w:t>
      </w:r>
    </w:p>
    <w:p w14:paraId="7D943179" w14:textId="77777777" w:rsidR="005A31FB" w:rsidRDefault="00000000">
      <w:pPr>
        <w:pStyle w:val="FWBody"/>
      </w:pPr>
      <w:r>
        <w:t xml:space="preserve">FIELDWISE is designed to consolidate the fellow’s transition from plant-stress physiologist and agronomist to an </w:t>
      </w:r>
      <w:r>
        <w:rPr>
          <w:b/>
          <w:bCs/>
        </w:rPr>
        <w:t>independent Agricultural Data Scientist working at the interface of plant physiology, Earth observation, predictive modelling and irrigation decision support</w:t>
      </w:r>
      <w:r>
        <w:t xml:space="preserve">. The fellowship builds on competences already established in physiology, agronomy, EO and data analysis and adds the advanced capabilities required for scientific independence: leakage-safe predictive modelling, uncertainty and calibration, sensing-scale transfer, operational EO workflows, research-to-software translation and inter-sectoral exploitation. </w:t>
      </w:r>
    </w:p>
    <w:p w14:paraId="393AD8E8" w14:textId="77777777" w:rsidR="005A31FB" w:rsidRDefault="00000000">
      <w:pPr>
        <w:pStyle w:val="FWBody"/>
      </w:pPr>
      <w:r>
        <w:rPr>
          <w:b/>
        </w:rPr>
        <w:t>Two realistic post-fellowship trajectories anchor this development.</w:t>
      </w:r>
      <w:r>
        <w:t xml:space="preserve"> The first is an independent research/data-science role in European academia, research </w:t>
      </w:r>
      <w:proofErr w:type="spellStart"/>
      <w:r>
        <w:t>organisations</w:t>
      </w:r>
      <w:proofErr w:type="spellEnd"/>
      <w:r>
        <w:t xml:space="preserve"> or </w:t>
      </w:r>
      <w:proofErr w:type="spellStart"/>
      <w:r>
        <w:t>agri</w:t>
      </w:r>
      <w:proofErr w:type="spellEnd"/>
      <w:r>
        <w:t xml:space="preserve">-technology, supported by a demonstrable record spanning physiological validation, predictive modelling, Sentinel-based field transfer and industrial evaluation. The second is development of an independent research and innovation line in Bulgaria, extending the FIELDWISE methodology to further irrigated high-value crops and transferring the acquired competences through MVCRI. Progress is tracked through the Career Development Plan and career KPI </w:t>
      </w:r>
      <w:r>
        <w:rPr>
          <w:b/>
          <w:bCs/>
        </w:rPr>
        <w:t>K11</w:t>
      </w:r>
      <w:r>
        <w:t>.</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972"/>
        <w:gridCol w:w="5368"/>
        <w:gridCol w:w="2864"/>
      </w:tblGrid>
      <w:tr w:rsidR="005A31FB" w14:paraId="3749D1FC" w14:textId="77777777">
        <w:trPr>
          <w:cantSplit/>
          <w:tblHeader/>
        </w:trPr>
        <w:tc>
          <w:tcPr>
            <w:tcW w:w="1972" w:type="dxa"/>
            <w:tcBorders>
              <w:top w:val="single" w:sz="4" w:space="0" w:color="000000"/>
              <w:left w:val="single" w:sz="4" w:space="0" w:color="000000"/>
              <w:bottom w:val="single" w:sz="4" w:space="0" w:color="000000"/>
              <w:right w:val="single" w:sz="4" w:space="0" w:color="000000"/>
            </w:tcBorders>
            <w:vAlign w:val="center"/>
          </w:tcPr>
          <w:p w14:paraId="21A01021" w14:textId="77777777" w:rsidR="005A31FB" w:rsidRDefault="00000000">
            <w:pPr>
              <w:pStyle w:val="FWTable"/>
              <w:keepNext/>
              <w:rPr>
                <w:b/>
                <w:bCs/>
              </w:rPr>
            </w:pPr>
            <w:r>
              <w:rPr>
                <w:b/>
                <w:bCs/>
              </w:rPr>
              <w:t>Measure</w:t>
            </w:r>
          </w:p>
        </w:tc>
        <w:tc>
          <w:tcPr>
            <w:tcW w:w="5368" w:type="dxa"/>
            <w:tcBorders>
              <w:top w:val="single" w:sz="4" w:space="0" w:color="000000"/>
              <w:left w:val="single" w:sz="4" w:space="0" w:color="000000"/>
              <w:bottom w:val="single" w:sz="4" w:space="0" w:color="000000"/>
              <w:right w:val="single" w:sz="4" w:space="0" w:color="000000"/>
            </w:tcBorders>
            <w:vAlign w:val="center"/>
          </w:tcPr>
          <w:p w14:paraId="14977F48" w14:textId="77777777" w:rsidR="005A31FB" w:rsidRDefault="00000000">
            <w:pPr>
              <w:pStyle w:val="FWTable"/>
              <w:keepNext/>
              <w:rPr>
                <w:b/>
                <w:bCs/>
              </w:rPr>
            </w:pPr>
            <w:r>
              <w:rPr>
                <w:b/>
                <w:bCs/>
              </w:rPr>
              <w:t>Skills and employability mechanism</w:t>
            </w:r>
          </w:p>
        </w:tc>
        <w:tc>
          <w:tcPr>
            <w:tcW w:w="2864" w:type="dxa"/>
            <w:tcBorders>
              <w:top w:val="single" w:sz="4" w:space="0" w:color="000000"/>
              <w:left w:val="single" w:sz="4" w:space="0" w:color="000000"/>
              <w:bottom w:val="single" w:sz="4" w:space="0" w:color="000000"/>
              <w:right w:val="single" w:sz="4" w:space="0" w:color="000000"/>
            </w:tcBorders>
            <w:vAlign w:val="center"/>
          </w:tcPr>
          <w:p w14:paraId="12FAB6F7" w14:textId="77777777" w:rsidR="005A31FB" w:rsidRDefault="00000000">
            <w:pPr>
              <w:pStyle w:val="FWTable"/>
              <w:keepNext/>
              <w:rPr>
                <w:b/>
                <w:bCs/>
              </w:rPr>
            </w:pPr>
            <w:r>
              <w:rPr>
                <w:b/>
                <w:bCs/>
              </w:rPr>
              <w:t>Evidence</w:t>
            </w:r>
          </w:p>
        </w:tc>
      </w:tr>
      <w:tr w:rsidR="005A31FB" w14:paraId="147F851B"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2609897D" w14:textId="77777777" w:rsidR="005A31FB" w:rsidRDefault="00000000">
            <w:pPr>
              <w:pStyle w:val="FWTable"/>
              <w:rPr>
                <w:b/>
                <w:bCs/>
              </w:rPr>
            </w:pPr>
            <w:r>
              <w:rPr>
                <w:b/>
                <w:bCs/>
              </w:rPr>
              <w:t>Career Development Plan</w:t>
            </w:r>
          </w:p>
        </w:tc>
        <w:tc>
          <w:tcPr>
            <w:tcW w:w="5368" w:type="dxa"/>
            <w:tcBorders>
              <w:top w:val="single" w:sz="4" w:space="0" w:color="000000"/>
              <w:left w:val="single" w:sz="4" w:space="0" w:color="000000"/>
              <w:bottom w:val="single" w:sz="4" w:space="0" w:color="000000"/>
              <w:right w:val="single" w:sz="4" w:space="0" w:color="000000"/>
            </w:tcBorders>
            <w:vAlign w:val="center"/>
          </w:tcPr>
          <w:p w14:paraId="56EC4B30" w14:textId="77777777" w:rsidR="005A31FB" w:rsidRDefault="00000000">
            <w:pPr>
              <w:pStyle w:val="FWTable"/>
            </w:pPr>
            <w:r>
              <w:t>Co-developed with the supervisors; translates career objectives into technical training, publications, teaching, networking, leadership and open-science actions, with progress reviewed at major project transitions.</w:t>
            </w:r>
          </w:p>
        </w:tc>
        <w:tc>
          <w:tcPr>
            <w:tcW w:w="2864" w:type="dxa"/>
            <w:tcBorders>
              <w:top w:val="single" w:sz="4" w:space="0" w:color="000000"/>
              <w:left w:val="single" w:sz="4" w:space="0" w:color="000000"/>
              <w:bottom w:val="single" w:sz="4" w:space="0" w:color="000000"/>
              <w:right w:val="single" w:sz="4" w:space="0" w:color="000000"/>
            </w:tcBorders>
            <w:vAlign w:val="center"/>
          </w:tcPr>
          <w:p w14:paraId="420D54EB" w14:textId="77777777" w:rsidR="005A31FB" w:rsidRDefault="00000000">
            <w:pPr>
              <w:pStyle w:val="FWTable"/>
            </w:pPr>
            <w:r>
              <w:t>D5.1 (M3); reviews M3/M12/M21/M24/M27; K11</w:t>
            </w:r>
          </w:p>
        </w:tc>
      </w:tr>
      <w:tr w:rsidR="005A31FB" w14:paraId="7236B930"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7B220617" w14:textId="77777777" w:rsidR="005A31FB" w:rsidRDefault="00000000">
            <w:pPr>
              <w:pStyle w:val="FWTable"/>
              <w:rPr>
                <w:b/>
                <w:bCs/>
              </w:rPr>
            </w:pPr>
            <w:r>
              <w:rPr>
                <w:b/>
                <w:bCs/>
              </w:rPr>
              <w:t>ATK scientific and modelling training</w:t>
            </w:r>
          </w:p>
        </w:tc>
        <w:tc>
          <w:tcPr>
            <w:tcW w:w="5368" w:type="dxa"/>
            <w:tcBorders>
              <w:top w:val="single" w:sz="4" w:space="0" w:color="000000"/>
              <w:left w:val="single" w:sz="4" w:space="0" w:color="000000"/>
              <w:bottom w:val="single" w:sz="4" w:space="0" w:color="000000"/>
              <w:right w:val="single" w:sz="4" w:space="0" w:color="000000"/>
            </w:tcBorders>
            <w:vAlign w:val="center"/>
          </w:tcPr>
          <w:p w14:paraId="6350A3C7" w14:textId="77777777" w:rsidR="005A31FB" w:rsidRDefault="00000000">
            <w:pPr>
              <w:pStyle w:val="FWTable"/>
            </w:pPr>
            <w:r>
              <w:t>Advanced plant-stress interpretation, experimental design, interpretable predictive modelling, leakage-safe validation, calibration and uncertainty analysis.</w:t>
            </w:r>
          </w:p>
        </w:tc>
        <w:tc>
          <w:tcPr>
            <w:tcW w:w="2864" w:type="dxa"/>
            <w:tcBorders>
              <w:top w:val="single" w:sz="4" w:space="0" w:color="000000"/>
              <w:left w:val="single" w:sz="4" w:space="0" w:color="000000"/>
              <w:bottom w:val="single" w:sz="4" w:space="0" w:color="000000"/>
              <w:right w:val="single" w:sz="4" w:space="0" w:color="000000"/>
            </w:tcBorders>
            <w:vAlign w:val="center"/>
          </w:tcPr>
          <w:p w14:paraId="27A7FA36" w14:textId="77777777" w:rsidR="005A31FB" w:rsidRDefault="00000000">
            <w:pPr>
              <w:pStyle w:val="FWTable"/>
            </w:pPr>
            <w:r>
              <w:t>Supervision records; model card; D1.4</w:t>
            </w:r>
          </w:p>
        </w:tc>
      </w:tr>
      <w:tr w:rsidR="005A31FB" w14:paraId="6B011C8E"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386B62E5" w14:textId="77777777" w:rsidR="005A31FB" w:rsidRDefault="00000000">
            <w:pPr>
              <w:pStyle w:val="FWTable"/>
              <w:rPr>
                <w:b/>
                <w:bCs/>
              </w:rPr>
            </w:pPr>
            <w:r>
              <w:rPr>
                <w:b/>
                <w:bCs/>
              </w:rPr>
              <w:t>12-month distributed ELTE secondment</w:t>
            </w:r>
          </w:p>
        </w:tc>
        <w:tc>
          <w:tcPr>
            <w:tcW w:w="5368" w:type="dxa"/>
            <w:tcBorders>
              <w:top w:val="single" w:sz="4" w:space="0" w:color="000000"/>
              <w:left w:val="single" w:sz="4" w:space="0" w:color="000000"/>
              <w:bottom w:val="single" w:sz="4" w:space="0" w:color="000000"/>
              <w:right w:val="single" w:sz="4" w:space="0" w:color="000000"/>
            </w:tcBorders>
            <w:vAlign w:val="center"/>
          </w:tcPr>
          <w:p w14:paraId="0ABDB9CB" w14:textId="77777777" w:rsidR="005A31FB" w:rsidRDefault="00000000">
            <w:pPr>
              <w:pStyle w:val="FWTable"/>
            </w:pPr>
            <w:r>
              <w:t xml:space="preserve">Advanced hyperspectral-to-Sentinel </w:t>
            </w:r>
            <w:proofErr w:type="spellStart"/>
            <w:r>
              <w:t>harmonisation</w:t>
            </w:r>
            <w:proofErr w:type="spellEnd"/>
            <w:r>
              <w:t>, geoinformatics, EO processing and sensing-scale transfer, applied first to historical predictor construction and later to real Sentinel-2 field observations.</w:t>
            </w:r>
          </w:p>
        </w:tc>
        <w:tc>
          <w:tcPr>
            <w:tcW w:w="2864" w:type="dxa"/>
            <w:tcBorders>
              <w:top w:val="single" w:sz="4" w:space="0" w:color="000000"/>
              <w:left w:val="single" w:sz="4" w:space="0" w:color="000000"/>
              <w:bottom w:val="single" w:sz="4" w:space="0" w:color="000000"/>
              <w:right w:val="single" w:sz="4" w:space="0" w:color="000000"/>
            </w:tcBorders>
            <w:vAlign w:val="center"/>
          </w:tcPr>
          <w:p w14:paraId="2B8D68FB" w14:textId="77777777" w:rsidR="005A31FB" w:rsidRDefault="00000000">
            <w:pPr>
              <w:pStyle w:val="FWTable"/>
            </w:pPr>
            <w:r>
              <w:t>Secondment activities; CDP; EO/transfer outputs</w:t>
            </w:r>
          </w:p>
        </w:tc>
      </w:tr>
      <w:tr w:rsidR="005A31FB" w14:paraId="63FE02A3"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24B15658" w14:textId="77777777" w:rsidR="005A31FB" w:rsidRDefault="00000000">
            <w:pPr>
              <w:pStyle w:val="FWTable"/>
              <w:rPr>
                <w:b/>
                <w:bCs/>
              </w:rPr>
            </w:pPr>
            <w:r>
              <w:rPr>
                <w:b/>
                <w:bCs/>
              </w:rPr>
              <w:t>Transferable-skills portfolio</w:t>
            </w:r>
          </w:p>
        </w:tc>
        <w:tc>
          <w:tcPr>
            <w:tcW w:w="5368" w:type="dxa"/>
            <w:tcBorders>
              <w:top w:val="single" w:sz="4" w:space="0" w:color="000000"/>
              <w:left w:val="single" w:sz="4" w:space="0" w:color="000000"/>
              <w:bottom w:val="single" w:sz="4" w:space="0" w:color="000000"/>
              <w:right w:val="single" w:sz="4" w:space="0" w:color="000000"/>
            </w:tcBorders>
            <w:vAlign w:val="center"/>
          </w:tcPr>
          <w:p w14:paraId="424A3108" w14:textId="77777777" w:rsidR="005A31FB" w:rsidRDefault="00000000">
            <w:pPr>
              <w:pStyle w:val="FWTable"/>
            </w:pPr>
            <w:r>
              <w:t>Research integrity, FAIR/open science, responsible AI use, grant writing, IP/exploitation, project management and science communication, exercised directly through FIELDWISE.</w:t>
            </w:r>
          </w:p>
        </w:tc>
        <w:tc>
          <w:tcPr>
            <w:tcW w:w="2864" w:type="dxa"/>
            <w:tcBorders>
              <w:top w:val="single" w:sz="4" w:space="0" w:color="000000"/>
              <w:left w:val="single" w:sz="4" w:space="0" w:color="000000"/>
              <w:bottom w:val="single" w:sz="4" w:space="0" w:color="000000"/>
              <w:right w:val="single" w:sz="4" w:space="0" w:color="000000"/>
            </w:tcBorders>
            <w:vAlign w:val="center"/>
          </w:tcPr>
          <w:p w14:paraId="3347C930" w14:textId="77777777" w:rsidR="005A31FB" w:rsidRDefault="00000000">
            <w:pPr>
              <w:pStyle w:val="FWTable"/>
            </w:pPr>
            <w:r>
              <w:t>CDP-tracked training and project outputs</w:t>
            </w:r>
          </w:p>
        </w:tc>
      </w:tr>
      <w:tr w:rsidR="005A31FB" w14:paraId="19530C82"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22B81D01" w14:textId="77777777" w:rsidR="005A31FB" w:rsidRDefault="00000000">
            <w:pPr>
              <w:pStyle w:val="FWTable"/>
              <w:rPr>
                <w:b/>
                <w:bCs/>
              </w:rPr>
            </w:pPr>
            <w:r>
              <w:rPr>
                <w:b/>
                <w:bCs/>
              </w:rPr>
              <w:lastRenderedPageBreak/>
              <w:t>Non-academic placement</w:t>
            </w:r>
          </w:p>
        </w:tc>
        <w:tc>
          <w:tcPr>
            <w:tcW w:w="5368" w:type="dxa"/>
            <w:tcBorders>
              <w:top w:val="single" w:sz="4" w:space="0" w:color="000000"/>
              <w:left w:val="single" w:sz="4" w:space="0" w:color="000000"/>
              <w:bottom w:val="single" w:sz="4" w:space="0" w:color="000000"/>
              <w:right w:val="single" w:sz="4" w:space="0" w:color="000000"/>
            </w:tcBorders>
            <w:vAlign w:val="center"/>
          </w:tcPr>
          <w:p w14:paraId="0C3D7786" w14:textId="77777777" w:rsidR="005A31FB" w:rsidRDefault="00000000">
            <w:pPr>
              <w:pStyle w:val="FWTable"/>
            </w:pPr>
            <w:r>
              <w:t xml:space="preserve">Six months at </w:t>
            </w:r>
            <w:proofErr w:type="spellStart"/>
            <w:r>
              <w:t>AgroVIR</w:t>
            </w:r>
            <w:proofErr w:type="spellEnd"/>
            <w:r>
              <w:t xml:space="preserve"> (M25–M30) developing competence in FMIS requirements, interoperability, user-oriented evaluation and exploitation planning.</w:t>
            </w:r>
          </w:p>
        </w:tc>
        <w:tc>
          <w:tcPr>
            <w:tcW w:w="2864" w:type="dxa"/>
            <w:tcBorders>
              <w:top w:val="single" w:sz="4" w:space="0" w:color="000000"/>
              <w:left w:val="single" w:sz="4" w:space="0" w:color="000000"/>
              <w:bottom w:val="single" w:sz="4" w:space="0" w:color="000000"/>
              <w:right w:val="single" w:sz="4" w:space="0" w:color="000000"/>
            </w:tcBorders>
            <w:vAlign w:val="center"/>
          </w:tcPr>
          <w:p w14:paraId="2D1F0016" w14:textId="77777777" w:rsidR="005A31FB" w:rsidRDefault="00000000">
            <w:pPr>
              <w:pStyle w:val="FWTable"/>
            </w:pPr>
            <w:r>
              <w:t>D4.1–D4.2 (M30)</w:t>
            </w:r>
          </w:p>
        </w:tc>
      </w:tr>
      <w:tr w:rsidR="005A31FB" w14:paraId="1E3289E0" w14:textId="77777777">
        <w:trPr>
          <w:cantSplit/>
        </w:trPr>
        <w:tc>
          <w:tcPr>
            <w:tcW w:w="1972" w:type="dxa"/>
            <w:tcBorders>
              <w:top w:val="single" w:sz="4" w:space="0" w:color="000000"/>
              <w:left w:val="single" w:sz="4" w:space="0" w:color="000000"/>
              <w:bottom w:val="single" w:sz="4" w:space="0" w:color="000000"/>
              <w:right w:val="single" w:sz="4" w:space="0" w:color="000000"/>
            </w:tcBorders>
            <w:vAlign w:val="center"/>
          </w:tcPr>
          <w:p w14:paraId="221399C4" w14:textId="77777777" w:rsidR="005A31FB" w:rsidRDefault="00000000">
            <w:pPr>
              <w:pStyle w:val="FWTable"/>
              <w:rPr>
                <w:b/>
                <w:bCs/>
              </w:rPr>
            </w:pPr>
            <w:r>
              <w:rPr>
                <w:b/>
                <w:bCs/>
              </w:rPr>
              <w:t>Scientific visibility and leadership</w:t>
            </w:r>
          </w:p>
        </w:tc>
        <w:tc>
          <w:tcPr>
            <w:tcW w:w="5368" w:type="dxa"/>
            <w:tcBorders>
              <w:top w:val="single" w:sz="4" w:space="0" w:color="000000"/>
              <w:left w:val="single" w:sz="4" w:space="0" w:color="000000"/>
              <w:bottom w:val="single" w:sz="4" w:space="0" w:color="000000"/>
              <w:right w:val="single" w:sz="4" w:space="0" w:color="000000"/>
            </w:tcBorders>
            <w:vAlign w:val="center"/>
          </w:tcPr>
          <w:p w14:paraId="64FEB311" w14:textId="77777777" w:rsidR="005A31FB" w:rsidRDefault="00000000">
            <w:pPr>
              <w:pStyle w:val="FWTable"/>
            </w:pPr>
            <w:r>
              <w:t>Co-authored publications, conference presentations, seminars and teaching activities strengthen international visibility, communication, network building and future supervision capacity.</w:t>
            </w:r>
          </w:p>
        </w:tc>
        <w:tc>
          <w:tcPr>
            <w:tcW w:w="2864" w:type="dxa"/>
            <w:tcBorders>
              <w:top w:val="single" w:sz="4" w:space="0" w:color="000000"/>
              <w:left w:val="single" w:sz="4" w:space="0" w:color="000000"/>
              <w:bottom w:val="single" w:sz="4" w:space="0" w:color="000000"/>
              <w:right w:val="single" w:sz="4" w:space="0" w:color="000000"/>
            </w:tcBorders>
            <w:vAlign w:val="center"/>
          </w:tcPr>
          <w:p w14:paraId="1A287C3A" w14:textId="77777777" w:rsidR="005A31FB" w:rsidRDefault="00000000">
            <w:pPr>
              <w:pStyle w:val="FWTable"/>
            </w:pPr>
            <w:r>
              <w:t>≥2 manuscripts; conference/teaching outputs</w:t>
            </w:r>
          </w:p>
        </w:tc>
      </w:tr>
    </w:tbl>
    <w:p w14:paraId="13E010D2" w14:textId="77777777" w:rsidR="005A31FB" w:rsidRDefault="00000000">
      <w:pPr>
        <w:pStyle w:val="FWBody"/>
      </w:pPr>
      <w:r>
        <w:t xml:space="preserve">By completion, the fellow will have taken one research concept through </w:t>
      </w:r>
      <w:r>
        <w:rPr>
          <w:rStyle w:val="Kiemels2"/>
        </w:rPr>
        <w:t xml:space="preserve">biological definition, historical-data </w:t>
      </w:r>
      <w:proofErr w:type="spellStart"/>
      <w:r>
        <w:rPr>
          <w:b/>
          <w:bCs/>
        </w:rPr>
        <w:t>harmonisation</w:t>
      </w:r>
      <w:proofErr w:type="spellEnd"/>
      <w:r>
        <w:rPr>
          <w:b/>
          <w:bCs/>
        </w:rPr>
        <w:t>, predictive modelling, unseen-year validation, prospective satellite-based field validation, software translation and industrial evaluation</w:t>
      </w:r>
      <w:r>
        <w:t xml:space="preserve">. This combination is uncommon within a single researcher profile and strengthens employability across academic plant/EO research, agricultural data science and </w:t>
      </w:r>
      <w:proofErr w:type="spellStart"/>
      <w:r>
        <w:t>agri</w:t>
      </w:r>
      <w:proofErr w:type="spellEnd"/>
      <w:r>
        <w:t xml:space="preserve">-technology. The 12-month ELTE secondment adds sustained inter-institutional experience and EO </w:t>
      </w:r>
      <w:proofErr w:type="spellStart"/>
      <w:r>
        <w:t>specialisation</w:t>
      </w:r>
      <w:proofErr w:type="spellEnd"/>
      <w:r>
        <w:t xml:space="preserve">, while the </w:t>
      </w:r>
      <w:proofErr w:type="spellStart"/>
      <w:r>
        <w:t>AgroVIR</w:t>
      </w:r>
      <w:proofErr w:type="spellEnd"/>
      <w:r>
        <w:t xml:space="preserve"> placement provides direct non-academic experience. Together with the FIELDWISE publication, software and transfer-validation record, these measures provide concrete evidence of progression toward research independence rather than training participation alone.</w:t>
      </w:r>
    </w:p>
    <w:p w14:paraId="15F215D8"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2.2</w:t>
      </w:r>
      <w:r>
        <w:rPr>
          <w:rFonts w:ascii="Times New Roman" w:hAnsi="Times New Roman"/>
          <w:sz w:val="24"/>
          <w:szCs w:val="24"/>
        </w:rPr>
        <w:tab/>
      </w:r>
      <w:r>
        <w:rPr>
          <w:rFonts w:ascii="Times New Roman" w:hAnsi="Times New Roman"/>
          <w:b/>
          <w:bCs/>
          <w:i/>
          <w:iCs/>
          <w:sz w:val="24"/>
          <w:szCs w:val="24"/>
          <w:lang w:val="en-GB"/>
        </w:rPr>
        <w:t xml:space="preserve">Suitability and quality of the measures to maximise expected outcomes and impacts, as set out in the dissemination and exploitation plan, including communication activities </w:t>
      </w:r>
    </w:p>
    <w:p w14:paraId="033CB2E0" w14:textId="77777777" w:rsidR="005A31FB" w:rsidRDefault="00000000">
      <w:pPr>
        <w:pStyle w:val="FWBody"/>
      </w:pPr>
      <w:r>
        <w:t xml:space="preserve">FIELDWISE uses a targeted strategy proportionate to a single-fellow action, progressing from </w:t>
      </w:r>
      <w:r>
        <w:rPr>
          <w:rStyle w:val="Kiemels2"/>
        </w:rPr>
        <w:t>scientific dissemination → practitioner communication → operational and entrepreneurial exploitation</w:t>
      </w:r>
      <w:r>
        <w:t>. Target groups are research communities, growers and advisors, FMIS/</w:t>
      </w:r>
      <w:proofErr w:type="spellStart"/>
      <w:r>
        <w:t>agri</w:t>
      </w:r>
      <w:proofErr w:type="spellEnd"/>
      <w:r>
        <w:t>-software and technology-transfer actors, students and the wider public.</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747"/>
        <w:gridCol w:w="1738"/>
        <w:gridCol w:w="4843"/>
        <w:gridCol w:w="1876"/>
      </w:tblGrid>
      <w:tr w:rsidR="005A31FB" w14:paraId="7883D04F" w14:textId="77777777">
        <w:trPr>
          <w:cantSplit/>
          <w:tblHeader/>
        </w:trPr>
        <w:tc>
          <w:tcPr>
            <w:tcW w:w="1747" w:type="dxa"/>
            <w:tcBorders>
              <w:top w:val="single" w:sz="4" w:space="0" w:color="000000"/>
              <w:left w:val="single" w:sz="4" w:space="0" w:color="000000"/>
              <w:bottom w:val="single" w:sz="4" w:space="0" w:color="000000"/>
              <w:right w:val="single" w:sz="4" w:space="0" w:color="000000"/>
            </w:tcBorders>
            <w:vAlign w:val="center"/>
          </w:tcPr>
          <w:p w14:paraId="4AA6DFB7" w14:textId="77777777" w:rsidR="005A31FB" w:rsidRDefault="00000000">
            <w:pPr>
              <w:pStyle w:val="FWTable"/>
              <w:keepNext/>
              <w:rPr>
                <w:b/>
                <w:bCs/>
              </w:rPr>
            </w:pPr>
            <w:r>
              <w:rPr>
                <w:b/>
                <w:bCs/>
              </w:rPr>
              <w:t>Strand</w:t>
            </w:r>
          </w:p>
        </w:tc>
        <w:tc>
          <w:tcPr>
            <w:tcW w:w="1738" w:type="dxa"/>
            <w:tcBorders>
              <w:top w:val="single" w:sz="4" w:space="0" w:color="000000"/>
              <w:left w:val="single" w:sz="4" w:space="0" w:color="000000"/>
              <w:bottom w:val="single" w:sz="4" w:space="0" w:color="000000"/>
              <w:right w:val="single" w:sz="4" w:space="0" w:color="000000"/>
            </w:tcBorders>
            <w:vAlign w:val="center"/>
          </w:tcPr>
          <w:p w14:paraId="7EE14CFD" w14:textId="77777777" w:rsidR="005A31FB" w:rsidRDefault="00000000">
            <w:pPr>
              <w:pStyle w:val="FWTable"/>
              <w:keepNext/>
              <w:rPr>
                <w:b/>
                <w:bCs/>
              </w:rPr>
            </w:pPr>
            <w:r>
              <w:rPr>
                <w:b/>
                <w:bCs/>
              </w:rPr>
              <w:t>Target groups</w:t>
            </w:r>
          </w:p>
        </w:tc>
        <w:tc>
          <w:tcPr>
            <w:tcW w:w="4843" w:type="dxa"/>
            <w:tcBorders>
              <w:top w:val="single" w:sz="4" w:space="0" w:color="000000"/>
              <w:left w:val="single" w:sz="4" w:space="0" w:color="000000"/>
              <w:bottom w:val="single" w:sz="4" w:space="0" w:color="000000"/>
              <w:right w:val="single" w:sz="4" w:space="0" w:color="000000"/>
            </w:tcBorders>
            <w:vAlign w:val="center"/>
          </w:tcPr>
          <w:p w14:paraId="24539121" w14:textId="77777777" w:rsidR="005A31FB" w:rsidRDefault="00000000">
            <w:pPr>
              <w:pStyle w:val="FWTable"/>
              <w:keepNext/>
              <w:rPr>
                <w:b/>
                <w:bCs/>
              </w:rPr>
            </w:pPr>
            <w:r>
              <w:rPr>
                <w:b/>
                <w:bCs/>
              </w:rPr>
              <w:t>Measures and outputs</w:t>
            </w:r>
          </w:p>
        </w:tc>
        <w:tc>
          <w:tcPr>
            <w:tcW w:w="1876" w:type="dxa"/>
            <w:tcBorders>
              <w:top w:val="single" w:sz="4" w:space="0" w:color="000000"/>
              <w:left w:val="single" w:sz="4" w:space="0" w:color="000000"/>
              <w:bottom w:val="single" w:sz="4" w:space="0" w:color="000000"/>
              <w:right w:val="single" w:sz="4" w:space="0" w:color="000000"/>
            </w:tcBorders>
            <w:vAlign w:val="center"/>
          </w:tcPr>
          <w:p w14:paraId="34F36559" w14:textId="77777777" w:rsidR="005A31FB" w:rsidRDefault="00000000">
            <w:pPr>
              <w:pStyle w:val="FWTable"/>
              <w:keepNext/>
              <w:rPr>
                <w:b/>
                <w:bCs/>
              </w:rPr>
            </w:pPr>
            <w:r>
              <w:rPr>
                <w:b/>
                <w:bCs/>
              </w:rPr>
              <w:t>Evidence/timing</w:t>
            </w:r>
          </w:p>
        </w:tc>
      </w:tr>
      <w:tr w:rsidR="005A31FB" w14:paraId="5069A6E2" w14:textId="77777777">
        <w:trPr>
          <w:cantSplit/>
        </w:trPr>
        <w:tc>
          <w:tcPr>
            <w:tcW w:w="1747" w:type="dxa"/>
            <w:tcBorders>
              <w:top w:val="single" w:sz="4" w:space="0" w:color="000000"/>
              <w:left w:val="single" w:sz="4" w:space="0" w:color="000000"/>
              <w:bottom w:val="single" w:sz="4" w:space="0" w:color="000000"/>
              <w:right w:val="single" w:sz="4" w:space="0" w:color="000000"/>
            </w:tcBorders>
            <w:vAlign w:val="center"/>
          </w:tcPr>
          <w:p w14:paraId="73DB63C0" w14:textId="77777777" w:rsidR="005A31FB" w:rsidRDefault="00000000">
            <w:pPr>
              <w:pStyle w:val="FWTable"/>
            </w:pPr>
            <w:r>
              <w:rPr>
                <w:b/>
                <w:bCs/>
              </w:rPr>
              <w:t>Dissemination</w:t>
            </w:r>
          </w:p>
        </w:tc>
        <w:tc>
          <w:tcPr>
            <w:tcW w:w="1738" w:type="dxa"/>
            <w:tcBorders>
              <w:top w:val="single" w:sz="4" w:space="0" w:color="000000"/>
              <w:left w:val="single" w:sz="4" w:space="0" w:color="000000"/>
              <w:bottom w:val="single" w:sz="4" w:space="0" w:color="000000"/>
              <w:right w:val="single" w:sz="4" w:space="0" w:color="000000"/>
            </w:tcBorders>
            <w:vAlign w:val="center"/>
          </w:tcPr>
          <w:p w14:paraId="428EC319" w14:textId="77777777" w:rsidR="005A31FB" w:rsidRDefault="00000000">
            <w:pPr>
              <w:pStyle w:val="FWTable"/>
            </w:pPr>
            <w:r>
              <w:t>Plant physiology, crop modelling, RS/EO, precision agriculture; students</w:t>
            </w:r>
          </w:p>
        </w:tc>
        <w:tc>
          <w:tcPr>
            <w:tcW w:w="4843" w:type="dxa"/>
            <w:tcBorders>
              <w:top w:val="single" w:sz="4" w:space="0" w:color="000000"/>
              <w:left w:val="single" w:sz="4" w:space="0" w:color="000000"/>
              <w:bottom w:val="single" w:sz="4" w:space="0" w:color="000000"/>
              <w:right w:val="single" w:sz="4" w:space="0" w:color="000000"/>
            </w:tcBorders>
            <w:vAlign w:val="center"/>
          </w:tcPr>
          <w:p w14:paraId="79DF63C8" w14:textId="77777777" w:rsidR="005A31FB" w:rsidRDefault="00000000">
            <w:pPr>
              <w:pStyle w:val="FWTable"/>
            </w:pPr>
            <w:r>
              <w:t>≥2 peer-reviewed manuscripts, possible third paper; model card; hyperspectral-to-Sentinel/transfer methodology; publication of prospective transfer performance; EGU/ECPA presentations; seminars and teaching. FAIR release of methods, metadata, code and non-sensitive outputs where rights permit.</w:t>
            </w:r>
          </w:p>
        </w:tc>
        <w:tc>
          <w:tcPr>
            <w:tcW w:w="1876" w:type="dxa"/>
            <w:tcBorders>
              <w:top w:val="single" w:sz="4" w:space="0" w:color="000000"/>
              <w:left w:val="single" w:sz="4" w:space="0" w:color="000000"/>
              <w:bottom w:val="single" w:sz="4" w:space="0" w:color="000000"/>
              <w:right w:val="single" w:sz="4" w:space="0" w:color="000000"/>
            </w:tcBorders>
            <w:vAlign w:val="center"/>
          </w:tcPr>
          <w:p w14:paraId="0A03D75C" w14:textId="77777777" w:rsidR="005A31FB" w:rsidRDefault="00000000">
            <w:pPr>
              <w:pStyle w:val="FWTable"/>
            </w:pPr>
            <w:r>
              <w:t>D1.4 M3; D2.1 M20; D2.2 M21</w:t>
            </w:r>
          </w:p>
        </w:tc>
      </w:tr>
      <w:tr w:rsidR="005A31FB" w14:paraId="110AA978" w14:textId="77777777">
        <w:trPr>
          <w:cantSplit/>
        </w:trPr>
        <w:tc>
          <w:tcPr>
            <w:tcW w:w="1747" w:type="dxa"/>
            <w:tcBorders>
              <w:top w:val="single" w:sz="4" w:space="0" w:color="000000"/>
              <w:left w:val="single" w:sz="4" w:space="0" w:color="000000"/>
              <w:bottom w:val="single" w:sz="4" w:space="0" w:color="000000"/>
              <w:right w:val="single" w:sz="4" w:space="0" w:color="000000"/>
            </w:tcBorders>
            <w:vAlign w:val="center"/>
          </w:tcPr>
          <w:p w14:paraId="00340A5E" w14:textId="77777777" w:rsidR="005A31FB" w:rsidRDefault="00000000">
            <w:pPr>
              <w:pStyle w:val="FWTable"/>
            </w:pPr>
            <w:r>
              <w:rPr>
                <w:b/>
                <w:bCs/>
              </w:rPr>
              <w:t>Communication</w:t>
            </w:r>
          </w:p>
        </w:tc>
        <w:tc>
          <w:tcPr>
            <w:tcW w:w="1738" w:type="dxa"/>
            <w:tcBorders>
              <w:top w:val="single" w:sz="4" w:space="0" w:color="000000"/>
              <w:left w:val="single" w:sz="4" w:space="0" w:color="000000"/>
              <w:bottom w:val="single" w:sz="4" w:space="0" w:color="000000"/>
              <w:right w:val="single" w:sz="4" w:space="0" w:color="000000"/>
            </w:tcBorders>
            <w:vAlign w:val="center"/>
          </w:tcPr>
          <w:p w14:paraId="677E5897" w14:textId="77777777" w:rsidR="005A31FB" w:rsidRDefault="00000000">
            <w:pPr>
              <w:pStyle w:val="FWTable"/>
            </w:pPr>
            <w:r>
              <w:t>Growers, advisors and public in HU/BG</w:t>
            </w:r>
          </w:p>
        </w:tc>
        <w:tc>
          <w:tcPr>
            <w:tcW w:w="4843" w:type="dxa"/>
            <w:tcBorders>
              <w:top w:val="single" w:sz="4" w:space="0" w:color="000000"/>
              <w:left w:val="single" w:sz="4" w:space="0" w:color="000000"/>
              <w:bottom w:val="single" w:sz="4" w:space="0" w:color="000000"/>
              <w:right w:val="single" w:sz="4" w:space="0" w:color="000000"/>
            </w:tcBorders>
            <w:vAlign w:val="center"/>
          </w:tcPr>
          <w:p w14:paraId="75198BA5" w14:textId="77777777" w:rsidR="005A31FB" w:rsidRDefault="00000000">
            <w:pPr>
              <w:pStyle w:val="FWTable"/>
            </w:pPr>
            <w:r>
              <w:t>Practitioner demonstrations of stress probability, uncertainty and irrigation-attention outputs; public-facing articles; farmer/end-user workshop; institutional and public-engagement activities. Claims are restricted to measured project evidence.</w:t>
            </w:r>
          </w:p>
        </w:tc>
        <w:tc>
          <w:tcPr>
            <w:tcW w:w="1876" w:type="dxa"/>
            <w:tcBorders>
              <w:top w:val="single" w:sz="4" w:space="0" w:color="000000"/>
              <w:left w:val="single" w:sz="4" w:space="0" w:color="000000"/>
              <w:bottom w:val="single" w:sz="4" w:space="0" w:color="000000"/>
              <w:right w:val="single" w:sz="4" w:space="0" w:color="000000"/>
            </w:tcBorders>
            <w:vAlign w:val="center"/>
          </w:tcPr>
          <w:p w14:paraId="700F2BA7" w14:textId="77777777" w:rsidR="005A31FB" w:rsidRDefault="00000000">
            <w:pPr>
              <w:pStyle w:val="FWTable"/>
            </w:pPr>
            <w:r>
              <w:t>Demonstrations, workshops, reach indicators</w:t>
            </w:r>
          </w:p>
        </w:tc>
      </w:tr>
      <w:tr w:rsidR="005A31FB" w14:paraId="6C66AB54" w14:textId="77777777">
        <w:trPr>
          <w:cantSplit/>
        </w:trPr>
        <w:tc>
          <w:tcPr>
            <w:tcW w:w="1747" w:type="dxa"/>
            <w:tcBorders>
              <w:top w:val="single" w:sz="4" w:space="0" w:color="000000"/>
              <w:left w:val="single" w:sz="4" w:space="0" w:color="000000"/>
              <w:bottom w:val="single" w:sz="4" w:space="0" w:color="000000"/>
              <w:right w:val="single" w:sz="4" w:space="0" w:color="000000"/>
            </w:tcBorders>
            <w:vAlign w:val="center"/>
          </w:tcPr>
          <w:p w14:paraId="6114278D" w14:textId="77777777" w:rsidR="005A31FB" w:rsidRDefault="00000000">
            <w:pPr>
              <w:pStyle w:val="FWTable"/>
            </w:pPr>
            <w:r>
              <w:rPr>
                <w:b/>
                <w:bCs/>
              </w:rPr>
              <w:t>Exploitation</w:t>
            </w:r>
          </w:p>
        </w:tc>
        <w:tc>
          <w:tcPr>
            <w:tcW w:w="1738" w:type="dxa"/>
            <w:tcBorders>
              <w:top w:val="single" w:sz="4" w:space="0" w:color="000000"/>
              <w:left w:val="single" w:sz="4" w:space="0" w:color="000000"/>
              <w:bottom w:val="single" w:sz="4" w:space="0" w:color="000000"/>
              <w:right w:val="single" w:sz="4" w:space="0" w:color="000000"/>
            </w:tcBorders>
            <w:vAlign w:val="center"/>
          </w:tcPr>
          <w:p w14:paraId="5D3E2696" w14:textId="77777777" w:rsidR="005A31FB" w:rsidRDefault="00000000">
            <w:pPr>
              <w:pStyle w:val="FWTable"/>
            </w:pPr>
            <w:r>
              <w:t>FMIS/</w:t>
            </w:r>
            <w:proofErr w:type="spellStart"/>
            <w:r>
              <w:t>agri</w:t>
            </w:r>
            <w:proofErr w:type="spellEnd"/>
            <w:r>
              <w:t>-software sector, growers, technology-transfer actors</w:t>
            </w:r>
          </w:p>
        </w:tc>
        <w:tc>
          <w:tcPr>
            <w:tcW w:w="4843" w:type="dxa"/>
            <w:tcBorders>
              <w:top w:val="single" w:sz="4" w:space="0" w:color="000000"/>
              <w:left w:val="single" w:sz="4" w:space="0" w:color="000000"/>
              <w:bottom w:val="single" w:sz="4" w:space="0" w:color="000000"/>
              <w:right w:val="single" w:sz="4" w:space="0" w:color="000000"/>
            </w:tcBorders>
            <w:vAlign w:val="center"/>
          </w:tcPr>
          <w:p w14:paraId="345B2495" w14:textId="77777777" w:rsidR="005A31FB" w:rsidRDefault="00000000">
            <w:pPr>
              <w:pStyle w:val="FWTable"/>
            </w:pPr>
            <w:r>
              <w:t xml:space="preserve">Maturation of the fellow’s </w:t>
            </w:r>
            <w:r>
              <w:rPr>
                <w:b/>
                <w:bCs/>
              </w:rPr>
              <w:t xml:space="preserve">pre-existing </w:t>
            </w:r>
            <w:proofErr w:type="spellStart"/>
            <w:r>
              <w:rPr>
                <w:b/>
                <w:bCs/>
              </w:rPr>
              <w:t>DrR</w:t>
            </w:r>
            <w:proofErr w:type="spellEnd"/>
            <w:r>
              <w:rPr>
                <w:b/>
                <w:bCs/>
              </w:rPr>
              <w:t xml:space="preserve"> desktop prototype into a validated web MVP</w:t>
            </w:r>
            <w:r>
              <w:t xml:space="preserve">. FIELDWISE provides validated scientific/EO functionality; </w:t>
            </w:r>
            <w:proofErr w:type="spellStart"/>
            <w:r>
              <w:t>Krumatic</w:t>
            </w:r>
            <w:proofErr w:type="spellEnd"/>
            <w:r>
              <w:t xml:space="preserve"> provides remunerated software engineering; </w:t>
            </w:r>
            <w:proofErr w:type="spellStart"/>
            <w:r>
              <w:t>AgroVIR</w:t>
            </w:r>
            <w:proofErr w:type="spellEnd"/>
            <w:r>
              <w:t xml:space="preserve"> provides requirements and operational evaluation. Post-MSCA routes include FMIS integration, MVCRI crop extension and HUN-REN/HUNRENTECH-supported licensing or researcher-led start-up/spin-off exploration.</w:t>
            </w:r>
          </w:p>
        </w:tc>
        <w:tc>
          <w:tcPr>
            <w:tcW w:w="1876" w:type="dxa"/>
            <w:tcBorders>
              <w:top w:val="single" w:sz="4" w:space="0" w:color="000000"/>
              <w:left w:val="single" w:sz="4" w:space="0" w:color="000000"/>
              <w:bottom w:val="single" w:sz="4" w:space="0" w:color="000000"/>
              <w:right w:val="single" w:sz="4" w:space="0" w:color="000000"/>
            </w:tcBorders>
            <w:vAlign w:val="center"/>
          </w:tcPr>
          <w:p w14:paraId="279724AC" w14:textId="77777777" w:rsidR="005A31FB" w:rsidRDefault="00000000">
            <w:pPr>
              <w:pStyle w:val="FWTable"/>
            </w:pPr>
            <w:r>
              <w:t>D3.1–D3.2 M24; D4.1–D4.2 M30</w:t>
            </w:r>
          </w:p>
        </w:tc>
      </w:tr>
      <w:tr w:rsidR="005A31FB" w14:paraId="5EF11D7A" w14:textId="77777777">
        <w:trPr>
          <w:cantSplit/>
        </w:trPr>
        <w:tc>
          <w:tcPr>
            <w:tcW w:w="1747" w:type="dxa"/>
            <w:tcBorders>
              <w:top w:val="single" w:sz="4" w:space="0" w:color="000000"/>
              <w:left w:val="single" w:sz="4" w:space="0" w:color="000000"/>
              <w:bottom w:val="single" w:sz="4" w:space="0" w:color="000000"/>
              <w:right w:val="single" w:sz="4" w:space="0" w:color="000000"/>
            </w:tcBorders>
            <w:vAlign w:val="center"/>
          </w:tcPr>
          <w:p w14:paraId="39C7B558" w14:textId="77777777" w:rsidR="005A31FB" w:rsidRDefault="00000000">
            <w:pPr>
              <w:pStyle w:val="FWTable"/>
            </w:pPr>
            <w:r>
              <w:rPr>
                <w:b/>
                <w:bCs/>
              </w:rPr>
              <w:t>IP and knowledge management</w:t>
            </w:r>
          </w:p>
        </w:tc>
        <w:tc>
          <w:tcPr>
            <w:tcW w:w="1738" w:type="dxa"/>
            <w:tcBorders>
              <w:top w:val="single" w:sz="4" w:space="0" w:color="000000"/>
              <w:left w:val="single" w:sz="4" w:space="0" w:color="000000"/>
              <w:bottom w:val="single" w:sz="4" w:space="0" w:color="000000"/>
              <w:right w:val="single" w:sz="4" w:space="0" w:color="000000"/>
            </w:tcBorders>
            <w:vAlign w:val="center"/>
          </w:tcPr>
          <w:p w14:paraId="3D84C650" w14:textId="77777777" w:rsidR="005A31FB" w:rsidRDefault="00000000">
            <w:pPr>
              <w:pStyle w:val="FWTable"/>
            </w:pPr>
            <w:r>
              <w:t xml:space="preserve">Fellow, beneficiary and contributing </w:t>
            </w:r>
            <w:proofErr w:type="spellStart"/>
            <w:r>
              <w:t>organisations</w:t>
            </w:r>
            <w:proofErr w:type="spellEnd"/>
          </w:p>
        </w:tc>
        <w:tc>
          <w:tcPr>
            <w:tcW w:w="4843" w:type="dxa"/>
            <w:tcBorders>
              <w:top w:val="single" w:sz="4" w:space="0" w:color="000000"/>
              <w:left w:val="single" w:sz="4" w:space="0" w:color="000000"/>
              <w:bottom w:val="single" w:sz="4" w:space="0" w:color="000000"/>
              <w:right w:val="single" w:sz="4" w:space="0" w:color="000000"/>
            </w:tcBorders>
            <w:vAlign w:val="center"/>
          </w:tcPr>
          <w:p w14:paraId="29B8C0A2" w14:textId="77777777" w:rsidR="005A31FB" w:rsidRDefault="00000000">
            <w:pPr>
              <w:pStyle w:val="FWTable"/>
            </w:pPr>
            <w:r>
              <w:t xml:space="preserve">Separate rights layers for </w:t>
            </w:r>
            <w:proofErr w:type="spellStart"/>
            <w:r>
              <w:rPr>
                <w:b/>
                <w:bCs/>
              </w:rPr>
              <w:t>DrR</w:t>
            </w:r>
            <w:proofErr w:type="spellEnd"/>
            <w:r>
              <w:rPr>
                <w:b/>
                <w:bCs/>
              </w:rPr>
              <w:t xml:space="preserve"> background / FIELDWISE-generated results / institutional datasets / contracted code</w:t>
            </w:r>
            <w:r>
              <w:t xml:space="preserve">. A dated </w:t>
            </w:r>
            <w:proofErr w:type="spellStart"/>
            <w:r>
              <w:t>DrR</w:t>
            </w:r>
            <w:proofErr w:type="spellEnd"/>
            <w:r>
              <w:t xml:space="preserve"> declaration establishes the pre-action baseline. Ownership/licensing of the new web software and source code is defined through the relevant HUN-REN ATK–</w:t>
            </w:r>
            <w:proofErr w:type="spellStart"/>
            <w:r>
              <w:t>Krumatic</w:t>
            </w:r>
            <w:proofErr w:type="spellEnd"/>
            <w:r>
              <w:t xml:space="preserve"> agreement; </w:t>
            </w:r>
            <w:proofErr w:type="spellStart"/>
            <w:r>
              <w:t>AgroVIR</w:t>
            </w:r>
            <w:proofErr w:type="spellEnd"/>
            <w:r>
              <w:t xml:space="preserve"> receives only access required for evaluation.</w:t>
            </w:r>
          </w:p>
        </w:tc>
        <w:tc>
          <w:tcPr>
            <w:tcW w:w="1876" w:type="dxa"/>
            <w:tcBorders>
              <w:top w:val="single" w:sz="4" w:space="0" w:color="000000"/>
              <w:left w:val="single" w:sz="4" w:space="0" w:color="000000"/>
              <w:bottom w:val="single" w:sz="4" w:space="0" w:color="000000"/>
              <w:right w:val="single" w:sz="4" w:space="0" w:color="000000"/>
            </w:tcBorders>
            <w:vAlign w:val="center"/>
          </w:tcPr>
          <w:p w14:paraId="2FC2CAF6" w14:textId="77777777" w:rsidR="005A31FB" w:rsidRDefault="00000000">
            <w:pPr>
              <w:pStyle w:val="FWTable"/>
            </w:pPr>
            <w:r>
              <w:t>Pre-action agreements; maintained IP inventory</w:t>
            </w:r>
          </w:p>
        </w:tc>
      </w:tr>
    </w:tbl>
    <w:p w14:paraId="6304B08D" w14:textId="77777777" w:rsidR="005A31FB" w:rsidRDefault="00000000">
      <w:pPr>
        <w:pStyle w:val="FWBody"/>
      </w:pPr>
      <w:r>
        <w:rPr>
          <w:rStyle w:val="Kiemels2"/>
          <w:u w:val="single"/>
        </w:rPr>
        <w:lastRenderedPageBreak/>
        <w:t>Exploitation pathway</w:t>
      </w:r>
      <w:r>
        <w:rPr>
          <w:rStyle w:val="Kiemels2"/>
        </w:rPr>
        <w:t>.</w:t>
      </w:r>
      <w:r>
        <w:t xml:space="preserve"> </w:t>
      </w:r>
      <w:proofErr w:type="spellStart"/>
      <w:r>
        <w:t>DrR</w:t>
      </w:r>
      <w:proofErr w:type="spellEnd"/>
      <w:r>
        <w:t xml:space="preserve"> enters FIELDWISE as the fellow’s pre-existing, independently developed research prototype. Only scientifically validated functions are transferred into the web MVP. At M24 the result is a validated MVP, followed by independent </w:t>
      </w:r>
      <w:proofErr w:type="spellStart"/>
      <w:r>
        <w:t>AgroVIR</w:t>
      </w:r>
      <w:proofErr w:type="spellEnd"/>
      <w:r>
        <w:t xml:space="preserve"> evaluation in M25–M30 before any claim of FMIS readiness or wider commercial deployment. FIELDWISE therefore delivers four exploitable result families: the validated stress-prediction workflow, the hyperspectral-to-Sentinel transfer methodology, the matured </w:t>
      </w:r>
      <w:proofErr w:type="spellStart"/>
      <w:r>
        <w:t>DrR</w:t>
      </w:r>
      <w:proofErr w:type="spellEnd"/>
      <w:r>
        <w:t xml:space="preserve"> web MVP, and the </w:t>
      </w:r>
      <w:proofErr w:type="spellStart"/>
      <w:r>
        <w:t>AgroVIR</w:t>
      </w:r>
      <w:proofErr w:type="spellEnd"/>
      <w:r>
        <w:t xml:space="preserve">-informed FMIS-integration specification. </w:t>
      </w:r>
    </w:p>
    <w:p w14:paraId="45F60C41" w14:textId="77777777" w:rsidR="005A31FB" w:rsidRDefault="00000000">
      <w:pPr>
        <w:pStyle w:val="FWBody"/>
      </w:pPr>
      <w:r>
        <w:rPr>
          <w:rStyle w:val="Kiemels2"/>
          <w:u w:val="single"/>
        </w:rPr>
        <w:t>Reach and uptake</w:t>
      </w:r>
      <w:r>
        <w:t xml:space="preserve"> are tracked through concrete indicators: at least two conference presentations, at least two submitted manuscripts, practitioner demonstrations, institutional seminars, an end-user workshop, public-engagement activities, </w:t>
      </w:r>
      <w:proofErr w:type="spellStart"/>
      <w:r>
        <w:t>AgroVIR</w:t>
      </w:r>
      <w:proofErr w:type="spellEnd"/>
      <w:r>
        <w:t xml:space="preserve"> operational assessment and monitoring of repository use after release.</w:t>
      </w:r>
    </w:p>
    <w:p w14:paraId="0B40FD32"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2.3. The magnitude and importance of the project’s contribution to the expected scientific, societal and economic impacts</w:t>
      </w:r>
    </w:p>
    <w:p w14:paraId="573E2A00" w14:textId="77777777" w:rsidR="005A31FB" w:rsidRDefault="00000000">
      <w:pPr>
        <w:pStyle w:val="FWBody"/>
      </w:pPr>
      <w:r>
        <w:t xml:space="preserve">FIELDWISE is a </w:t>
      </w:r>
      <w:r>
        <w:rPr>
          <w:rStyle w:val="Kiemels2"/>
        </w:rPr>
        <w:t>24-month MSCA Postdoctoral Fellowship followed by a six-month non-academic placement</w:t>
      </w:r>
      <w:r>
        <w:t>. Its impact is bounded to what the action can demonstrate directly: whether physiologically grounded water-stress relationships remain valid across unseen years, sensing scales and two prospective commercial-field seasons, and whether validated results can support operational decision-making.</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656"/>
        <w:gridCol w:w="3373"/>
        <w:gridCol w:w="5175"/>
      </w:tblGrid>
      <w:tr w:rsidR="005A31FB" w14:paraId="2C0C813C" w14:textId="77777777">
        <w:trPr>
          <w:cantSplit/>
          <w:tblHeader/>
        </w:trPr>
        <w:tc>
          <w:tcPr>
            <w:tcW w:w="1656" w:type="dxa"/>
            <w:tcBorders>
              <w:top w:val="single" w:sz="4" w:space="0" w:color="000000"/>
              <w:left w:val="single" w:sz="4" w:space="0" w:color="000000"/>
              <w:bottom w:val="single" w:sz="4" w:space="0" w:color="000000"/>
              <w:right w:val="single" w:sz="4" w:space="0" w:color="000000"/>
            </w:tcBorders>
            <w:vAlign w:val="center"/>
          </w:tcPr>
          <w:p w14:paraId="06DE1CBE" w14:textId="77777777" w:rsidR="005A31FB" w:rsidRDefault="00000000">
            <w:pPr>
              <w:pStyle w:val="FWTable"/>
              <w:keepNext/>
              <w:rPr>
                <w:b/>
                <w:bCs/>
              </w:rPr>
            </w:pPr>
            <w:r>
              <w:rPr>
                <w:b/>
                <w:bCs/>
              </w:rPr>
              <w:t>Dimension</w:t>
            </w:r>
          </w:p>
        </w:tc>
        <w:tc>
          <w:tcPr>
            <w:tcW w:w="3373" w:type="dxa"/>
            <w:tcBorders>
              <w:top w:val="single" w:sz="4" w:space="0" w:color="000000"/>
              <w:left w:val="single" w:sz="4" w:space="0" w:color="000000"/>
              <w:bottom w:val="single" w:sz="4" w:space="0" w:color="000000"/>
              <w:right w:val="single" w:sz="4" w:space="0" w:color="000000"/>
            </w:tcBorders>
            <w:vAlign w:val="center"/>
          </w:tcPr>
          <w:p w14:paraId="1201573B" w14:textId="77777777" w:rsidR="005A31FB" w:rsidRDefault="00000000">
            <w:pPr>
              <w:pStyle w:val="FWTable"/>
              <w:keepNext/>
              <w:rPr>
                <w:b/>
                <w:bCs/>
              </w:rPr>
            </w:pPr>
            <w:r>
              <w:rPr>
                <w:b/>
                <w:bCs/>
              </w:rPr>
              <w:t>Contribution</w:t>
            </w:r>
          </w:p>
        </w:tc>
        <w:tc>
          <w:tcPr>
            <w:tcW w:w="5175" w:type="dxa"/>
            <w:tcBorders>
              <w:top w:val="single" w:sz="4" w:space="0" w:color="000000"/>
              <w:left w:val="single" w:sz="4" w:space="0" w:color="000000"/>
              <w:bottom w:val="single" w:sz="4" w:space="0" w:color="000000"/>
              <w:right w:val="single" w:sz="4" w:space="0" w:color="000000"/>
            </w:tcBorders>
            <w:vAlign w:val="center"/>
          </w:tcPr>
          <w:p w14:paraId="587C1A5F" w14:textId="77777777" w:rsidR="005A31FB" w:rsidRDefault="00000000">
            <w:pPr>
              <w:pStyle w:val="FWTable"/>
              <w:keepNext/>
              <w:rPr>
                <w:b/>
                <w:bCs/>
              </w:rPr>
            </w:pPr>
            <w:r>
              <w:rPr>
                <w:b/>
                <w:bCs/>
              </w:rPr>
              <w:t>Magnitude and importance</w:t>
            </w:r>
          </w:p>
        </w:tc>
      </w:tr>
      <w:tr w:rsidR="005A31FB" w14:paraId="5401A9DC" w14:textId="77777777">
        <w:trPr>
          <w:cantSplit/>
        </w:trPr>
        <w:tc>
          <w:tcPr>
            <w:tcW w:w="1656" w:type="dxa"/>
            <w:tcBorders>
              <w:top w:val="single" w:sz="4" w:space="0" w:color="000000"/>
              <w:left w:val="single" w:sz="4" w:space="0" w:color="000000"/>
              <w:bottom w:val="single" w:sz="4" w:space="0" w:color="000000"/>
              <w:right w:val="single" w:sz="4" w:space="0" w:color="000000"/>
            </w:tcBorders>
            <w:vAlign w:val="center"/>
          </w:tcPr>
          <w:p w14:paraId="76C6A2A6" w14:textId="77777777" w:rsidR="005A31FB" w:rsidRDefault="00000000">
            <w:pPr>
              <w:pStyle w:val="FWTable"/>
            </w:pPr>
            <w:r>
              <w:rPr>
                <w:b/>
                <w:bCs/>
              </w:rPr>
              <w:t>Scientific</w:t>
            </w:r>
          </w:p>
        </w:tc>
        <w:tc>
          <w:tcPr>
            <w:tcW w:w="3373" w:type="dxa"/>
            <w:tcBorders>
              <w:top w:val="single" w:sz="4" w:space="0" w:color="000000"/>
              <w:left w:val="single" w:sz="4" w:space="0" w:color="000000"/>
              <w:bottom w:val="single" w:sz="4" w:space="0" w:color="000000"/>
              <w:right w:val="single" w:sz="4" w:space="0" w:color="000000"/>
            </w:tcBorders>
            <w:vAlign w:val="center"/>
          </w:tcPr>
          <w:p w14:paraId="3D5AC1ED" w14:textId="77777777" w:rsidR="005A31FB" w:rsidRDefault="00000000">
            <w:pPr>
              <w:pStyle w:val="FWTable"/>
            </w:pPr>
            <w:r>
              <w:t>Leakage-safe modelling links physiological evidence with spectral, soil-water and meteorological predictors; a frozen model is tested across unseen years and an independent commercial field.</w:t>
            </w:r>
          </w:p>
        </w:tc>
        <w:tc>
          <w:tcPr>
            <w:tcW w:w="5175" w:type="dxa"/>
            <w:tcBorders>
              <w:top w:val="single" w:sz="4" w:space="0" w:color="000000"/>
              <w:left w:val="single" w:sz="4" w:space="0" w:color="000000"/>
              <w:bottom w:val="single" w:sz="4" w:space="0" w:color="000000"/>
              <w:right w:val="single" w:sz="4" w:space="0" w:color="000000"/>
            </w:tcBorders>
            <w:vAlign w:val="center"/>
          </w:tcPr>
          <w:p w14:paraId="5DCE723E" w14:textId="77777777" w:rsidR="005A31FB" w:rsidRDefault="00000000">
            <w:pPr>
              <w:pStyle w:val="FWTable"/>
            </w:pPr>
            <w:r>
              <w:t xml:space="preserve">FIELDWISE determines </w:t>
            </w:r>
            <w:r>
              <w:rPr>
                <w:b/>
                <w:bCs/>
              </w:rPr>
              <w:t>whether, how far and under which conditions predictive validity survives transfer from experimental data to operational Sentinel-based monitoring</w:t>
            </w:r>
            <w:r>
              <w:t>. Outputs include a documented model, quantified transfer performance and a specification separating reusable from crop-/scale-specific components.</w:t>
            </w:r>
          </w:p>
        </w:tc>
      </w:tr>
      <w:tr w:rsidR="005A31FB" w14:paraId="0895B40C" w14:textId="77777777">
        <w:trPr>
          <w:cantSplit/>
        </w:trPr>
        <w:tc>
          <w:tcPr>
            <w:tcW w:w="1656" w:type="dxa"/>
            <w:tcBorders>
              <w:top w:val="single" w:sz="4" w:space="0" w:color="000000"/>
              <w:left w:val="single" w:sz="4" w:space="0" w:color="000000"/>
              <w:bottom w:val="single" w:sz="4" w:space="0" w:color="000000"/>
              <w:right w:val="single" w:sz="4" w:space="0" w:color="000000"/>
            </w:tcBorders>
            <w:vAlign w:val="center"/>
          </w:tcPr>
          <w:p w14:paraId="5EDE47FE" w14:textId="77777777" w:rsidR="005A31FB" w:rsidRDefault="00000000">
            <w:pPr>
              <w:pStyle w:val="FWTable"/>
            </w:pPr>
            <w:r>
              <w:rPr>
                <w:b/>
                <w:bCs/>
              </w:rPr>
              <w:t>Agricultural &amp; environmental</w:t>
            </w:r>
          </w:p>
        </w:tc>
        <w:tc>
          <w:tcPr>
            <w:tcW w:w="3373" w:type="dxa"/>
            <w:tcBorders>
              <w:top w:val="single" w:sz="4" w:space="0" w:color="000000"/>
              <w:left w:val="single" w:sz="4" w:space="0" w:color="000000"/>
              <w:bottom w:val="single" w:sz="4" w:space="0" w:color="000000"/>
              <w:right w:val="single" w:sz="4" w:space="0" w:color="000000"/>
            </w:tcBorders>
            <w:vAlign w:val="center"/>
          </w:tcPr>
          <w:p w14:paraId="107CCAC5" w14:textId="77777777" w:rsidR="005A31FB" w:rsidRDefault="00000000">
            <w:pPr>
              <w:pStyle w:val="FWTable"/>
            </w:pPr>
            <w:r>
              <w:t>The workflow provides stress probability, uncertainty and irrigation-attention information independently checked against plant physiology across two seasons.</w:t>
            </w:r>
          </w:p>
        </w:tc>
        <w:tc>
          <w:tcPr>
            <w:tcW w:w="5175" w:type="dxa"/>
            <w:tcBorders>
              <w:top w:val="single" w:sz="4" w:space="0" w:color="000000"/>
              <w:left w:val="single" w:sz="4" w:space="0" w:color="000000"/>
              <w:bottom w:val="single" w:sz="4" w:space="0" w:color="000000"/>
              <w:right w:val="single" w:sz="4" w:space="0" w:color="000000"/>
            </w:tcBorders>
            <w:vAlign w:val="center"/>
          </w:tcPr>
          <w:p w14:paraId="1E7BA5D6" w14:textId="77777777" w:rsidR="005A31FB" w:rsidRDefault="00000000">
            <w:pPr>
              <w:pStyle w:val="FWTable"/>
            </w:pPr>
            <w:r>
              <w:t xml:space="preserve">The direct value is more defensible identification of </w:t>
            </w:r>
            <w:r>
              <w:rPr>
                <w:b/>
                <w:bCs/>
              </w:rPr>
              <w:t>when and where water stress requires attention</w:t>
            </w:r>
            <w:r>
              <w:t>. Warning lead time, false alarms, uncertainty and water–yield–quality relationships are measured prospectively; no numerical water-saving benefit is claimed in advance.</w:t>
            </w:r>
          </w:p>
        </w:tc>
      </w:tr>
      <w:tr w:rsidR="005A31FB" w14:paraId="41A634B7" w14:textId="77777777">
        <w:trPr>
          <w:cantSplit/>
        </w:trPr>
        <w:tc>
          <w:tcPr>
            <w:tcW w:w="1656" w:type="dxa"/>
            <w:tcBorders>
              <w:top w:val="single" w:sz="4" w:space="0" w:color="000000"/>
              <w:left w:val="single" w:sz="4" w:space="0" w:color="000000"/>
              <w:bottom w:val="single" w:sz="4" w:space="0" w:color="000000"/>
              <w:right w:val="single" w:sz="4" w:space="0" w:color="000000"/>
            </w:tcBorders>
            <w:vAlign w:val="center"/>
          </w:tcPr>
          <w:p w14:paraId="7228F7C3" w14:textId="77777777" w:rsidR="005A31FB" w:rsidRDefault="00000000">
            <w:pPr>
              <w:pStyle w:val="FWTable"/>
            </w:pPr>
            <w:r>
              <w:rPr>
                <w:b/>
                <w:bCs/>
              </w:rPr>
              <w:t>Technological &amp; economic</w:t>
            </w:r>
          </w:p>
        </w:tc>
        <w:tc>
          <w:tcPr>
            <w:tcW w:w="3373" w:type="dxa"/>
            <w:tcBorders>
              <w:top w:val="single" w:sz="4" w:space="0" w:color="000000"/>
              <w:left w:val="single" w:sz="4" w:space="0" w:color="000000"/>
              <w:bottom w:val="single" w:sz="4" w:space="0" w:color="000000"/>
              <w:right w:val="single" w:sz="4" w:space="0" w:color="000000"/>
            </w:tcBorders>
            <w:vAlign w:val="center"/>
          </w:tcPr>
          <w:p w14:paraId="28B5F804" w14:textId="77777777" w:rsidR="005A31FB" w:rsidRDefault="00000000">
            <w:pPr>
              <w:pStyle w:val="FWTable"/>
            </w:pPr>
            <w:r>
              <w:t xml:space="preserve">The fellow’s pre-existing </w:t>
            </w:r>
            <w:proofErr w:type="spellStart"/>
            <w:r>
              <w:t>DrR</w:t>
            </w:r>
            <w:proofErr w:type="spellEnd"/>
            <w:r>
              <w:t xml:space="preserve"> desktop prototype is matured into a validated web MVP; </w:t>
            </w:r>
            <w:proofErr w:type="spellStart"/>
            <w:r>
              <w:t>Krumatic</w:t>
            </w:r>
            <w:proofErr w:type="spellEnd"/>
            <w:r>
              <w:t xml:space="preserve"> implements the software layer and </w:t>
            </w:r>
            <w:proofErr w:type="spellStart"/>
            <w:r>
              <w:t>AgroVIR</w:t>
            </w:r>
            <w:proofErr w:type="spellEnd"/>
            <w:r>
              <w:t xml:space="preserve"> evaluates usability and interoperability.</w:t>
            </w:r>
          </w:p>
        </w:tc>
        <w:tc>
          <w:tcPr>
            <w:tcW w:w="5175" w:type="dxa"/>
            <w:tcBorders>
              <w:top w:val="single" w:sz="4" w:space="0" w:color="000000"/>
              <w:left w:val="single" w:sz="4" w:space="0" w:color="000000"/>
              <w:bottom w:val="single" w:sz="4" w:space="0" w:color="000000"/>
              <w:right w:val="single" w:sz="4" w:space="0" w:color="000000"/>
            </w:tcBorders>
            <w:vAlign w:val="center"/>
          </w:tcPr>
          <w:p w14:paraId="67F874D0" w14:textId="77777777" w:rsidR="005A31FB" w:rsidRDefault="00000000">
            <w:pPr>
              <w:pStyle w:val="FWTable"/>
            </w:pPr>
            <w:r>
              <w:t xml:space="preserve">The pathway is auditable: </w:t>
            </w:r>
            <w:r>
              <w:rPr>
                <w:b/>
                <w:bCs/>
              </w:rPr>
              <w:t>pre-existing prototype → validated web MVP → independent operational assessment → post-MSCA FMIS/exploitation roadmap</w:t>
            </w:r>
            <w:r>
              <w:t>. This reduces the scientific and operational uncertainty required for later integration, licensing or researcher-led innovation.</w:t>
            </w:r>
          </w:p>
        </w:tc>
      </w:tr>
      <w:tr w:rsidR="005A31FB" w14:paraId="04E39583" w14:textId="77777777">
        <w:trPr>
          <w:cantSplit/>
        </w:trPr>
        <w:tc>
          <w:tcPr>
            <w:tcW w:w="1656" w:type="dxa"/>
            <w:tcBorders>
              <w:top w:val="single" w:sz="4" w:space="0" w:color="000000"/>
              <w:left w:val="single" w:sz="4" w:space="0" w:color="000000"/>
              <w:bottom w:val="single" w:sz="4" w:space="0" w:color="000000"/>
              <w:right w:val="single" w:sz="4" w:space="0" w:color="000000"/>
            </w:tcBorders>
            <w:vAlign w:val="center"/>
          </w:tcPr>
          <w:p w14:paraId="20413290" w14:textId="77777777" w:rsidR="005A31FB" w:rsidRDefault="00000000">
            <w:pPr>
              <w:pStyle w:val="FWTable"/>
            </w:pPr>
            <w:r>
              <w:rPr>
                <w:b/>
                <w:bCs/>
              </w:rPr>
              <w:t>European &amp; societal</w:t>
            </w:r>
          </w:p>
        </w:tc>
        <w:tc>
          <w:tcPr>
            <w:tcW w:w="3373" w:type="dxa"/>
            <w:tcBorders>
              <w:top w:val="single" w:sz="4" w:space="0" w:color="000000"/>
              <w:left w:val="single" w:sz="4" w:space="0" w:color="000000"/>
              <w:bottom w:val="single" w:sz="4" w:space="0" w:color="000000"/>
              <w:right w:val="single" w:sz="4" w:space="0" w:color="000000"/>
            </w:tcBorders>
            <w:vAlign w:val="center"/>
          </w:tcPr>
          <w:p w14:paraId="003D8F3D" w14:textId="77777777" w:rsidR="005A31FB" w:rsidRDefault="00000000">
            <w:pPr>
              <w:pStyle w:val="FWTable"/>
            </w:pPr>
            <w:r>
              <w:t xml:space="preserve">HUN-REN ATK, ELTE, MATE, Bulgarian research and </w:t>
            </w:r>
            <w:proofErr w:type="spellStart"/>
            <w:r>
              <w:t>agri</w:t>
            </w:r>
            <w:proofErr w:type="spellEnd"/>
            <w:r>
              <w:t>-software actors are linked in a Hungary–Bulgaria knowledge-transfer chain.</w:t>
            </w:r>
          </w:p>
        </w:tc>
        <w:tc>
          <w:tcPr>
            <w:tcW w:w="5175" w:type="dxa"/>
            <w:tcBorders>
              <w:top w:val="single" w:sz="4" w:space="0" w:color="000000"/>
              <w:left w:val="single" w:sz="4" w:space="0" w:color="000000"/>
              <w:bottom w:val="single" w:sz="4" w:space="0" w:color="000000"/>
              <w:right w:val="single" w:sz="4" w:space="0" w:color="000000"/>
            </w:tcBorders>
            <w:vAlign w:val="center"/>
          </w:tcPr>
          <w:p w14:paraId="54ACD13B" w14:textId="77777777" w:rsidR="005A31FB" w:rsidRDefault="00000000">
            <w:pPr>
              <w:pStyle w:val="FWTable"/>
            </w:pPr>
            <w:r>
              <w:t>Cross-border circulation of physiology, EO, data science and software know-how creates reusable European capacity, while MVCRI provides a realistic route for later extension to further high-value irrigated crops.</w:t>
            </w:r>
          </w:p>
        </w:tc>
      </w:tr>
    </w:tbl>
    <w:p w14:paraId="29EB729F" w14:textId="77777777" w:rsidR="005A31FB" w:rsidRDefault="00000000">
      <w:pPr>
        <w:pStyle w:val="FWBody"/>
      </w:pPr>
      <w:r>
        <w:t xml:space="preserve">Impact is measured through </w:t>
      </w:r>
      <w:r>
        <w:rPr>
          <w:rStyle w:val="Kiemels2"/>
        </w:rPr>
        <w:t>project-controlled evidence</w:t>
      </w:r>
      <w:r>
        <w:t xml:space="preserve">: discrimination and calibration, uncertainty, false alarms, warning lead time and prospective transfer performance, all pre-specified in D1.2. Primary performance is reported before any limited recalibration so that the research-to-field transfer gap remains visible. Delivery is tracked through </w:t>
      </w:r>
      <w:r>
        <w:rPr>
          <w:rStyle w:val="Kiemels2"/>
        </w:rPr>
        <w:t>K1–K14</w:t>
      </w:r>
      <w:r>
        <w:t xml:space="preserve">, covering archive </w:t>
      </w:r>
      <w:proofErr w:type="spellStart"/>
      <w:r>
        <w:t>harmonisation</w:t>
      </w:r>
      <w:proofErr w:type="spellEnd"/>
      <w:r>
        <w:t xml:space="preserve"> and stress-reference definition, frozen model and transfer specification, prospective validation, web-MVP readiness and external evaluation, post-MSCA exploitation planning and Career Development Plan implementation. The funded magnitude is intentionally realistic: </w:t>
      </w:r>
      <w:r>
        <w:rPr>
          <w:rStyle w:val="Kiemels2"/>
        </w:rPr>
        <w:t>one development crop, one large commercial validation environment across two seasons, one validated web MVP and one external industrial evaluation</w:t>
      </w:r>
      <w:r>
        <w:t>. The wider value lies in the reusable transfer methodology and the defined post-MSCA scientific, institutional and entrepreneurial pathways.</w:t>
      </w:r>
    </w:p>
    <w:p w14:paraId="489901CC" w14:textId="77777777" w:rsidR="005A31FB" w:rsidRDefault="00000000">
      <w:pPr>
        <w:pStyle w:val="Cmsor2"/>
        <w:rPr>
          <w:rFonts w:ascii="Times New Roman" w:hAnsi="Times New Roman"/>
          <w:lang w:val="en-GB"/>
        </w:rPr>
      </w:pPr>
      <w:r>
        <w:rPr>
          <w:rFonts w:ascii="Times New Roman" w:hAnsi="Times New Roman"/>
          <w:lang w:val="en-GB"/>
        </w:rPr>
        <w:lastRenderedPageBreak/>
        <w:t>3.</w:t>
      </w:r>
      <w:r>
        <w:rPr>
          <w:rFonts w:ascii="Times New Roman" w:hAnsi="Times New Roman"/>
        </w:rPr>
        <w:tab/>
      </w:r>
      <w:r>
        <w:rPr>
          <w:rFonts w:ascii="Times New Roman" w:hAnsi="Times New Roman"/>
          <w:lang w:val="en-GB"/>
        </w:rPr>
        <w:t xml:space="preserve">Quality and Efficiency of the Implementation </w:t>
      </w:r>
    </w:p>
    <w:p w14:paraId="30E6C641"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3.1</w:t>
      </w:r>
      <w:r>
        <w:rPr>
          <w:rFonts w:ascii="Times New Roman" w:hAnsi="Times New Roman"/>
          <w:sz w:val="24"/>
          <w:szCs w:val="24"/>
        </w:rPr>
        <w:tab/>
      </w:r>
      <w:r>
        <w:rPr>
          <w:rFonts w:ascii="Times New Roman" w:hAnsi="Times New Roman"/>
          <w:b/>
          <w:bCs/>
          <w:i/>
          <w:iCs/>
          <w:sz w:val="24"/>
          <w:szCs w:val="24"/>
          <w:lang w:val="en-GB"/>
        </w:rPr>
        <w:t>Quality and effectiveness of the work plan, assessment of risks and appropriateness of the effort assigned to work packages</w:t>
      </w:r>
    </w:p>
    <w:p w14:paraId="2050689B" w14:textId="77777777" w:rsidR="005A31FB" w:rsidRDefault="00000000">
      <w:pPr>
        <w:pStyle w:val="FWBody"/>
      </w:pPr>
      <w:r>
        <w:t xml:space="preserve">The fellow leads the scientific work at the sole beneficiary, HUN-REN ATK (ATK), over 24 months, followed by the </w:t>
      </w:r>
      <w:proofErr w:type="spellStart"/>
      <w:r>
        <w:t>AgroVIR</w:t>
      </w:r>
      <w:proofErr w:type="spellEnd"/>
      <w:r>
        <w:t xml:space="preserve"> placement (M25–M30). Five WPs connect a frozen historical-data model, two prospective tomato seasons, evidence-limited software translation and career development. ELTE secondment blocks are M1–M3, M10–M12 and M16–M21 (12 months); they are locations of work within the allocated effort. MATE supplies archive/irrigation expertise; the producer hosts field trials; </w:t>
      </w:r>
      <w:proofErr w:type="spellStart"/>
      <w:r>
        <w:t>Krumatic</w:t>
      </w:r>
      <w:proofErr w:type="spellEnd"/>
      <w:r>
        <w:t xml:space="preserve"> supplies remunerated engineering.</w:t>
      </w:r>
    </w:p>
    <w:p w14:paraId="47C9D69A" w14:textId="5AEF2AB3" w:rsidR="005A31FB" w:rsidRPr="00715493" w:rsidRDefault="00000000">
      <w:pPr>
        <w:pStyle w:val="FWSubheading"/>
      </w:pPr>
      <w:r w:rsidRPr="00715493">
        <w:t xml:space="preserve">WP1 — </w:t>
      </w:r>
      <w:r w:rsidR="00715493" w:rsidRPr="00715493">
        <w:t xml:space="preserve">Data </w:t>
      </w:r>
      <w:proofErr w:type="spellStart"/>
      <w:r w:rsidR="00715493" w:rsidRPr="00715493">
        <w:t>harmonisation</w:t>
      </w:r>
      <w:proofErr w:type="spellEnd"/>
      <w:r w:rsidR="00715493" w:rsidRPr="00715493">
        <w:t>, stress definition &amp; model development</w:t>
      </w:r>
      <w:r w:rsidRPr="00715493">
        <w:t xml:space="preserve"> | M1–M21 | 5.0 PM.</w:t>
      </w:r>
    </w:p>
    <w:p w14:paraId="253AB90C" w14:textId="77777777" w:rsidR="005A31FB" w:rsidRDefault="00000000">
      <w:pPr>
        <w:pStyle w:val="FWBody"/>
      </w:pPr>
      <w:r>
        <w:rPr>
          <w:b/>
          <w:bCs/>
        </w:rPr>
        <w:t xml:space="preserve">Lead: </w:t>
      </w:r>
      <w:r>
        <w:t xml:space="preserve">fellow/ATK; MATE and ELTE support. </w:t>
      </w:r>
      <w:r>
        <w:rPr>
          <w:b/>
          <w:bCs/>
        </w:rPr>
        <w:t>T1.1</w:t>
      </w:r>
      <w:r>
        <w:t xml:space="preserve"> (M1–M2): audit and </w:t>
      </w:r>
      <w:proofErr w:type="spellStart"/>
      <w:r>
        <w:t>harmonise</w:t>
      </w:r>
      <w:proofErr w:type="spellEnd"/>
      <w:r>
        <w:t xml:space="preserve"> all five archive seasons. </w:t>
      </w:r>
      <w:r>
        <w:rPr>
          <w:b/>
          <w:bCs/>
        </w:rPr>
        <w:t>T1.2</w:t>
      </w:r>
      <w:r>
        <w:t xml:space="preserve"> (M1–M3): </w:t>
      </w:r>
      <w:proofErr w:type="spellStart"/>
      <w:r>
        <w:t>harmonise</w:t>
      </w:r>
      <w:proofErr w:type="spellEnd"/>
      <w:r>
        <w:t xml:space="preserve"> predictors and lock the physiological reference, folds, metrics, sampling and recalibration rules before fitting. </w:t>
      </w:r>
      <w:r>
        <w:rPr>
          <w:b/>
          <w:bCs/>
        </w:rPr>
        <w:t>T1.3</w:t>
      </w:r>
      <w:r>
        <w:t xml:space="preserve"> (M2–M3): build the pipeline; after protocol lock, fit and freeze the model/benchmark. </w:t>
      </w:r>
      <w:r>
        <w:rPr>
          <w:b/>
          <w:bCs/>
        </w:rPr>
        <w:t>T1.4</w:t>
      </w:r>
      <w:r>
        <w:t xml:space="preserve"> (M10–M12; M16–M21): </w:t>
      </w:r>
      <w:proofErr w:type="spellStart"/>
      <w:r>
        <w:t>synthesise</w:t>
      </w:r>
      <w:proofErr w:type="spellEnd"/>
      <w:r>
        <w:t xml:space="preserve"> WP2 transfer diagnostics without changing the primary model.</w:t>
      </w:r>
    </w:p>
    <w:p w14:paraId="58D9D8CD" w14:textId="77777777" w:rsidR="005A31FB" w:rsidRDefault="00000000">
      <w:pPr>
        <w:pStyle w:val="FWBody"/>
      </w:pPr>
      <w:r>
        <w:t>D1.1 archive/QC map (M2); D1.2 protocol and D1.4 model/card (M3); D1.5 transfer specification (M21). K1–K4: five seasons audited; one locked protocol; reproducible, leakage-safe held-out-year results; one reusable/crop-specific transfer specification. Gates: MS1/MS3.</w:t>
      </w:r>
    </w:p>
    <w:p w14:paraId="385F0957" w14:textId="77777777" w:rsidR="005A31FB" w:rsidRDefault="00000000">
      <w:pPr>
        <w:pStyle w:val="FWSubheading"/>
      </w:pPr>
      <w:r>
        <w:t>WP2 — Prospective field validation | M1–M21 | 9.0 PM.</w:t>
      </w:r>
    </w:p>
    <w:p w14:paraId="30F6126B" w14:textId="77777777" w:rsidR="005A31FB" w:rsidRDefault="00000000">
      <w:pPr>
        <w:pStyle w:val="FWBody"/>
      </w:pPr>
      <w:r>
        <w:rPr>
          <w:b/>
          <w:bCs/>
        </w:rPr>
        <w:t>Lead:</w:t>
      </w:r>
      <w:r>
        <w:t xml:space="preserve"> fellow/ATK; producer, MATE and ELTE support. </w:t>
      </w:r>
      <w:r>
        <w:rPr>
          <w:b/>
          <w:bCs/>
        </w:rPr>
        <w:t>T2.1</w:t>
      </w:r>
      <w:r>
        <w:t xml:space="preserve"> (M1–M4): agree access/backup, replication, irrigation contrasts and valid Sentinel-pixel geometry; test sensors before observations. </w:t>
      </w:r>
      <w:r>
        <w:rPr>
          <w:b/>
          <w:bCs/>
        </w:rPr>
        <w:t>T2.2</w:t>
      </w:r>
      <w:r>
        <w:t xml:space="preserve"> (M4–M12) and </w:t>
      </w:r>
      <w:r>
        <w:rPr>
          <w:b/>
          <w:bCs/>
        </w:rPr>
        <w:t xml:space="preserve">T2.3 </w:t>
      </w:r>
      <w:r>
        <w:t xml:space="preserve">(M13–M20): run seasons 1 and 2 using the unchanged model, actual Sentinel-2 inputs and independent physiology; record irrigation, yield and quality. </w:t>
      </w:r>
      <w:r>
        <w:rPr>
          <w:b/>
          <w:bCs/>
        </w:rPr>
        <w:t>T2.4</w:t>
      </w:r>
      <w:r>
        <w:t xml:space="preserve"> (M20–M21): report primary performance before separately evaluated recalibration.</w:t>
      </w:r>
    </w:p>
    <w:p w14:paraId="6B2D551B" w14:textId="77777777" w:rsidR="005A31FB" w:rsidRDefault="00000000">
      <w:pPr>
        <w:pStyle w:val="FWBody"/>
      </w:pPr>
      <w:r>
        <w:t>D2.1 dataset/prediction log (M20); D2.2 transfer/uncertainty report (M21). K5: two seasons; all scheduled observation opportunities accounted for, with valid coverage and biological sample size reported. K6: season-level and pooled discrimination, calibration, false alarms, lead time and transfer gap, with uncertainty or non-</w:t>
      </w:r>
      <w:proofErr w:type="spellStart"/>
      <w:r>
        <w:t>estimability</w:t>
      </w:r>
      <w:proofErr w:type="spellEnd"/>
      <w:r>
        <w:t xml:space="preserve"> explained. Gates: MS1–MS3.</w:t>
      </w:r>
    </w:p>
    <w:p w14:paraId="4526DC87" w14:textId="77777777" w:rsidR="005A31FB" w:rsidRDefault="00000000">
      <w:pPr>
        <w:pStyle w:val="FWSubheading"/>
      </w:pPr>
      <w:r>
        <w:t xml:space="preserve">WP3 — </w:t>
      </w:r>
      <w:proofErr w:type="spellStart"/>
      <w:r>
        <w:t>DrR</w:t>
      </w:r>
      <w:proofErr w:type="spellEnd"/>
      <w:r>
        <w:t xml:space="preserve"> web MVP and readiness | M1–M24 | 6.0 PM.</w:t>
      </w:r>
    </w:p>
    <w:p w14:paraId="7EE6FA49" w14:textId="77777777" w:rsidR="005A31FB" w:rsidRDefault="00000000">
      <w:pPr>
        <w:pStyle w:val="FWBody"/>
      </w:pPr>
      <w:r>
        <w:rPr>
          <w:b/>
          <w:bCs/>
        </w:rPr>
        <w:t>Lead:</w:t>
      </w:r>
      <w:r>
        <w:t xml:space="preserve"> fellow/ATK; </w:t>
      </w:r>
      <w:proofErr w:type="spellStart"/>
      <w:r>
        <w:t>Krumatic</w:t>
      </w:r>
      <w:proofErr w:type="spellEnd"/>
      <w:r>
        <w:t xml:space="preserve"> engineering; </w:t>
      </w:r>
      <w:proofErr w:type="spellStart"/>
      <w:r>
        <w:t>AgroVIR</w:t>
      </w:r>
      <w:proofErr w:type="spellEnd"/>
      <w:r>
        <w:t xml:space="preserve"> requirements. </w:t>
      </w:r>
      <w:r>
        <w:rPr>
          <w:b/>
          <w:bCs/>
        </w:rPr>
        <w:t>T3.1</w:t>
      </w:r>
      <w:r>
        <w:t xml:space="preserve"> (M1–M3): agree background/IP, user workflows, interfaces and acceptance tests. </w:t>
      </w:r>
      <w:r>
        <w:rPr>
          <w:b/>
          <w:bCs/>
        </w:rPr>
        <w:t>T3.2</w:t>
      </w:r>
      <w:r>
        <w:t xml:space="preserve"> (M4–M20): build ingestion, provenance and uncertainty displays using test data/research-only functions. </w:t>
      </w:r>
      <w:r>
        <w:rPr>
          <w:b/>
          <w:bCs/>
        </w:rPr>
        <w:t>T3.3</w:t>
      </w:r>
      <w:r>
        <w:t xml:space="preserve"> (M21–M24): integrate MS3-supported functions and test scientific consistency and invalid-input </w:t>
      </w:r>
      <w:proofErr w:type="spellStart"/>
      <w:r>
        <w:t>behaviour</w:t>
      </w:r>
      <w:proofErr w:type="spellEnd"/>
      <w:r>
        <w:t xml:space="preserve">. </w:t>
      </w:r>
      <w:r>
        <w:rPr>
          <w:b/>
          <w:bCs/>
        </w:rPr>
        <w:t>T3.4</w:t>
      </w:r>
      <w:r>
        <w:t xml:space="preserve"> (M22–M24): package the release and placement protocol.</w:t>
      </w:r>
    </w:p>
    <w:p w14:paraId="7E1CBB27" w14:textId="77777777" w:rsidR="005A31FB" w:rsidRDefault="00000000">
      <w:pPr>
        <w:pStyle w:val="FWBody"/>
      </w:pPr>
      <w:r>
        <w:t>D3.1 web MVP and D3.2 readiness dossier (M24). K7: one MVP, all agreed critical tests pass and zero unresolved critical defects in the released scope. K8: source access, rights, evidence limits, guidance and evaluation scope documented. Gate: MS4.</w:t>
      </w:r>
    </w:p>
    <w:p w14:paraId="2F44B218" w14:textId="77777777" w:rsidR="005A31FB" w:rsidRDefault="00000000">
      <w:pPr>
        <w:pStyle w:val="FWSubheading"/>
      </w:pPr>
      <w:r>
        <w:t xml:space="preserve">WP4 — </w:t>
      </w:r>
      <w:proofErr w:type="spellStart"/>
      <w:r>
        <w:t>AgroVIR</w:t>
      </w:r>
      <w:proofErr w:type="spellEnd"/>
      <w:r>
        <w:t xml:space="preserve"> placement | M25–M30 | 5.4 PM.</w:t>
      </w:r>
    </w:p>
    <w:p w14:paraId="7970FDFC" w14:textId="77777777" w:rsidR="005A31FB" w:rsidRDefault="00000000">
      <w:pPr>
        <w:pStyle w:val="FWBody"/>
      </w:pPr>
      <w:r>
        <w:rPr>
          <w:b/>
          <w:bCs/>
        </w:rPr>
        <w:t>Lead:</w:t>
      </w:r>
      <w:r>
        <w:t xml:space="preserve"> fellow with </w:t>
      </w:r>
      <w:proofErr w:type="spellStart"/>
      <w:r>
        <w:t>AgroVIR</w:t>
      </w:r>
      <w:proofErr w:type="spellEnd"/>
      <w:r>
        <w:t xml:space="preserve"> operational supervision; ATK oversight. </w:t>
      </w:r>
      <w:r>
        <w:rPr>
          <w:b/>
          <w:bCs/>
        </w:rPr>
        <w:t>T4.1</w:t>
      </w:r>
      <w:r>
        <w:t xml:space="preserve"> (M25–M27): assess data requirements, output consistency, missing/out-of-domain </w:t>
      </w:r>
      <w:proofErr w:type="spellStart"/>
      <w:r>
        <w:t>behaviour</w:t>
      </w:r>
      <w:proofErr w:type="spellEnd"/>
      <w:r>
        <w:t xml:space="preserve">, usability, interoperability and decision relevance. </w:t>
      </w:r>
      <w:r>
        <w:rPr>
          <w:b/>
          <w:bCs/>
        </w:rPr>
        <w:t>T4.2</w:t>
      </w:r>
      <w:r>
        <w:t xml:space="preserve"> (M28–M30): retest priority issues and record limitations. </w:t>
      </w:r>
      <w:r>
        <w:rPr>
          <w:b/>
          <w:bCs/>
        </w:rPr>
        <w:t>T4.3</w:t>
      </w:r>
      <w:r>
        <w:t xml:space="preserve"> (M27–M30): define the post-MSCA integration/exploitation route using approved test/coded data.</w:t>
      </w:r>
    </w:p>
    <w:p w14:paraId="7ECCA062" w14:textId="77777777" w:rsidR="005A31FB" w:rsidRDefault="00000000">
      <w:pPr>
        <w:pStyle w:val="FWBody"/>
      </w:pPr>
      <w:r>
        <w:t>D4.1 external assessment and D4.2 roadmap (M30). K9: all six dimensions assessed and priority issues dispositioned. K10: roadmap states owners, IP/access, technical dependencies, actors, resources and decision gates. Gates: MS5/MS6.</w:t>
      </w:r>
    </w:p>
    <w:p w14:paraId="0B31C8EA" w14:textId="77777777" w:rsidR="005A31FB" w:rsidRDefault="00000000">
      <w:pPr>
        <w:pStyle w:val="FWSubheading"/>
      </w:pPr>
      <w:r>
        <w:t>WP5 — Training, open science, dissemination and management | M1–M30 | 4.6 PM.</w:t>
      </w:r>
    </w:p>
    <w:p w14:paraId="0FF56F7C" w14:textId="77777777" w:rsidR="005A31FB" w:rsidRDefault="00000000">
      <w:pPr>
        <w:pStyle w:val="FWBody"/>
      </w:pPr>
      <w:r>
        <w:rPr>
          <w:b/>
          <w:bCs/>
        </w:rPr>
        <w:t>Lead:</w:t>
      </w:r>
      <w:r>
        <w:t xml:space="preserve"> fellow/ATK; supervisors and host support services contribute. </w:t>
      </w:r>
      <w:r>
        <w:rPr>
          <w:b/>
          <w:bCs/>
        </w:rPr>
        <w:t>T5.1:</w:t>
      </w:r>
      <w:r>
        <w:t xml:space="preserve"> implement the CDP, quarterly reviews, technical/transferable skills and knowledge exchange. </w:t>
      </w:r>
      <w:r>
        <w:rPr>
          <w:b/>
          <w:bCs/>
        </w:rPr>
        <w:t xml:space="preserve">T5.2: </w:t>
      </w:r>
      <w:r>
        <w:t xml:space="preserve">implement data/access rules from M1 and maintain the DMP. </w:t>
      </w:r>
      <w:r>
        <w:rPr>
          <w:b/>
          <w:bCs/>
        </w:rPr>
        <w:t>T5.3:</w:t>
      </w:r>
      <w:r>
        <w:t xml:space="preserve"> run dissemination/communication/exploitation from M1; document the initial strategy at M3. </w:t>
      </w:r>
      <w:r>
        <w:rPr>
          <w:b/>
          <w:bCs/>
        </w:rPr>
        <w:t>T5.4:</w:t>
      </w:r>
      <w:r>
        <w:t xml:space="preserve"> monitor progress/risks monthly and manage agreements and reporting (all M1–M30).</w:t>
      </w:r>
    </w:p>
    <w:p w14:paraId="55C29D8B" w14:textId="77777777" w:rsidR="005A31FB" w:rsidRDefault="00000000">
      <w:pPr>
        <w:pStyle w:val="FWBody"/>
      </w:pPr>
      <w:r>
        <w:t xml:space="preserve">D5.1 CDP (M3); D5.2 DMP (M6; review M21/M30); D5.3 final dissemination/exploitation plan (M30; update M24). K11: CDP reviews, four technical competence strands and 12 secondment months evidenced. K12: all released assets have metadata and access decisions. K13: ≥2 manuscripts submitted, ≥2 conference presentations and ≥1 end-user workshop by M30. K14: each result family has an owner, audience, route and indicators. Required </w:t>
      </w:r>
      <w:r>
        <w:lastRenderedPageBreak/>
        <w:t>administrative outputs: mobility declaration within 20 days of research-training start, updated as needed; end-of-training questionnaire and follow-up two years later.</w:t>
      </w:r>
    </w:p>
    <w:p w14:paraId="2622D1DD" w14:textId="77777777" w:rsidR="005A31FB" w:rsidRDefault="00000000">
      <w:pPr>
        <w:pStyle w:val="FWBody"/>
      </w:pPr>
      <w:r>
        <w:rPr>
          <w:b/>
        </w:rPr>
        <w:t>Decision gates and dependencies.</w:t>
      </w:r>
      <w:r>
        <w:t xml:space="preserve"> MS1 (M3): protocol lock precedes fitting and model freeze; field launch plan/CDP agreed. MS2 (M12): season 1 QC and logistics review, retaining the primary model. MS3 (M21): two-season transfer evidence and specification accepted; permitted MVP functions decided. MS4 (M24): critical tests and placement scope accepted. MS5 (M27): midpoint assessment/corrections agreed. MS6 (M30): external assessment and roadmaps completed. The fellow and ATK approve scientific gates with specialist input; </w:t>
      </w:r>
      <w:proofErr w:type="spellStart"/>
      <w:r>
        <w:t>AgroVIR</w:t>
      </w:r>
      <w:proofErr w:type="spellEnd"/>
      <w:r>
        <w:t xml:space="preserve"> co-reviews MS4–MS6.</w:t>
      </w:r>
    </w:p>
    <w:p w14:paraId="20D9C223" w14:textId="77777777" w:rsidR="005A31FB" w:rsidRDefault="00000000">
      <w:pPr>
        <w:pStyle w:val="FWBody"/>
      </w:pPr>
      <w:r>
        <w:rPr>
          <w:b/>
        </w:rPr>
        <w:t>Critical path:</w:t>
      </w:r>
      <w:r>
        <w:t xml:space="preserve"> MS1 model freeze → WP2 prospective evidence → MS3 permitted functions → MS4 release → WP4 evaluation. Field preparation and software architecture start earlier; they do not require WP1 to finish. The crop calendar must place MS1 before season 1 and the second harvest by M20. WP effort totals 30.0 fellow PM: 24.0 in M1–M24 and 6.0 in M25–M30 (WP4 5.4; WP5 0.6). Training within scientific tasks is counted once. Partner support is additional to these fellow PM.</w:t>
      </w:r>
    </w:p>
    <w:p w14:paraId="5CF96AB1" w14:textId="77777777" w:rsidR="005A31FB" w:rsidRDefault="00000000">
      <w:pPr>
        <w:pStyle w:val="FWBody"/>
      </w:pPr>
      <w:r>
        <w:rPr>
          <w:b/>
        </w:rPr>
        <w:t>Risk control.</w:t>
      </w:r>
      <w:r>
        <w:t xml:space="preserve"> Monthly monitoring and gate reviews record triggers, owners and corrective decisions. Poor transfer is a reportable scientific result; it does not </w:t>
      </w:r>
      <w:proofErr w:type="spellStart"/>
      <w:r>
        <w:t>authorise</w:t>
      </w:r>
      <w:proofErr w:type="spellEnd"/>
      <w:r>
        <w:t xml:space="preserve"> unsupported advice.</w:t>
      </w:r>
    </w:p>
    <w:tbl>
      <w:tblPr>
        <w:tblW w:w="10204" w:type="dxa"/>
        <w:tblInd w:w="57" w:type="dxa"/>
        <w:tblLayout w:type="fixed"/>
        <w:tblCellMar>
          <w:top w:w="30" w:type="dxa"/>
          <w:left w:w="80" w:type="dxa"/>
          <w:bottom w:w="30" w:type="dxa"/>
          <w:right w:w="80" w:type="dxa"/>
        </w:tblCellMar>
        <w:tblLook w:val="0000" w:firstRow="0" w:lastRow="0" w:firstColumn="0" w:lastColumn="0" w:noHBand="0" w:noVBand="0"/>
      </w:tblPr>
      <w:tblGrid>
        <w:gridCol w:w="1999"/>
        <w:gridCol w:w="8205"/>
      </w:tblGrid>
      <w:tr w:rsidR="005A31FB" w14:paraId="39FF5C81" w14:textId="77777777">
        <w:trPr>
          <w:cantSplit/>
          <w:tblHeader/>
        </w:trPr>
        <w:tc>
          <w:tcPr>
            <w:tcW w:w="1999"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677EE80F" w14:textId="77777777" w:rsidR="005A31FB" w:rsidRDefault="00000000">
            <w:pPr>
              <w:pStyle w:val="FWTable"/>
              <w:keepNext/>
            </w:pPr>
            <w:r>
              <w:rPr>
                <w:b/>
              </w:rPr>
              <w:t>Risk; likelihood/impact</w:t>
            </w:r>
          </w:p>
        </w:tc>
        <w:tc>
          <w:tcPr>
            <w:tcW w:w="8205"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0A996689" w14:textId="77777777" w:rsidR="005A31FB" w:rsidRDefault="00000000">
            <w:pPr>
              <w:pStyle w:val="FWTable"/>
              <w:keepNext/>
            </w:pPr>
            <w:r>
              <w:rPr>
                <w:b/>
              </w:rPr>
              <w:t>Trigger response and responsible actors</w:t>
            </w:r>
          </w:p>
        </w:tc>
      </w:tr>
      <w:tr w:rsidR="005A31FB" w14:paraId="0BEC65F2"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148C8653" w14:textId="77777777" w:rsidR="005A31FB" w:rsidRDefault="00000000">
            <w:pPr>
              <w:pStyle w:val="FWTable"/>
            </w:pPr>
            <w:r>
              <w:t>R1 | WP1 | M/H</w:t>
            </w:r>
          </w:p>
        </w:tc>
        <w:tc>
          <w:tcPr>
            <w:tcW w:w="8205" w:type="dxa"/>
            <w:tcBorders>
              <w:top w:val="single" w:sz="4" w:space="0" w:color="A6A6A6"/>
              <w:left w:val="single" w:sz="4" w:space="0" w:color="A6A6A6"/>
              <w:bottom w:val="single" w:sz="4" w:space="0" w:color="A6A6A6"/>
              <w:right w:val="single" w:sz="4" w:space="0" w:color="A6A6A6"/>
            </w:tcBorders>
            <w:vAlign w:val="center"/>
          </w:tcPr>
          <w:p w14:paraId="6E09E03D" w14:textId="77777777" w:rsidR="005A31FB" w:rsidRDefault="00000000">
            <w:pPr>
              <w:pStyle w:val="FWTable"/>
            </w:pPr>
            <w:r>
              <w:t>Archive/sample-size or M3-freeze failure: audit at M1–M2; narrow common predictors/reference before deployment; never use prospective outcomes to repair training. Owner: fellow/ATK.</w:t>
            </w:r>
          </w:p>
        </w:tc>
      </w:tr>
      <w:tr w:rsidR="005A31FB" w14:paraId="011AB0FD"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070FAA0B" w14:textId="77777777" w:rsidR="005A31FB" w:rsidRDefault="00000000">
            <w:pPr>
              <w:pStyle w:val="FWTable"/>
            </w:pPr>
            <w:r>
              <w:t>R2 | WP2 | M/H</w:t>
            </w:r>
          </w:p>
        </w:tc>
        <w:tc>
          <w:tcPr>
            <w:tcW w:w="8205" w:type="dxa"/>
            <w:tcBorders>
              <w:top w:val="single" w:sz="4" w:space="0" w:color="A6A6A6"/>
              <w:left w:val="single" w:sz="4" w:space="0" w:color="A6A6A6"/>
              <w:bottom w:val="single" w:sz="4" w:space="0" w:color="A6A6A6"/>
              <w:right w:val="single" w:sz="4" w:space="0" w:color="A6A6A6"/>
            </w:tcBorders>
            <w:vAlign w:val="center"/>
          </w:tcPr>
          <w:p w14:paraId="7EFB1327" w14:textId="77777777" w:rsidR="005A31FB" w:rsidRDefault="00000000">
            <w:pPr>
              <w:pStyle w:val="FWTable"/>
            </w:pPr>
            <w:r>
              <w:t>Field/calendar failure: agree access, replication, valid pixels and backup by M3; test sensors before observations. Switch comparable site before the crop window; downgrade claims if two seasons fail. Owner: fellow/ATK/producer.</w:t>
            </w:r>
          </w:p>
        </w:tc>
      </w:tr>
      <w:tr w:rsidR="005A31FB" w14:paraId="658C7EF4"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78048A16" w14:textId="77777777" w:rsidR="005A31FB" w:rsidRDefault="00000000">
            <w:pPr>
              <w:pStyle w:val="FWTable"/>
            </w:pPr>
            <w:r>
              <w:t>R3 | WP2 | M/H</w:t>
            </w:r>
          </w:p>
        </w:tc>
        <w:tc>
          <w:tcPr>
            <w:tcW w:w="8205" w:type="dxa"/>
            <w:tcBorders>
              <w:top w:val="single" w:sz="4" w:space="0" w:color="A6A6A6"/>
              <w:left w:val="single" w:sz="4" w:space="0" w:color="A6A6A6"/>
              <w:bottom w:val="single" w:sz="4" w:space="0" w:color="A6A6A6"/>
              <w:right w:val="single" w:sz="4" w:space="0" w:color="A6A6A6"/>
            </w:tcBorders>
            <w:vAlign w:val="center"/>
          </w:tcPr>
          <w:p w14:paraId="61326654" w14:textId="77777777" w:rsidR="005A31FB" w:rsidRDefault="00000000">
            <w:pPr>
              <w:pStyle w:val="FWTable"/>
            </w:pPr>
            <w:r>
              <w:t>Sensor failure/weak stress contrast: continuous QC, spares/manual checks; physiology verifies stress. Report weak contrasts and missing metrics. Owner: fellow/ATK/producer.</w:t>
            </w:r>
          </w:p>
        </w:tc>
      </w:tr>
      <w:tr w:rsidR="005A31FB" w14:paraId="18064D01"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59EF39B2" w14:textId="77777777" w:rsidR="005A31FB" w:rsidRDefault="00000000">
            <w:pPr>
              <w:pStyle w:val="FWTable"/>
            </w:pPr>
            <w:r>
              <w:t>R4 | WP1–2 | M/H</w:t>
            </w:r>
          </w:p>
        </w:tc>
        <w:tc>
          <w:tcPr>
            <w:tcW w:w="8205" w:type="dxa"/>
            <w:tcBorders>
              <w:top w:val="single" w:sz="4" w:space="0" w:color="A6A6A6"/>
              <w:left w:val="single" w:sz="4" w:space="0" w:color="A6A6A6"/>
              <w:bottom w:val="single" w:sz="4" w:space="0" w:color="A6A6A6"/>
              <w:right w:val="single" w:sz="4" w:space="0" w:color="A6A6A6"/>
            </w:tcBorders>
            <w:vAlign w:val="center"/>
          </w:tcPr>
          <w:p w14:paraId="49854073" w14:textId="77777777" w:rsidR="005A31FB" w:rsidRDefault="00000000">
            <w:pPr>
              <w:pStyle w:val="FWTable"/>
            </w:pPr>
            <w:r>
              <w:t>Clouds/mixed pixels/EO access: agree ELTE access and pixel rules; log gaps. UAV is supplementary; inadequate Sentinel coverage restricts satellite-transfer claims. Owner: fellow/ELTE.</w:t>
            </w:r>
          </w:p>
        </w:tc>
      </w:tr>
      <w:tr w:rsidR="005A31FB" w14:paraId="3F22505E"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44C4CEF1" w14:textId="77777777" w:rsidR="005A31FB" w:rsidRDefault="00000000">
            <w:pPr>
              <w:pStyle w:val="FWTable"/>
            </w:pPr>
            <w:r>
              <w:t>R5 | WP2–3 | M/H</w:t>
            </w:r>
          </w:p>
        </w:tc>
        <w:tc>
          <w:tcPr>
            <w:tcW w:w="8205" w:type="dxa"/>
            <w:tcBorders>
              <w:top w:val="single" w:sz="4" w:space="0" w:color="A6A6A6"/>
              <w:left w:val="single" w:sz="4" w:space="0" w:color="A6A6A6"/>
              <w:bottom w:val="single" w:sz="4" w:space="0" w:color="A6A6A6"/>
              <w:right w:val="single" w:sz="4" w:space="0" w:color="A6A6A6"/>
            </w:tcBorders>
            <w:vAlign w:val="center"/>
          </w:tcPr>
          <w:p w14:paraId="4D43DA80" w14:textId="77777777" w:rsidR="005A31FB" w:rsidRDefault="00000000">
            <w:pPr>
              <w:pStyle w:val="FWTable"/>
            </w:pPr>
            <w:r>
              <w:t>Poor transfer: report unchanged-model performance first; evaluate recalibration separately. Limit MVP/placement to supported functions. Owner: fellow/ATK/</w:t>
            </w:r>
            <w:proofErr w:type="spellStart"/>
            <w:r>
              <w:t>AgroVIR</w:t>
            </w:r>
            <w:proofErr w:type="spellEnd"/>
            <w:r>
              <w:t>.</w:t>
            </w:r>
          </w:p>
        </w:tc>
      </w:tr>
      <w:tr w:rsidR="005A31FB" w14:paraId="42C572EA" w14:textId="77777777">
        <w:trPr>
          <w:cantSplit/>
        </w:trPr>
        <w:tc>
          <w:tcPr>
            <w:tcW w:w="1999" w:type="dxa"/>
            <w:tcBorders>
              <w:top w:val="single" w:sz="4" w:space="0" w:color="A6A6A6"/>
              <w:left w:val="single" w:sz="4" w:space="0" w:color="A6A6A6"/>
              <w:bottom w:val="single" w:sz="4" w:space="0" w:color="A6A6A6"/>
              <w:right w:val="single" w:sz="4" w:space="0" w:color="A6A6A6"/>
            </w:tcBorders>
            <w:vAlign w:val="center"/>
          </w:tcPr>
          <w:p w14:paraId="22720742" w14:textId="77777777" w:rsidR="005A31FB" w:rsidRDefault="00000000">
            <w:pPr>
              <w:pStyle w:val="FWTable"/>
            </w:pPr>
            <w:r>
              <w:t>R6 | WP3–5 | M/M</w:t>
            </w:r>
          </w:p>
        </w:tc>
        <w:tc>
          <w:tcPr>
            <w:tcW w:w="8205" w:type="dxa"/>
            <w:tcBorders>
              <w:top w:val="single" w:sz="4" w:space="0" w:color="A6A6A6"/>
              <w:left w:val="single" w:sz="4" w:space="0" w:color="A6A6A6"/>
              <w:bottom w:val="single" w:sz="4" w:space="0" w:color="A6A6A6"/>
              <w:right w:val="single" w:sz="4" w:space="0" w:color="A6A6A6"/>
            </w:tcBorders>
            <w:vAlign w:val="center"/>
          </w:tcPr>
          <w:p w14:paraId="0B8D320A" w14:textId="77777777" w:rsidR="005A31FB" w:rsidRDefault="00000000">
            <w:pPr>
              <w:pStyle w:val="FWTable"/>
            </w:pPr>
            <w:r>
              <w:t xml:space="preserve">Engineering/IP/workload delay: agree scope and source rights before development; review releases monthly, protect campaigns and narrow noncritical features. Owner: fellow/ATK; </w:t>
            </w:r>
            <w:proofErr w:type="spellStart"/>
            <w:r>
              <w:t>Krumatic</w:t>
            </w:r>
            <w:proofErr w:type="spellEnd"/>
            <w:r>
              <w:t>/</w:t>
            </w:r>
            <w:proofErr w:type="spellStart"/>
            <w:r>
              <w:t>AgroVIR</w:t>
            </w:r>
            <w:proofErr w:type="spellEnd"/>
            <w:r>
              <w:t>.</w:t>
            </w:r>
          </w:p>
        </w:tc>
      </w:tr>
    </w:tbl>
    <w:p w14:paraId="2BD64736" w14:textId="77777777" w:rsidR="005A31FB" w:rsidRDefault="00000000">
      <w:pPr>
        <w:pStyle w:val="FWCaption"/>
      </w:pPr>
      <w:r>
        <w:rPr>
          <w:noProof/>
        </w:rPr>
        <w:drawing>
          <wp:inline distT="0" distB="0" distL="0" distR="0" wp14:anchorId="55EAA56C" wp14:editId="25D8F953">
            <wp:extent cx="6477000" cy="297180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6477000" cy="2971800"/>
                    </a:xfrm>
                    <a:prstGeom prst="rect">
                      <a:avLst/>
                    </a:prstGeom>
                    <a:noFill/>
                  </pic:spPr>
                </pic:pic>
              </a:graphicData>
            </a:graphic>
          </wp:inline>
        </w:drawing>
      </w:r>
    </w:p>
    <w:p w14:paraId="5676B20A" w14:textId="77777777" w:rsidR="005A31FB" w:rsidRDefault="00000000">
      <w:pPr>
        <w:spacing w:after="0" w:line="240" w:lineRule="auto"/>
        <w:contextualSpacing/>
        <w:jc w:val="both"/>
        <w:rPr>
          <w:rFonts w:ascii="Times New Roman" w:hAnsi="Times New Roman"/>
          <w:sz w:val="24"/>
          <w:szCs w:val="24"/>
          <w:lang w:val="en-GB"/>
        </w:rPr>
      </w:pPr>
      <w:r>
        <w:rPr>
          <w:rFonts w:ascii="Times New Roman" w:hAnsi="Times New Roman"/>
          <w:b/>
          <w:bCs/>
          <w:i/>
          <w:iCs/>
          <w:sz w:val="24"/>
          <w:szCs w:val="24"/>
          <w:lang w:val="en-GB"/>
        </w:rPr>
        <w:lastRenderedPageBreak/>
        <w:t>3.2</w:t>
      </w:r>
      <w:r>
        <w:rPr>
          <w:rFonts w:ascii="Times New Roman" w:hAnsi="Times New Roman"/>
          <w:sz w:val="24"/>
          <w:szCs w:val="24"/>
        </w:rPr>
        <w:tab/>
      </w:r>
      <w:r>
        <w:rPr>
          <w:rFonts w:ascii="Times New Roman" w:hAnsi="Times New Roman"/>
          <w:b/>
          <w:bCs/>
          <w:i/>
          <w:iCs/>
          <w:sz w:val="24"/>
          <w:szCs w:val="24"/>
          <w:lang w:val="en-GB"/>
        </w:rPr>
        <w:t>Quality and capacity of the host institutions and participating organisations, including hosting arrangements</w:t>
      </w:r>
      <w:r>
        <w:rPr>
          <w:rFonts w:ascii="Times New Roman" w:hAnsi="Times New Roman"/>
          <w:sz w:val="24"/>
          <w:szCs w:val="24"/>
        </w:rPr>
        <w:t xml:space="preserve"> </w:t>
      </w:r>
    </w:p>
    <w:p w14:paraId="22991827" w14:textId="77777777" w:rsidR="005A31FB" w:rsidRDefault="00000000">
      <w:pPr>
        <w:pStyle w:val="FWBody"/>
      </w:pPr>
      <w:r>
        <w:t xml:space="preserve">The sole beneficiary and recruiting </w:t>
      </w:r>
      <w:proofErr w:type="spellStart"/>
      <w:r>
        <w:t>organisation</w:t>
      </w:r>
      <w:proofErr w:type="spellEnd"/>
      <w:r>
        <w:t xml:space="preserve"> </w:t>
      </w:r>
      <w:proofErr w:type="gramStart"/>
      <w:r>
        <w:t>is</w:t>
      </w:r>
      <w:proofErr w:type="gramEnd"/>
      <w:r>
        <w:t xml:space="preserve"> HUN-REN ATK. Detailed infrastructure and facilities are provided in Part B-2 Section 5. Each participating </w:t>
      </w:r>
      <w:proofErr w:type="spellStart"/>
      <w:r>
        <w:t>organisation</w:t>
      </w:r>
      <w:proofErr w:type="spellEnd"/>
      <w:r>
        <w:t xml:space="preserve"> contributes a complementary capacity required for implementation of the work plan.</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794"/>
        <w:gridCol w:w="8410"/>
      </w:tblGrid>
      <w:tr w:rsidR="005A31FB" w14:paraId="24E24CEE" w14:textId="77777777">
        <w:trPr>
          <w:cantSplit/>
          <w:tblHeader/>
        </w:trPr>
        <w:tc>
          <w:tcPr>
            <w:tcW w:w="1794" w:type="dxa"/>
            <w:tcBorders>
              <w:top w:val="single" w:sz="4" w:space="0" w:color="000000"/>
              <w:left w:val="single" w:sz="4" w:space="0" w:color="000000"/>
              <w:bottom w:val="single" w:sz="4" w:space="0" w:color="000000"/>
              <w:right w:val="single" w:sz="4" w:space="0" w:color="000000"/>
            </w:tcBorders>
            <w:vAlign w:val="center"/>
          </w:tcPr>
          <w:p w14:paraId="664066EF" w14:textId="77777777" w:rsidR="005A31FB" w:rsidRDefault="00000000">
            <w:pPr>
              <w:pStyle w:val="FWTable"/>
              <w:keepNext/>
              <w:rPr>
                <w:b/>
                <w:bCs/>
                <w:szCs w:val="24"/>
              </w:rPr>
            </w:pPr>
            <w:proofErr w:type="spellStart"/>
            <w:r>
              <w:rPr>
                <w:b/>
                <w:bCs/>
                <w:szCs w:val="24"/>
              </w:rPr>
              <w:t>Organisation</w:t>
            </w:r>
            <w:proofErr w:type="spellEnd"/>
            <w:r>
              <w:rPr>
                <w:b/>
                <w:bCs/>
                <w:szCs w:val="24"/>
              </w:rPr>
              <w:t xml:space="preserve"> </w:t>
            </w:r>
          </w:p>
        </w:tc>
        <w:tc>
          <w:tcPr>
            <w:tcW w:w="8410" w:type="dxa"/>
            <w:tcBorders>
              <w:top w:val="single" w:sz="4" w:space="0" w:color="000000"/>
              <w:left w:val="single" w:sz="4" w:space="0" w:color="000000"/>
              <w:bottom w:val="single" w:sz="4" w:space="0" w:color="000000"/>
              <w:right w:val="single" w:sz="4" w:space="0" w:color="000000"/>
            </w:tcBorders>
            <w:vAlign w:val="center"/>
          </w:tcPr>
          <w:p w14:paraId="4FB9C5B3" w14:textId="77777777" w:rsidR="005A31FB" w:rsidRDefault="00000000">
            <w:pPr>
              <w:pStyle w:val="FWTable"/>
              <w:keepNext/>
              <w:rPr>
                <w:b/>
                <w:bCs/>
                <w:szCs w:val="24"/>
              </w:rPr>
            </w:pPr>
            <w:r>
              <w:rPr>
                <w:b/>
                <w:bCs/>
                <w:szCs w:val="24"/>
              </w:rPr>
              <w:t>Capacity and arrangements</w:t>
            </w:r>
          </w:p>
        </w:tc>
      </w:tr>
      <w:tr w:rsidR="005A31FB" w14:paraId="4BD2D9B1"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18AE0554" w14:textId="77777777" w:rsidR="005A31FB" w:rsidRDefault="00000000">
            <w:pPr>
              <w:pStyle w:val="FWTable"/>
              <w:rPr>
                <w:szCs w:val="24"/>
              </w:rPr>
            </w:pPr>
            <w:r>
              <w:rPr>
                <w:b/>
                <w:bCs/>
                <w:szCs w:val="24"/>
              </w:rPr>
              <w:t xml:space="preserve">HUN-REN ATK – beneficiary, recruiting </w:t>
            </w:r>
            <w:proofErr w:type="spellStart"/>
            <w:r>
              <w:rPr>
                <w:b/>
                <w:bCs/>
                <w:szCs w:val="24"/>
              </w:rPr>
              <w:t>organisation</w:t>
            </w:r>
            <w:proofErr w:type="spellEnd"/>
            <w:r>
              <w:rPr>
                <w:b/>
                <w:bCs/>
                <w:szCs w:val="24"/>
              </w:rPr>
              <w:t xml:space="preserve"> and academic host</w:t>
            </w:r>
          </w:p>
        </w:tc>
        <w:tc>
          <w:tcPr>
            <w:tcW w:w="8410" w:type="dxa"/>
            <w:tcBorders>
              <w:top w:val="single" w:sz="4" w:space="0" w:color="000000"/>
              <w:left w:val="single" w:sz="4" w:space="0" w:color="000000"/>
              <w:bottom w:val="single" w:sz="4" w:space="0" w:color="000000"/>
              <w:right w:val="single" w:sz="4" w:space="0" w:color="000000"/>
            </w:tcBorders>
            <w:vAlign w:val="center"/>
          </w:tcPr>
          <w:p w14:paraId="670F2A33" w14:textId="07C52480" w:rsidR="005A31FB" w:rsidRDefault="00000000">
            <w:pPr>
              <w:pStyle w:val="FWTable"/>
              <w:rPr>
                <w:szCs w:val="24"/>
              </w:rPr>
            </w:pPr>
            <w:r>
              <w:rPr>
                <w:szCs w:val="24"/>
              </w:rPr>
              <w:t xml:space="preserve">HUN-REN research </w:t>
            </w:r>
            <w:proofErr w:type="spellStart"/>
            <w:r>
              <w:rPr>
                <w:szCs w:val="24"/>
              </w:rPr>
              <w:t>organisation</w:t>
            </w:r>
            <w:proofErr w:type="spellEnd"/>
            <w:r>
              <w:rPr>
                <w:szCs w:val="24"/>
              </w:rPr>
              <w:t xml:space="preserve">, </w:t>
            </w:r>
            <w:proofErr w:type="spellStart"/>
            <w:r>
              <w:rPr>
                <w:szCs w:val="24"/>
              </w:rPr>
              <w:t>Martonvásár</w:t>
            </w:r>
            <w:proofErr w:type="spellEnd"/>
            <w:r>
              <w:rPr>
                <w:szCs w:val="24"/>
              </w:rPr>
              <w:t xml:space="preserve">, with the fellowship anchored in the Agricultural Institute. </w:t>
            </w:r>
            <w:r>
              <w:rPr>
                <w:b/>
                <w:bCs/>
                <w:szCs w:val="24"/>
              </w:rPr>
              <w:t>Prof. Tibor Janda is the primary supervisor</w:t>
            </w:r>
            <w:r>
              <w:rPr>
                <w:szCs w:val="24"/>
              </w:rPr>
              <w:t xml:space="preserve">, providing scientific supervision in plant-stress physiology, phenotyping and abiotic-stress research. </w:t>
            </w:r>
            <w:r>
              <w:rPr>
                <w:b/>
                <w:bCs/>
                <w:szCs w:val="24"/>
              </w:rPr>
              <w:t>Dr Roland Hollós</w:t>
            </w:r>
            <w:r>
              <w:rPr>
                <w:szCs w:val="24"/>
              </w:rPr>
              <w:t xml:space="preserve"> supports the predictive-modelling/ML strand. Where available and formally assigned </w:t>
            </w:r>
            <w:r>
              <w:rPr>
                <w:b/>
                <w:bCs/>
                <w:szCs w:val="24"/>
              </w:rPr>
              <w:t>early-stage female researchers will participate in field measurements under supervision</w:t>
            </w:r>
            <w:r>
              <w:rPr>
                <w:szCs w:val="24"/>
              </w:rPr>
              <w:t>, providing practical research-training opportunities and supporting gender-balanced participation. ATK provides the scientific environment, infrastructure, workspace, administration and project support required throughout the action.</w:t>
            </w:r>
          </w:p>
        </w:tc>
      </w:tr>
      <w:tr w:rsidR="005A31FB" w14:paraId="47D0520C"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72F63C1B" w14:textId="77777777" w:rsidR="005A31FB" w:rsidRDefault="00000000">
            <w:pPr>
              <w:pStyle w:val="FWTable"/>
              <w:rPr>
                <w:szCs w:val="24"/>
              </w:rPr>
            </w:pPr>
            <w:r>
              <w:rPr>
                <w:b/>
                <w:bCs/>
                <w:szCs w:val="24"/>
              </w:rPr>
              <w:t>ELTE – 12-month research secondment host</w:t>
            </w:r>
          </w:p>
        </w:tc>
        <w:tc>
          <w:tcPr>
            <w:tcW w:w="8410" w:type="dxa"/>
            <w:tcBorders>
              <w:top w:val="single" w:sz="4" w:space="0" w:color="000000"/>
              <w:left w:val="single" w:sz="4" w:space="0" w:color="000000"/>
              <w:bottom w:val="single" w:sz="4" w:space="0" w:color="000000"/>
              <w:right w:val="single" w:sz="4" w:space="0" w:color="000000"/>
            </w:tcBorders>
            <w:vAlign w:val="center"/>
          </w:tcPr>
          <w:p w14:paraId="6B6CCBB8" w14:textId="77777777" w:rsidR="005A31FB" w:rsidRDefault="00000000">
            <w:pPr>
              <w:pStyle w:val="FWTable"/>
              <w:rPr>
                <w:szCs w:val="24"/>
              </w:rPr>
            </w:pPr>
            <w:r>
              <w:rPr>
                <w:szCs w:val="24"/>
              </w:rPr>
              <w:t xml:space="preserve">The Institute of Cartography and Geoinformatics provides expertise in hyperspectral sensing, geoinformatics, Earth observation and sensing-scale transfer. </w:t>
            </w:r>
            <w:r>
              <w:rPr>
                <w:b/>
                <w:bCs/>
                <w:szCs w:val="24"/>
              </w:rPr>
              <w:t>Prof. András Jung is the co-supervisor and secondment supervisor.</w:t>
            </w:r>
            <w:r>
              <w:rPr>
                <w:szCs w:val="24"/>
              </w:rPr>
              <w:t xml:space="preserve"> The </w:t>
            </w:r>
            <w:r>
              <w:rPr>
                <w:b/>
                <w:bCs/>
                <w:szCs w:val="24"/>
              </w:rPr>
              <w:t>12-month research secondment is distributed across the 24-month fellowship</w:t>
            </w:r>
            <w:r>
              <w:rPr>
                <w:szCs w:val="24"/>
              </w:rPr>
              <w:t xml:space="preserve"> to support early hyperspectral-to-Sentinel </w:t>
            </w:r>
            <w:proofErr w:type="spellStart"/>
            <w:r>
              <w:rPr>
                <w:szCs w:val="24"/>
              </w:rPr>
              <w:t>harmonisation</w:t>
            </w:r>
            <w:proofErr w:type="spellEnd"/>
            <w:r>
              <w:rPr>
                <w:szCs w:val="24"/>
              </w:rPr>
              <w:t xml:space="preserve"> and prospective Sentinel-2 transfer assessment. </w:t>
            </w:r>
            <w:r>
              <w:rPr>
                <w:b/>
                <w:bCs/>
                <w:szCs w:val="24"/>
              </w:rPr>
              <w:t>Dr Zsófia Varga</w:t>
            </w:r>
            <w:r>
              <w:rPr>
                <w:szCs w:val="24"/>
              </w:rPr>
              <w:t xml:space="preserve"> supports targeted UAV acquisition where required and feasible; UAV observations remain supplementary and do not replace Sentinel-2 in the primary transferability assessment. Where available, </w:t>
            </w:r>
            <w:r>
              <w:rPr>
                <w:b/>
                <w:bCs/>
                <w:szCs w:val="24"/>
              </w:rPr>
              <w:t>female students will participate in EO/geospatial processing and measurement activities under supervision</w:t>
            </w:r>
            <w:r>
              <w:rPr>
                <w:szCs w:val="24"/>
              </w:rPr>
              <w:t>, strengthening practical training and gender-balanced participation.</w:t>
            </w:r>
          </w:p>
        </w:tc>
      </w:tr>
      <w:tr w:rsidR="005A31FB" w14:paraId="1B829FBA"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1DE8681C" w14:textId="77777777" w:rsidR="005A31FB" w:rsidRDefault="00000000">
            <w:pPr>
              <w:pStyle w:val="FWTable"/>
              <w:rPr>
                <w:szCs w:val="24"/>
              </w:rPr>
            </w:pPr>
            <w:r>
              <w:rPr>
                <w:b/>
                <w:bCs/>
                <w:szCs w:val="24"/>
              </w:rPr>
              <w:t>MATE – historical-data and irrigation-science contributor</w:t>
            </w:r>
          </w:p>
        </w:tc>
        <w:tc>
          <w:tcPr>
            <w:tcW w:w="8410" w:type="dxa"/>
            <w:tcBorders>
              <w:top w:val="single" w:sz="4" w:space="0" w:color="000000"/>
              <w:left w:val="single" w:sz="4" w:space="0" w:color="000000"/>
              <w:bottom w:val="single" w:sz="4" w:space="0" w:color="000000"/>
              <w:right w:val="single" w:sz="4" w:space="0" w:color="000000"/>
            </w:tcBorders>
            <w:vAlign w:val="center"/>
          </w:tcPr>
          <w:p w14:paraId="77EEB42A" w14:textId="77777777" w:rsidR="005A31FB" w:rsidRDefault="00000000">
            <w:pPr>
              <w:pStyle w:val="FWTable"/>
              <w:rPr>
                <w:szCs w:val="24"/>
              </w:rPr>
            </w:pPr>
            <w:r>
              <w:rPr>
                <w:szCs w:val="24"/>
              </w:rPr>
              <w:t xml:space="preserve">Provides the </w:t>
            </w:r>
            <w:r>
              <w:rPr>
                <w:b/>
                <w:bCs/>
                <w:szCs w:val="24"/>
              </w:rPr>
              <w:t>2022–2026 controlled-irrigation processing-tomato archive</w:t>
            </w:r>
            <w:r>
              <w:rPr>
                <w:szCs w:val="24"/>
              </w:rPr>
              <w:t xml:space="preserve">, including soil-water, physiological, spectral, meteorological and agronomic observations. </w:t>
            </w:r>
            <w:r>
              <w:rPr>
                <w:b/>
                <w:bCs/>
                <w:szCs w:val="24"/>
              </w:rPr>
              <w:t>Dr Sándor Takács</w:t>
            </w:r>
            <w:r>
              <w:rPr>
                <w:szCs w:val="24"/>
              </w:rPr>
              <w:t xml:space="preserve"> contributes processing-tomato irrigation and </w:t>
            </w:r>
            <w:proofErr w:type="spellStart"/>
            <w:r>
              <w:rPr>
                <w:szCs w:val="24"/>
              </w:rPr>
              <w:t>AquaCrop</w:t>
            </w:r>
            <w:proofErr w:type="spellEnd"/>
            <w:r>
              <w:rPr>
                <w:szCs w:val="24"/>
              </w:rPr>
              <w:t xml:space="preserve"> expertise, while </w:t>
            </w:r>
            <w:r>
              <w:rPr>
                <w:b/>
                <w:bCs/>
                <w:szCs w:val="24"/>
              </w:rPr>
              <w:t>Prof. Gábor Milics</w:t>
            </w:r>
            <w:r>
              <w:rPr>
                <w:szCs w:val="24"/>
              </w:rPr>
              <w:t xml:space="preserve"> contributes precision-agriculture expertise. Data access and permitted reuse are documented before analysis and exploitation.</w:t>
            </w:r>
          </w:p>
        </w:tc>
      </w:tr>
      <w:tr w:rsidR="005A31FB" w14:paraId="58BD7837"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7D366EC5" w14:textId="77777777" w:rsidR="005A31FB" w:rsidRDefault="00000000">
            <w:pPr>
              <w:pStyle w:val="FWTable"/>
              <w:rPr>
                <w:sz w:val="24"/>
                <w:szCs w:val="24"/>
              </w:rPr>
            </w:pPr>
            <w:proofErr w:type="spellStart"/>
            <w:r>
              <w:rPr>
                <w:b/>
                <w:bCs/>
                <w:szCs w:val="24"/>
              </w:rPr>
              <w:t>Krumatic</w:t>
            </w:r>
            <w:proofErr w:type="spellEnd"/>
            <w:r>
              <w:rPr>
                <w:b/>
                <w:bCs/>
                <w:szCs w:val="24"/>
              </w:rPr>
              <w:t xml:space="preserve"> EOOD – remunerated software-engineering support</w:t>
            </w:r>
          </w:p>
        </w:tc>
        <w:tc>
          <w:tcPr>
            <w:tcW w:w="8410" w:type="dxa"/>
            <w:tcBorders>
              <w:top w:val="single" w:sz="4" w:space="0" w:color="000000"/>
              <w:left w:val="single" w:sz="4" w:space="0" w:color="000000"/>
              <w:bottom w:val="single" w:sz="4" w:space="0" w:color="000000"/>
              <w:right w:val="single" w:sz="4" w:space="0" w:color="000000"/>
            </w:tcBorders>
            <w:vAlign w:val="center"/>
          </w:tcPr>
          <w:p w14:paraId="2C44715B" w14:textId="77777777" w:rsidR="005A31FB" w:rsidRDefault="00000000">
            <w:pPr>
              <w:pStyle w:val="FWTable"/>
              <w:rPr>
                <w:szCs w:val="24"/>
              </w:rPr>
            </w:pPr>
            <w:proofErr w:type="spellStart"/>
            <w:r>
              <w:rPr>
                <w:szCs w:val="24"/>
              </w:rPr>
              <w:t>Krumatic</w:t>
            </w:r>
            <w:proofErr w:type="spellEnd"/>
            <w:r>
              <w:rPr>
                <w:szCs w:val="24"/>
              </w:rPr>
              <w:t xml:space="preserve"> provides </w:t>
            </w:r>
            <w:r>
              <w:rPr>
                <w:b/>
                <w:bCs/>
                <w:szCs w:val="24"/>
              </w:rPr>
              <w:t>paid specialist software-engineering services</w:t>
            </w:r>
            <w:r>
              <w:rPr>
                <w:szCs w:val="24"/>
              </w:rPr>
              <w:t xml:space="preserve"> for implementation of the </w:t>
            </w:r>
            <w:proofErr w:type="spellStart"/>
            <w:r>
              <w:rPr>
                <w:szCs w:val="24"/>
              </w:rPr>
              <w:t>DrR</w:t>
            </w:r>
            <w:proofErr w:type="spellEnd"/>
            <w:r>
              <w:rPr>
                <w:szCs w:val="24"/>
              </w:rPr>
              <w:t xml:space="preserve"> web MVP from the fellow’s pre-existing desktop research prototype. Scientific specifications, model validation and interpretation remain with the fellow/HUN-REN ATK. The development agreement defines software deliverables, source-code delivery and relevant ownership, licensing and access rights.</w:t>
            </w:r>
          </w:p>
        </w:tc>
      </w:tr>
      <w:tr w:rsidR="005A31FB" w14:paraId="0BD4AD51"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77B9ACBF" w14:textId="77777777" w:rsidR="005A31FB" w:rsidRDefault="00000000">
            <w:pPr>
              <w:pStyle w:val="FWTable"/>
              <w:rPr>
                <w:sz w:val="24"/>
                <w:szCs w:val="24"/>
              </w:rPr>
            </w:pPr>
            <w:proofErr w:type="spellStart"/>
            <w:r>
              <w:rPr>
                <w:b/>
                <w:bCs/>
                <w:szCs w:val="24"/>
              </w:rPr>
              <w:t>AgroVIR</w:t>
            </w:r>
            <w:proofErr w:type="spellEnd"/>
            <w:r>
              <w:rPr>
                <w:b/>
                <w:bCs/>
                <w:szCs w:val="24"/>
              </w:rPr>
              <w:t xml:space="preserve"> Kft. – non-academic placement host</w:t>
            </w:r>
          </w:p>
        </w:tc>
        <w:tc>
          <w:tcPr>
            <w:tcW w:w="8410" w:type="dxa"/>
            <w:tcBorders>
              <w:top w:val="single" w:sz="4" w:space="0" w:color="000000"/>
              <w:left w:val="single" w:sz="4" w:space="0" w:color="000000"/>
              <w:bottom w:val="single" w:sz="4" w:space="0" w:color="000000"/>
              <w:right w:val="single" w:sz="4" w:space="0" w:color="000000"/>
            </w:tcBorders>
            <w:vAlign w:val="center"/>
          </w:tcPr>
          <w:p w14:paraId="29250244" w14:textId="2FE39376" w:rsidR="005A31FB" w:rsidRDefault="00000000">
            <w:pPr>
              <w:pStyle w:val="FWTable"/>
              <w:rPr>
                <w:szCs w:val="24"/>
              </w:rPr>
            </w:pPr>
            <w:r>
              <w:rPr>
                <w:szCs w:val="24"/>
              </w:rPr>
              <w:t xml:space="preserve">Hungarian FMIS company. </w:t>
            </w:r>
            <w:proofErr w:type="spellStart"/>
            <w:r>
              <w:rPr>
                <w:szCs w:val="24"/>
              </w:rPr>
              <w:t>AgroVIR</w:t>
            </w:r>
            <w:proofErr w:type="spellEnd"/>
            <w:r>
              <w:rPr>
                <w:szCs w:val="24"/>
              </w:rPr>
              <w:t xml:space="preserve"> provides operational requirements and feedback during the fellowship and hosts the </w:t>
            </w:r>
            <w:r>
              <w:rPr>
                <w:b/>
                <w:bCs/>
                <w:szCs w:val="24"/>
              </w:rPr>
              <w:t>M25–M30 non-academic placement</w:t>
            </w:r>
            <w:r>
              <w:rPr>
                <w:szCs w:val="24"/>
              </w:rPr>
              <w:t xml:space="preserve">, where the validated </w:t>
            </w:r>
            <w:proofErr w:type="spellStart"/>
            <w:r>
              <w:rPr>
                <w:szCs w:val="24"/>
              </w:rPr>
              <w:t>DrR</w:t>
            </w:r>
            <w:proofErr w:type="spellEnd"/>
            <w:r>
              <w:rPr>
                <w:szCs w:val="24"/>
              </w:rPr>
              <w:t xml:space="preserve"> web MVP is evaluated for usability, decision relevance, data requirements</w:t>
            </w:r>
            <w:r>
              <w:rPr>
                <w:szCs w:val="24"/>
                <w:lang w:val="bg-BG"/>
              </w:rPr>
              <w:t xml:space="preserve"> </w:t>
            </w:r>
            <w:r>
              <w:rPr>
                <w:szCs w:val="24"/>
              </w:rPr>
              <w:t>and interoperability. Proprietary customer-data access is not a project dependency.</w:t>
            </w:r>
          </w:p>
        </w:tc>
      </w:tr>
      <w:tr w:rsidR="005A31FB" w14:paraId="4F098B88"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7909C241" w14:textId="77777777" w:rsidR="005A31FB" w:rsidRDefault="00000000">
            <w:pPr>
              <w:pStyle w:val="FWTable"/>
              <w:rPr>
                <w:szCs w:val="24"/>
              </w:rPr>
            </w:pPr>
            <w:r>
              <w:rPr>
                <w:b/>
                <w:bCs/>
                <w:szCs w:val="24"/>
              </w:rPr>
              <w:t>Commercial farmer/producer – prospective field-trial host and validation environment</w:t>
            </w:r>
          </w:p>
        </w:tc>
        <w:tc>
          <w:tcPr>
            <w:tcW w:w="8410" w:type="dxa"/>
            <w:tcBorders>
              <w:top w:val="single" w:sz="4" w:space="0" w:color="000000"/>
              <w:left w:val="single" w:sz="4" w:space="0" w:color="000000"/>
              <w:bottom w:val="single" w:sz="4" w:space="0" w:color="000000"/>
              <w:right w:val="single" w:sz="4" w:space="0" w:color="000000"/>
            </w:tcBorders>
            <w:vAlign w:val="center"/>
          </w:tcPr>
          <w:p w14:paraId="066E42E9" w14:textId="77777777" w:rsidR="005A31FB" w:rsidRDefault="00000000">
            <w:pPr>
              <w:pStyle w:val="FWTable"/>
              <w:rPr>
                <w:szCs w:val="24"/>
              </w:rPr>
            </w:pPr>
            <w:r>
              <w:rPr>
                <w:szCs w:val="24"/>
              </w:rPr>
              <w:t xml:space="preserve">An independent Hungarian </w:t>
            </w:r>
            <w:r>
              <w:rPr>
                <w:b/>
                <w:bCs/>
                <w:szCs w:val="24"/>
              </w:rPr>
              <w:t>farmer/producer, irrespective of gender</w:t>
            </w:r>
            <w:r>
              <w:rPr>
                <w:szCs w:val="24"/>
              </w:rPr>
              <w:t xml:space="preserve">, provides the commercial field for </w:t>
            </w:r>
            <w:r>
              <w:rPr>
                <w:b/>
                <w:bCs/>
                <w:szCs w:val="24"/>
              </w:rPr>
              <w:t>two prospective seasons</w:t>
            </w:r>
            <w:r>
              <w:rPr>
                <w:szCs w:val="24"/>
              </w:rPr>
              <w:t xml:space="preserve">, implements the agreed irrigation treatments and carries out routine crop management according to the field protocol. The project installs soil-water and meteorological monitoring and conducts coordinated physiological and EO observations. Experimental design, stress-reference definition, validation, analysis and scientific interpretation remain with the fellow/HUN-REN ATK. </w:t>
            </w:r>
          </w:p>
        </w:tc>
      </w:tr>
      <w:tr w:rsidR="005A31FB" w14:paraId="0BADCA25" w14:textId="77777777">
        <w:trPr>
          <w:cantSplit/>
        </w:trPr>
        <w:tc>
          <w:tcPr>
            <w:tcW w:w="1794" w:type="dxa"/>
            <w:tcBorders>
              <w:top w:val="single" w:sz="4" w:space="0" w:color="000000"/>
              <w:left w:val="single" w:sz="4" w:space="0" w:color="000000"/>
              <w:bottom w:val="single" w:sz="4" w:space="0" w:color="000000"/>
              <w:right w:val="single" w:sz="4" w:space="0" w:color="000000"/>
            </w:tcBorders>
            <w:vAlign w:val="center"/>
          </w:tcPr>
          <w:p w14:paraId="3C3AC4A9" w14:textId="77777777" w:rsidR="005A31FB" w:rsidRDefault="00000000">
            <w:pPr>
              <w:pStyle w:val="FWTable"/>
              <w:rPr>
                <w:szCs w:val="24"/>
              </w:rPr>
            </w:pPr>
            <w:r>
              <w:rPr>
                <w:b/>
                <w:bCs/>
                <w:szCs w:val="24"/>
              </w:rPr>
              <w:t>MVCRI, Plovdiv – post-MSCA continuation route</w:t>
            </w:r>
          </w:p>
        </w:tc>
        <w:tc>
          <w:tcPr>
            <w:tcW w:w="8410" w:type="dxa"/>
            <w:tcBorders>
              <w:top w:val="single" w:sz="4" w:space="0" w:color="000000"/>
              <w:left w:val="single" w:sz="4" w:space="0" w:color="000000"/>
              <w:bottom w:val="single" w:sz="4" w:space="0" w:color="000000"/>
              <w:right w:val="single" w:sz="4" w:space="0" w:color="000000"/>
            </w:tcBorders>
            <w:vAlign w:val="center"/>
          </w:tcPr>
          <w:p w14:paraId="35976295" w14:textId="77777777" w:rsidR="005A31FB" w:rsidRDefault="00000000">
            <w:pPr>
              <w:pStyle w:val="FWTable"/>
              <w:rPr>
                <w:szCs w:val="24"/>
              </w:rPr>
            </w:pPr>
            <w:r>
              <w:rPr>
                <w:b/>
                <w:bCs/>
                <w:szCs w:val="24"/>
              </w:rPr>
              <w:t>Prof. Ganeva</w:t>
            </w:r>
            <w:r>
              <w:rPr>
                <w:szCs w:val="24"/>
              </w:rPr>
              <w:t xml:space="preserve"> supports the institutional route for post-MSCA continuation at MVCRI. The institute provides a realistic pathway for crop-specific recalibration, further validation in other high-value irrigated vegetable crops, and transfer of FIELDWISE knowledge to Bulgarian production conditions. </w:t>
            </w:r>
            <w:r>
              <w:rPr>
                <w:b/>
                <w:bCs/>
                <w:szCs w:val="24"/>
              </w:rPr>
              <w:t>MVCRI has no core in-action validation role during the project.</w:t>
            </w:r>
          </w:p>
        </w:tc>
      </w:tr>
    </w:tbl>
    <w:p w14:paraId="2530A304" w14:textId="77777777" w:rsidR="00D81E6D" w:rsidRDefault="00D81E6D"/>
    <w:sectPr w:rsidR="00D81E6D">
      <w:headerReference w:type="default" r:id="rId8"/>
      <w:footerReference w:type="even" r:id="rId9"/>
      <w:footerReference w:type="default" r:id="rId10"/>
      <w:headerReference w:type="first" r:id="rId11"/>
      <w:footerReference w:type="first" r:id="rId12"/>
      <w:pgSz w:w="11906" w:h="16838"/>
      <w:pgMar w:top="851" w:right="851" w:bottom="851" w:left="851" w:header="708" w:footer="708"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EE33" w14:textId="77777777" w:rsidR="00D81E6D" w:rsidRDefault="00D81E6D">
      <w:pPr>
        <w:spacing w:after="0" w:line="240" w:lineRule="auto"/>
      </w:pPr>
      <w:r>
        <w:separator/>
      </w:r>
    </w:p>
  </w:endnote>
  <w:endnote w:type="continuationSeparator" w:id="0">
    <w:p w14:paraId="7DAB3AF3" w14:textId="77777777" w:rsidR="00D81E6D" w:rsidRDefault="00D8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DE1B" w14:textId="77777777" w:rsidR="005A31FB" w:rsidRDefault="005A31FB">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D097" w14:textId="1C30BCBE" w:rsidR="005A31FB" w:rsidRDefault="00000000">
    <w:r>
      <w:rPr>
        <w:noProof/>
      </w:rPr>
      <w:drawing>
        <wp:inline distT="0" distB="0" distL="0" distR="0" wp14:anchorId="3056A2FB" wp14:editId="06B73441">
          <wp:extent cx="5785485" cy="26733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sidR="00DD270D">
      <w:rPr>
        <w:noProof/>
      </w:rPr>
      <w:pict w14:anchorId="7D24B8A0">
        <v:shapetype id="_x0000_t202" coordsize="21600,21600" o:spt="202" path="m,l,21600r21600,l21600,xe">
          <v:stroke joinstyle="miter"/>
          <v:path gradientshapeok="t" o:connecttype="rect"/>
        </v:shapetype>
        <v:shape id="Frame2" o:spid="_x0000_s1026" type="#_x0000_t202" style="position:absolute;margin-left:0;margin-top:.05pt;width:455.55pt;height:21.05pt;z-index:251657216;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" fillcolor="#d8d8d8">
          <v:textbox>
            <w:txbxContent>
              <w:p w14:paraId="1ED6CE0F"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EE67" w14:textId="66756ABA" w:rsidR="005A31FB" w:rsidRDefault="00000000">
    <w:r>
      <w:rPr>
        <w:noProof/>
      </w:rPr>
      <w:drawing>
        <wp:inline distT="0" distB="0" distL="0" distR="0" wp14:anchorId="4C8832DB" wp14:editId="2013D0E7">
          <wp:extent cx="5785485" cy="26733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sidR="00DD270D">
      <w:rPr>
        <w:noProof/>
      </w:rPr>
      <w:pict w14:anchorId="4393B260">
        <v:shapetype id="_x0000_t202" coordsize="21600,21600" o:spt="202" path="m,l,21600r21600,l21600,xe">
          <v:stroke joinstyle="miter"/>
          <v:path gradientshapeok="t" o:connecttype="rect"/>
        </v:shapetype>
        <v:shape id="_x0000_s1025" type="#_x0000_t202" style="position:absolute;margin-left:0;margin-top:.05pt;width:455.55pt;height:21.0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" fillcolor="#d8d8d8">
          <v:textbox>
            <w:txbxContent>
              <w:p w14:paraId="2955DA98"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5765" w14:textId="77777777" w:rsidR="00D81E6D" w:rsidRDefault="00D81E6D">
      <w:pPr>
        <w:rPr>
          <w:sz w:val="12"/>
        </w:rPr>
      </w:pPr>
      <w:r>
        <w:separator/>
      </w:r>
    </w:p>
  </w:footnote>
  <w:footnote w:type="continuationSeparator" w:id="0">
    <w:p w14:paraId="73E792D8" w14:textId="77777777" w:rsidR="00D81E6D" w:rsidRDefault="00D81E6D">
      <w:pPr>
        <w:rPr>
          <w:sz w:val="12"/>
        </w:rPr>
      </w:pPr>
      <w:r>
        <w:continuationSeparator/>
      </w:r>
    </w:p>
  </w:footnote>
  <w:footnote w:id="1">
    <w:p w14:paraId="5A774A6D"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https://www.eea.europa.eu</w:t>
      </w:r>
    </w:p>
  </w:footnote>
  <w:footnote w:id="2">
    <w:p w14:paraId="2D6F16D5"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Gerhards M. et al. (2019), Challenges and Future Perspectives of Multi-/Hyperspectral Thermal Infrared Remote Sensing for Crop Water-Stress Detection: A Review, Remote Sensing 11, 1240.</w:t>
      </w:r>
    </w:p>
  </w:footnote>
  <w:footnote w:id="3">
    <w:p w14:paraId="19CBBE0D"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Takács S. et al. (2020), Influence of Water Stress Levels on the Yield and Lycopene Content of Tomato, Water 12, 2165.</w:t>
      </w:r>
    </w:p>
  </w:footnote>
  <w:footnote w:id="4">
    <w:p w14:paraId="3846B5F1"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Takács S. et al. (2021), Performance Evaluation of </w:t>
      </w:r>
      <w:proofErr w:type="spellStart"/>
      <w:r>
        <w:rPr>
          <w:rFonts w:ascii="Times New Roman" w:hAnsi="Times New Roman"/>
          <w:sz w:val="18"/>
          <w:szCs w:val="18"/>
        </w:rPr>
        <w:t>AquaCrop</w:t>
      </w:r>
      <w:proofErr w:type="spellEnd"/>
      <w:r>
        <w:rPr>
          <w:rFonts w:ascii="Times New Roman" w:hAnsi="Times New Roman"/>
          <w:sz w:val="18"/>
          <w:szCs w:val="18"/>
        </w:rPr>
        <w:t xml:space="preserve"> Model in Processing Tomato Biomass, Fruit Yield and Water Stress Indicator Modelling, Water 13, 3587.</w:t>
      </w:r>
    </w:p>
  </w:footnote>
  <w:footnote w:id="5">
    <w:p w14:paraId="0BBEA164"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Hollós R. et al. (2026), Meta-modelling of carbon fluxes from crop and grassland multi-model outputs, Geoscientific Model Development 19, 4385–4438.</w:t>
      </w:r>
    </w:p>
  </w:footnote>
  <w:footnote w:id="6">
    <w:p w14:paraId="2B422DB4"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Jung A. et al. (2010), White-reference based post-correction method for multi-source spectral libraries, PFG 2010(5), 363–369.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6E38" w14:textId="77777777" w:rsidR="005A31FB" w:rsidRDefault="00000000">
    <w:pPr>
      <w:tabs>
        <w:tab w:val="center" w:pos="4536"/>
        <w:tab w:val="right" w:pos="9072"/>
      </w:tabs>
      <w:ind w:right="227"/>
      <w:jc w:val="both"/>
      <w:rPr>
        <w:rFonts w:cs="Arial"/>
        <w:sz w:val="16"/>
        <w:szCs w:val="20"/>
      </w:rPr>
    </w:pPr>
    <w:r>
      <w:rPr>
        <w:rFonts w:cs="Arial"/>
        <w:sz w:val="16"/>
        <w:szCs w:val="20"/>
      </w:rPr>
      <w:t xml:space="preserve">Call: </w:t>
    </w:r>
    <w:r>
      <w:rPr>
        <w:sz w:val="16"/>
      </w:rPr>
      <w:t>HORIZON-MSCA-2026-PF-01: MSCA Postdoctoral Fellowships 2026</w:t>
    </w:r>
  </w:p>
  <w:p w14:paraId="2CF517DD" w14:textId="77777777" w:rsidR="005A31FB" w:rsidRDefault="00000000">
    <w:pPr>
      <w:jc w:val="right"/>
      <w:rPr>
        <w:rFonts w:cs="Arial"/>
        <w:color w:val="808080"/>
        <w:sz w:val="16"/>
        <w:szCs w:val="20"/>
      </w:rPr>
    </w:pPr>
    <w:r>
      <w:rPr>
        <w:rFonts w:cs="Arial"/>
        <w:color w:val="808080"/>
        <w:sz w:val="16"/>
        <w:szCs w:val="20"/>
      </w:rPr>
      <w:t xml:space="preserve">EU Grants: Application form </w:t>
    </w:r>
    <w:r>
      <w:rPr>
        <w:rFonts w:cs="Arial"/>
        <w:color w:val="7F7F7F"/>
        <w:sz w:val="16"/>
        <w:szCs w:val="16"/>
      </w:rPr>
      <w:t>(HE MSCA PF)</w:t>
    </w:r>
    <w:r>
      <w:rPr>
        <w:rFonts w:cs="Arial"/>
        <w:color w:val="7F7F7F"/>
        <w:sz w:val="16"/>
        <w:szCs w:val="20"/>
      </w:rPr>
      <w:t xml:space="preserve">: </w:t>
    </w:r>
    <w:r>
      <w:rPr>
        <w:rFonts w:cs="Arial"/>
        <w:color w:val="808080"/>
        <w:sz w:val="16"/>
        <w:szCs w:val="20"/>
      </w:rPr>
      <w:t>V5.0 – 27.03.2026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9674" w14:textId="77777777" w:rsidR="005A31FB" w:rsidRDefault="005A31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9.75pt;height:9.75pt" coordsize="" o:spt="100" o:bullet="t" adj="0,,0" path="" stroked="f">
        <v:stroke joinstyle="miter"/>
        <v:imagedata r:id="rId1" o:title=""/>
        <v:formulas/>
        <v:path o:connecttype="segments"/>
      </v:shape>
    </w:pict>
  </w:numPicBullet>
  <w:numPicBullet w:numPicBulletId="1">
    <w:pict>
      <v:shape id="_x0000_i1026" style="width:12.75pt;height:12.75pt" coordsize="" o:spt="100" o:bullet="t" adj="0,,0" path="" stroked="f">
        <v:stroke joinstyle="miter"/>
        <v:imagedata r:id="rId2" o:title=""/>
        <v:formulas/>
        <v:path o:connecttype="segments"/>
      </v:shape>
    </w:pict>
  </w:numPicBullet>
  <w:abstractNum w:abstractNumId="0" w15:restartNumberingAfterBreak="0">
    <w:nsid w:val="1FCF7B06"/>
    <w:multiLevelType w:val="multilevel"/>
    <w:tmpl w:val="E4C4D12C"/>
    <w:lvl w:ilvl="0">
      <w:start w:val="1"/>
      <w:numFmt w:val="decimal"/>
      <w:lvlText w:val="%1"/>
      <w:lvlJc w:val="left"/>
      <w:pPr>
        <w:tabs>
          <w:tab w:val="num" w:pos="0"/>
        </w:tabs>
        <w:ind w:left="706" w:hanging="706"/>
      </w:pPr>
      <w:rPr>
        <w:rFonts w:cs="Times New Roman"/>
      </w:rPr>
    </w:lvl>
    <w:lvl w:ilvl="1">
      <w:start w:val="1"/>
      <w:numFmt w:val="decimal"/>
      <w:lvlText w:val="%1.%2"/>
      <w:lvlJc w:val="left"/>
      <w:pPr>
        <w:tabs>
          <w:tab w:val="num" w:pos="0"/>
        </w:tabs>
        <w:ind w:left="706" w:hanging="706"/>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1" w15:restartNumberingAfterBreak="0">
    <w:nsid w:val="6F986A80"/>
    <w:multiLevelType w:val="multilevel"/>
    <w:tmpl w:val="DED0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60474447">
    <w:abstractNumId w:val="0"/>
  </w:num>
  <w:num w:numId="2" w16cid:durableId="1892811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LW_DocType" w:val="NORMAL"/>
  </w:docVars>
  <w:rsids>
    <w:rsidRoot w:val="005A31FB"/>
    <w:rsid w:val="00424C61"/>
    <w:rsid w:val="005A31FB"/>
    <w:rsid w:val="00715493"/>
    <w:rsid w:val="00814721"/>
    <w:rsid w:val="00D81E6D"/>
    <w:rsid w:val="00DD270D"/>
    <w:rsid w:val="00EF5F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01AF8"/>
  <w15:docId w15:val="{1000963E-64CE-400C-A586-2008F023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rPr>
      <w:rFonts w:ascii="Calibri" w:eastAsia="Courier New" w:hAnsi="Calibri" w:cs="Times New Roman"/>
      <w:sz w:val="22"/>
      <w:szCs w:val="22"/>
      <w:lang w:eastAsia="en-US" w:bidi="ar-SA"/>
    </w:rPr>
  </w:style>
  <w:style w:type="paragraph" w:styleId="Cmsor2">
    <w:name w:val="heading 2"/>
    <w:basedOn w:val="Norml"/>
    <w:next w:val="Norml"/>
    <w:uiPriority w:val="9"/>
    <w:unhideWhenUsed/>
    <w:qFormat/>
    <w:pPr>
      <w:keepNext/>
      <w:keepLines/>
      <w:spacing w:before="40" w:after="0"/>
      <w:outlineLvl w:val="1"/>
    </w:pPr>
    <w:rPr>
      <w:b/>
      <w:bCs/>
      <w:iCs/>
      <w:sz w:val="28"/>
      <w:szCs w:val="24"/>
    </w:rPr>
  </w:style>
  <w:style w:type="paragraph" w:styleId="Cmsor3">
    <w:name w:val="heading 3"/>
    <w:basedOn w:val="Norml"/>
    <w:next w:val="Norml"/>
    <w:uiPriority w:val="9"/>
    <w:semiHidden/>
    <w:unhideWhenUsed/>
    <w:qFormat/>
    <w:pPr>
      <w:keepNext/>
      <w:keepLines/>
      <w:spacing w:before="40" w:after="0"/>
      <w:outlineLvl w:val="2"/>
    </w:pPr>
    <w:rPr>
      <w:rFonts w:ascii="Calibri Light" w:eastAsia="Times New Roman" w:hAnsi="Calibri Light"/>
      <w:color w:val="1F4D78"/>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qFormat/>
    <w:rPr>
      <w:rFonts w:ascii="Times New Roman" w:hAnsi="Times New Roman" w:cs="Times New Roman"/>
      <w:b/>
      <w:bCs/>
      <w:iCs/>
      <w:sz w:val="24"/>
      <w:szCs w:val="24"/>
      <w:lang w:val="en-US" w:eastAsia="en-US"/>
    </w:rPr>
  </w:style>
  <w:style w:type="character" w:customStyle="1" w:styleId="Cmsor3Char">
    <w:name w:val="Címsor 3 Char"/>
    <w:basedOn w:val="Bekezdsalapbettpusa"/>
    <w:qFormat/>
    <w:rPr>
      <w:rFonts w:ascii="Calibri Light" w:eastAsia="Times New Roman" w:hAnsi="Calibri Light" w:cs="Times New Roman"/>
      <w:color w:val="1F4D78"/>
      <w:sz w:val="24"/>
      <w:szCs w:val="24"/>
      <w:lang w:val="en-US" w:eastAsia="en-US"/>
    </w:rPr>
  </w:style>
  <w:style w:type="character" w:customStyle="1" w:styleId="footnotereferenceFootnotesymbolTimes10PointExposant3PointFootnotereferencenumberRefdenotaalpienoteTESISUPERSENFootnotetextENFootnoteReferenceFootnoteReferenceLVL6FootnoteReferenceLVL61Footnotenumberf1fr">
    <w:name w:val="footnote reference;Footnote symbol;Times 10 Point;Exposant 3 Point;Footnote reference number;Ref;de nota al pie;note TESI;SUPERS;EN Footnote text;EN Footnote Reference;Footnote Reference_LVL6;Footnote Reference_LVL61;Footnote number;f1;fr"/>
    <w:basedOn w:val="Bekezdsalapbettpusa"/>
    <w:qFormat/>
    <w:rPr>
      <w:rFonts w:cs="Times New Roman"/>
      <w:vertAlign w:val="superscript"/>
    </w:rPr>
  </w:style>
  <w:style w:type="character" w:customStyle="1" w:styleId="LbjegyzetszvegChar1LbjegyzetszvegCharCharSchriftart9ptCharCharSchriftart10ptCharCharSchriftart8ptCharCharWB-FunotentextCharCharfnCharCharFootnotesCharCharFootnoteakCharCharFoodNoteCharCharftCharChar">
    <w:name w:val="Lábjegyzetszöveg Char1;Lábjegyzetszöveg Char Char;Schriftart: 9 pt Char Char;Schriftart: 10 pt Char Char;Schriftart: 8 pt Char Char;WB-Fußnotentext Char Char;fn Char Char;Footnotes Char Char;Footnote ak Char Char;FoodNote Char Char;ft Char Char"/>
    <w:basedOn w:val="Bekezdsalapbettpusa"/>
    <w:qFormat/>
    <w:rPr>
      <w:rFonts w:cs="Times New Roman"/>
      <w:sz w:val="20"/>
      <w:szCs w:val="20"/>
    </w:rPr>
  </w:style>
  <w:style w:type="character" w:customStyle="1" w:styleId="LbjegyzetszvegCharSchriftart9ptCharSchriftart10ptCharSchriftart8ptCharWB-FunotentextCharfnCharFootnotesCharFootnoteakCharFoodNoteCharftCharFootnoteChar1FootnoteTextChar1CharCharChar1FootnoteTextChar1CharChar1">
    <w:name w:val="Lábjegyzetszöveg Char;Schriftart: 9 pt Char;Schriftart: 10 pt Char;Schriftart: 8 pt Char;WB-Fußnotentext Char;fn Char;Footnotes Char;Footnote ak Char;FoodNote Char;ft Char;Footnote Char1;Footnote Text Char1 Char Char Char1;Footnote Text Char1 Char Char1"/>
    <w:basedOn w:val="Bekezdsalapbettpusa"/>
    <w:qFormat/>
    <w:rPr>
      <w:rFonts w:cs="Times New Roman"/>
      <w:sz w:val="20"/>
      <w:szCs w:val="20"/>
      <w:lang w:val="en-US" w:eastAsia="en-US"/>
    </w:rPr>
  </w:style>
  <w:style w:type="character" w:customStyle="1" w:styleId="FootnoteTextChar1Schriftart9ptChar2Schriftart10ptChar2Schriftart8ptChar2WB-FunotentextChar2fnChar2FootnotesChar2FootnoteakChar2FootnoteTextCharCharFoodNoteChar2ftChar2FootnoteChar11fChar">
    <w:name w:val="Footnote Text Char1;Schriftart: 9 pt Char2;Schriftart: 10 pt Char2;Schriftart: 8 pt Char2;WB-Fußnotentext Char2;fn Char2;Footnotes Char2;Footnote ak Char2;Footnote Text Char Char;FoodNote Char2;ft Char2;Footnote Char11;f Char"/>
    <w:basedOn w:val="Bekezdsalapbettpusa"/>
    <w:qFormat/>
    <w:rPr>
      <w:rFonts w:cs="Times New Roman"/>
      <w:sz w:val="20"/>
      <w:szCs w:val="20"/>
      <w:lang w:val="en-US" w:eastAsia="en-US"/>
    </w:rPr>
  </w:style>
  <w:style w:type="character" w:customStyle="1" w:styleId="JegyzetszvegChar">
    <w:name w:val="Jegyzetszöveg Char"/>
    <w:basedOn w:val="Bekezdsalapbettpusa"/>
    <w:qFormat/>
    <w:rPr>
      <w:rFonts w:cs="Times New Roman"/>
      <w:sz w:val="20"/>
      <w:szCs w:val="20"/>
      <w:lang w:val="en-US" w:eastAsia="en-US"/>
    </w:rPr>
  </w:style>
  <w:style w:type="character" w:styleId="Jegyzethivatkozs">
    <w:name w:val="annotation reference"/>
    <w:basedOn w:val="Bekezdsalapbettpusa"/>
    <w:qFormat/>
    <w:rPr>
      <w:rFonts w:cs="Times New Roman"/>
      <w:sz w:val="16"/>
      <w:szCs w:val="16"/>
    </w:rPr>
  </w:style>
  <w:style w:type="character" w:customStyle="1" w:styleId="BuborkszvegChar">
    <w:name w:val="Buborékszöveg Char"/>
    <w:basedOn w:val="Bekezdsalapbettpusa"/>
    <w:qFormat/>
    <w:rPr>
      <w:rFonts w:ascii="Segoe UI" w:hAnsi="Segoe UI" w:cs="Segoe UI"/>
      <w:sz w:val="18"/>
      <w:szCs w:val="18"/>
      <w:lang w:val="en-US" w:eastAsia="en-US"/>
    </w:rPr>
  </w:style>
  <w:style w:type="character" w:styleId="Hiperhivatkozs">
    <w:name w:val="Hyperlink"/>
    <w:basedOn w:val="Bekezdsalapbettpusa"/>
    <w:rPr>
      <w:rFonts w:cs="Times New Roman"/>
      <w:color w:val="0563C1"/>
      <w:u w:val="single"/>
    </w:rPr>
  </w:style>
  <w:style w:type="character" w:customStyle="1" w:styleId="lfejChar1">
    <w:name w:val="Élőfej Char1"/>
    <w:basedOn w:val="Bekezdsalapbettpusa"/>
    <w:qFormat/>
    <w:rPr>
      <w:rFonts w:cs="Times New Roman"/>
    </w:rPr>
  </w:style>
  <w:style w:type="character" w:customStyle="1" w:styleId="lfejChar">
    <w:name w:val="Élőfej Char"/>
    <w:basedOn w:val="Bekezdsalapbettpusa"/>
    <w:qFormat/>
    <w:rPr>
      <w:rFonts w:cs="Times New Roman"/>
      <w:lang w:val="en-US" w:eastAsia="en-US"/>
    </w:rPr>
  </w:style>
  <w:style w:type="character" w:customStyle="1" w:styleId="lfejChar2">
    <w:name w:val="Élőfej Char2"/>
    <w:basedOn w:val="Bekezdsalapbettpusa"/>
    <w:qFormat/>
    <w:rPr>
      <w:rFonts w:cs="Times New Roman"/>
      <w:lang w:val="en-US" w:eastAsia="en-US"/>
    </w:rPr>
  </w:style>
  <w:style w:type="character" w:customStyle="1" w:styleId="llbChar1">
    <w:name w:val="Élőláb Char1"/>
    <w:basedOn w:val="Bekezdsalapbettpusa"/>
    <w:qFormat/>
    <w:rPr>
      <w:rFonts w:cs="Times New Roman"/>
    </w:rPr>
  </w:style>
  <w:style w:type="character" w:customStyle="1" w:styleId="llbChar">
    <w:name w:val="Élőláb Char"/>
    <w:basedOn w:val="Bekezdsalapbettpusa"/>
    <w:qFormat/>
    <w:rPr>
      <w:rFonts w:cs="Times New Roman"/>
      <w:lang w:val="en-US" w:eastAsia="en-US"/>
    </w:rPr>
  </w:style>
  <w:style w:type="character" w:customStyle="1" w:styleId="llbChar2">
    <w:name w:val="Élőláb Char2"/>
    <w:basedOn w:val="Bekezdsalapbettpusa"/>
    <w:qFormat/>
    <w:rPr>
      <w:rFonts w:cs="Times New Roman"/>
      <w:lang w:val="en-US" w:eastAsia="en-US"/>
    </w:rPr>
  </w:style>
  <w:style w:type="character" w:customStyle="1" w:styleId="MegjegyzstrgyaChar">
    <w:name w:val="Megjegyzés tárgya Char"/>
    <w:basedOn w:val="JegyzetszvegChar"/>
    <w:qFormat/>
    <w:rPr>
      <w:rFonts w:cs="Times New Roman"/>
      <w:b/>
      <w:bCs/>
      <w:sz w:val="20"/>
      <w:szCs w:val="20"/>
      <w:lang w:val="en-US" w:eastAsia="en-US"/>
    </w:rPr>
  </w:style>
  <w:style w:type="character" w:styleId="Mrltotthiperhivatkozs">
    <w:name w:val="FollowedHyperlink"/>
    <w:basedOn w:val="Bekezdsalapbettpusa"/>
    <w:rPr>
      <w:rFonts w:cs="Times New Roman"/>
      <w:color w:val="954F72"/>
      <w:u w:val="single"/>
    </w:rPr>
  </w:style>
  <w:style w:type="character" w:customStyle="1" w:styleId="ListaszerbekezdsChar">
    <w:name w:val="Listaszerű bekezdés Char"/>
    <w:basedOn w:val="Bekezdsalapbettpusa"/>
    <w:qFormat/>
    <w:rPr>
      <w:rFonts w:cs="Times New Roman"/>
      <w:lang w:val="en-US" w:eastAsia="en-US"/>
    </w:rPr>
  </w:style>
  <w:style w:type="character" w:customStyle="1" w:styleId="TagsChar">
    <w:name w:val="Tags Char"/>
    <w:basedOn w:val="Bekezdsalapbettpusa"/>
    <w:qFormat/>
    <w:rPr>
      <w:rFonts w:ascii="Arial" w:hAnsi="Arial" w:cs="Arial"/>
      <w:color w:val="B5B5B5"/>
      <w:sz w:val="16"/>
      <w:szCs w:val="16"/>
      <w:lang w:val="en-GB" w:eastAsia="en-US"/>
    </w:rPr>
  </w:style>
  <w:style w:type="character" w:styleId="Feloldatlanmegemlts">
    <w:name w:val="Unresolved Mention"/>
    <w:basedOn w:val="Bekezdsalapbettpusa"/>
    <w:qFormat/>
    <w:rPr>
      <w:rFonts w:cs="Times New Roman"/>
      <w:color w:val="605E5C"/>
      <w:shd w:val="clear" w:color="auto" w:fill="E1DFDD"/>
    </w:rPr>
  </w:style>
  <w:style w:type="character" w:customStyle="1" w:styleId="Lbjegyzet-hivatkozs1">
    <w:name w:val="Lábjegyzet-hivatkozás1"/>
    <w:qFormat/>
    <w:rPr>
      <w:rFonts w:ascii="Times New Roman" w:hAnsi="Times New Roman"/>
      <w:sz w:val="16"/>
    </w:rPr>
  </w:style>
  <w:style w:type="character" w:styleId="Kiemels2">
    <w:name w:val="Strong"/>
    <w:basedOn w:val="Bekezdsalapbettpusa"/>
    <w:qFormat/>
    <w:rPr>
      <w:rFonts w:cs="Times New Roman"/>
      <w:b/>
      <w:bCs/>
    </w:rPr>
  </w:style>
  <w:style w:type="character" w:customStyle="1" w:styleId="FootnoteCharacters">
    <w:name w:val="Footnote Characters"/>
    <w:qFormat/>
  </w:style>
  <w:style w:type="character" w:styleId="Lbjegyzet-hivatkozs">
    <w:name w:val="footnote reference"/>
    <w:rPr>
      <w:vertAlign w:val="superscript"/>
    </w:rPr>
  </w:style>
  <w:style w:type="character" w:styleId="Vgjegyzet-hivatkozs">
    <w:name w:val="endnote reference"/>
    <w:rPr>
      <w:vertAlign w:val="superscript"/>
    </w:rPr>
  </w:style>
  <w:style w:type="character" w:customStyle="1" w:styleId="EndnoteCharacters">
    <w:name w:val="Endnote Characters"/>
    <w:qFormat/>
  </w:style>
  <w:style w:type="paragraph" w:customStyle="1" w:styleId="Heading">
    <w:name w:val="Heading"/>
    <w:basedOn w:val="Norml"/>
    <w:next w:val="Szvegtrzs"/>
    <w:qFormat/>
    <w:pPr>
      <w:keepNext/>
      <w:spacing w:before="240" w:after="120"/>
    </w:pPr>
    <w:rPr>
      <w:rFonts w:ascii="Liberation Sans" w:eastAsia="Noto Sans" w:hAnsi="Liberation Sans" w:cs="Noto Sans"/>
      <w:sz w:val="28"/>
      <w:szCs w:val="28"/>
    </w:rPr>
  </w:style>
  <w:style w:type="paragraph" w:styleId="Szvegtrzs">
    <w:name w:val="Body Text"/>
    <w:basedOn w:val="Norml"/>
    <w:pPr>
      <w:spacing w:after="140" w:line="276" w:lineRule="auto"/>
    </w:pPr>
  </w:style>
  <w:style w:type="paragraph" w:styleId="Lista">
    <w:name w:val="List"/>
    <w:basedOn w:val="Szvegtrzs"/>
  </w:style>
  <w:style w:type="paragraph" w:styleId="Kpalrs">
    <w:name w:val="caption"/>
    <w:basedOn w:val="Norml"/>
    <w:qFormat/>
    <w:pPr>
      <w:suppressLineNumbers/>
      <w:spacing w:before="120" w:after="120"/>
    </w:pPr>
    <w:rPr>
      <w:i/>
      <w:iCs/>
      <w:sz w:val="24"/>
      <w:szCs w:val="24"/>
    </w:rPr>
  </w:style>
  <w:style w:type="paragraph" w:customStyle="1" w:styleId="Index">
    <w:name w:val="Index"/>
    <w:basedOn w:val="Norml"/>
    <w:qFormat/>
    <w:pPr>
      <w:suppressLineNumbers/>
    </w:pPr>
  </w:style>
  <w:style w:type="paragraph" w:customStyle="1" w:styleId="Normltblzat1">
    <w:name w:val="Normál táblázat1"/>
    <w:qFormat/>
    <w:pPr>
      <w:spacing w:after="160" w:line="259" w:lineRule="auto"/>
    </w:pPr>
    <w:rPr>
      <w:rFonts w:ascii="Calibri" w:eastAsia="Courier New" w:hAnsi="Calibri" w:cs="Calibri"/>
      <w:sz w:val="22"/>
      <w:szCs w:val="22"/>
      <w:lang w:val="fr-BE" w:eastAsia="en-US" w:bidi="ar-SA"/>
    </w:rPr>
  </w:style>
  <w:style w:type="paragraph" w:styleId="Listaszerbekezds">
    <w:name w:val="List Paragraph"/>
    <w:basedOn w:val="Norml"/>
    <w:qFormat/>
    <w:pPr>
      <w:ind w:left="720"/>
      <w:contextualSpacing/>
    </w:pPr>
  </w:style>
  <w:style w:type="paragraph" w:customStyle="1" w:styleId="Tblzategyszer11">
    <w:name w:val="Táblázat (egyszerű) 11"/>
    <w:basedOn w:val="Normltblzat1"/>
    <w:qFormat/>
    <w:pPr>
      <w:spacing w:after="0" w:line="240" w:lineRule="auto"/>
    </w:pPr>
    <w:rPr>
      <w:rFonts w:cs="Times New Roman"/>
      <w:lang w:val="en-US"/>
    </w:rPr>
  </w:style>
  <w:style w:type="paragraph" w:customStyle="1" w:styleId="footnotetextLbjegyzetszvegCharSchriftart9ptCharSchriftart10ptCharSchriftart8ptCharWB-FunotentextCharfnCharFootnotesCharFootnoteakCharFoodNoteCharftCharFootnoteChar1FootnoteTextChar1CharCharChar1">
    <w:name w:val="footnote text;Lábjegyzetszöveg Char;Schriftart: 9 pt Char;Schriftart: 10 pt Char;Schriftart: 8 pt Char;WB-Fußnotentext Char;fn Char;Footnotes Char;Footnote ak Char;FoodNote Char;ft Char;Footnote Char1;Footnote Text Char1 Char Char Char1"/>
    <w:basedOn w:val="Norml"/>
    <w:qFormat/>
    <w:pPr>
      <w:spacing w:after="0" w:line="240" w:lineRule="auto"/>
    </w:pPr>
    <w:rPr>
      <w:sz w:val="20"/>
      <w:szCs w:val="20"/>
      <w:lang w:val="fr-BE"/>
    </w:rPr>
  </w:style>
  <w:style w:type="paragraph" w:styleId="Jegyzetszveg">
    <w:name w:val="annotation text"/>
    <w:basedOn w:val="Norml"/>
    <w:pPr>
      <w:spacing w:line="240" w:lineRule="auto"/>
    </w:pPr>
    <w:rPr>
      <w:sz w:val="20"/>
      <w:szCs w:val="20"/>
    </w:rPr>
  </w:style>
  <w:style w:type="paragraph" w:styleId="Buborkszveg">
    <w:name w:val="Balloon Text"/>
    <w:basedOn w:val="Norml"/>
    <w:qFormat/>
    <w:pPr>
      <w:spacing w:after="0" w:line="240" w:lineRule="auto"/>
    </w:pPr>
    <w:rPr>
      <w:rFonts w:ascii="Segoe UI" w:hAnsi="Segoe UI" w:cs="Segoe UI"/>
      <w:sz w:val="18"/>
      <w:szCs w:val="18"/>
    </w:rPr>
  </w:style>
  <w:style w:type="paragraph" w:customStyle="1" w:styleId="Rcsostblzat1">
    <w:name w:val="Rácsos táblázat1"/>
    <w:basedOn w:val="Normltblzat1"/>
    <w:qFormat/>
    <w:pPr>
      <w:spacing w:after="0" w:line="240" w:lineRule="auto"/>
    </w:pPr>
    <w:rPr>
      <w:rFonts w:cs="Times New Roman"/>
    </w:rPr>
  </w:style>
  <w:style w:type="paragraph" w:customStyle="1" w:styleId="HeaderandFooter">
    <w:name w:val="Header and Footer"/>
    <w:basedOn w:val="Norml"/>
    <w:qFormat/>
  </w:style>
  <w:style w:type="paragraph" w:styleId="lfej">
    <w:name w:val="header"/>
    <w:basedOn w:val="Norml"/>
    <w:pPr>
      <w:tabs>
        <w:tab w:val="center" w:pos="4680"/>
        <w:tab w:val="right" w:pos="9360"/>
      </w:tabs>
      <w:spacing w:after="0" w:line="240" w:lineRule="auto"/>
    </w:pPr>
  </w:style>
  <w:style w:type="paragraph" w:styleId="llb">
    <w:name w:val="footer"/>
    <w:basedOn w:val="Norml"/>
    <w:pPr>
      <w:tabs>
        <w:tab w:val="center" w:pos="4680"/>
        <w:tab w:val="right" w:pos="9360"/>
      </w:tabs>
      <w:spacing w:after="0" w:line="240" w:lineRule="auto"/>
    </w:pPr>
  </w:style>
  <w:style w:type="paragraph" w:styleId="Megjegyzstrgya">
    <w:name w:val="annotation subject"/>
    <w:basedOn w:val="Jegyzetszveg"/>
    <w:next w:val="Jegyzetszveg"/>
    <w:qFormat/>
    <w:rPr>
      <w:b/>
      <w:bCs/>
    </w:rPr>
  </w:style>
  <w:style w:type="paragraph" w:customStyle="1" w:styleId="Default">
    <w:name w:val="Default"/>
    <w:basedOn w:val="Norml"/>
    <w:qFormat/>
    <w:pPr>
      <w:spacing w:after="0" w:line="240" w:lineRule="auto"/>
    </w:pPr>
    <w:rPr>
      <w:color w:val="000000"/>
      <w:sz w:val="24"/>
      <w:szCs w:val="24"/>
      <w:lang w:val="en-GB" w:eastAsia="en-GB"/>
    </w:rPr>
  </w:style>
  <w:style w:type="paragraph" w:styleId="NormlWeb">
    <w:name w:val="Normal (Web)"/>
    <w:basedOn w:val="Norml"/>
    <w:qFormat/>
    <w:pPr>
      <w:spacing w:beforeAutospacing="1" w:afterAutospacing="1" w:line="240" w:lineRule="auto"/>
    </w:pPr>
    <w:rPr>
      <w:color w:val="000000"/>
      <w:sz w:val="24"/>
      <w:szCs w:val="24"/>
    </w:rPr>
  </w:style>
  <w:style w:type="paragraph" w:customStyle="1" w:styleId="Tags">
    <w:name w:val="Tags"/>
    <w:basedOn w:val="Norml"/>
    <w:qFormat/>
    <w:pPr>
      <w:spacing w:after="200" w:line="240" w:lineRule="auto"/>
    </w:pPr>
    <w:rPr>
      <w:rFonts w:ascii="Arial" w:hAnsi="Arial" w:cs="Arial"/>
      <w:color w:val="B5B5B5"/>
      <w:sz w:val="16"/>
      <w:szCs w:val="16"/>
      <w:lang w:val="en-GB"/>
    </w:rPr>
  </w:style>
  <w:style w:type="paragraph" w:styleId="Vltozat">
    <w:name w:val="Revision"/>
    <w:qFormat/>
    <w:rPr>
      <w:rFonts w:ascii="Calibri" w:eastAsia="Courier New" w:hAnsi="Calibri" w:cs="Times New Roman"/>
      <w:sz w:val="22"/>
      <w:szCs w:val="22"/>
      <w:lang w:eastAsia="en-US" w:bidi="ar-SA"/>
    </w:rPr>
  </w:style>
  <w:style w:type="paragraph" w:customStyle="1" w:styleId="FWBody">
    <w:name w:val="FW Body"/>
    <w:qFormat/>
    <w:pPr>
      <w:spacing w:after="40"/>
    </w:pPr>
    <w:rPr>
      <w:rFonts w:ascii="Times New Roman" w:eastAsia="Times New Roman" w:hAnsi="Times New Roman" w:cs="Times New Roman"/>
      <w:color w:val="000000"/>
      <w:sz w:val="22"/>
      <w:szCs w:val="22"/>
      <w:lang w:eastAsia="en-US" w:bidi="ar-SA"/>
    </w:rPr>
  </w:style>
  <w:style w:type="paragraph" w:customStyle="1" w:styleId="Lbjegyzetszveg1">
    <w:name w:val="Lábjegyzetszöveg1"/>
    <w:qFormat/>
    <w:rPr>
      <w:rFonts w:ascii="Times New Roman" w:eastAsia="Times New Roman" w:hAnsi="Times New Roman" w:cs="Times New Roman"/>
      <w:sz w:val="16"/>
      <w:szCs w:val="22"/>
      <w:lang w:eastAsia="en-US" w:bidi="ar-SA"/>
    </w:rPr>
  </w:style>
  <w:style w:type="paragraph" w:customStyle="1" w:styleId="FWTable">
    <w:name w:val="FW Table"/>
    <w:qFormat/>
    <w:rPr>
      <w:rFonts w:ascii="Times New Roman" w:eastAsia="Times New Roman" w:hAnsi="Times New Roman" w:cs="Times New Roman"/>
      <w:color w:val="000000"/>
      <w:sz w:val="22"/>
      <w:szCs w:val="22"/>
      <w:lang w:eastAsia="en-US" w:bidi="ar-SA"/>
    </w:rPr>
  </w:style>
  <w:style w:type="paragraph" w:customStyle="1" w:styleId="FWSubheading">
    <w:name w:val="FW Subheading"/>
    <w:qFormat/>
    <w:pPr>
      <w:keepNext/>
      <w:spacing w:before="80" w:after="40"/>
    </w:pPr>
    <w:rPr>
      <w:rFonts w:ascii="Times New Roman" w:eastAsia="Times New Roman" w:hAnsi="Times New Roman" w:cs="Times New Roman"/>
      <w:b/>
      <w:color w:val="000000"/>
      <w:sz w:val="22"/>
      <w:szCs w:val="22"/>
      <w:lang w:eastAsia="en-US" w:bidi="ar-SA"/>
    </w:rPr>
  </w:style>
  <w:style w:type="paragraph" w:customStyle="1" w:styleId="FWCaption">
    <w:name w:val="FW Caption"/>
    <w:qFormat/>
    <w:pPr>
      <w:spacing w:before="40" w:after="40"/>
    </w:pPr>
    <w:rPr>
      <w:rFonts w:ascii="Times New Roman" w:eastAsia="Times New Roman" w:hAnsi="Times New Roman" w:cs="Times New Roman"/>
      <w:color w:val="000000"/>
      <w:sz w:val="17"/>
      <w:szCs w:val="22"/>
      <w:lang w:eastAsia="en-US" w:bidi="ar-SA"/>
    </w:rPr>
  </w:style>
  <w:style w:type="paragraph" w:customStyle="1" w:styleId="FrameContents">
    <w:name w:val="Frame Contents"/>
    <w:basedOn w:val="Norml"/>
    <w:qFormat/>
  </w:style>
  <w:style w:type="paragraph" w:styleId="Lbjegyzetszveg">
    <w:name w:val="footnote text"/>
    <w:basedOn w:val="Norm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5691</Words>
  <Characters>39273</Characters>
  <Application>Microsoft Office Word</Application>
  <DocSecurity>0</DocSecurity>
  <Lines>327</Lines>
  <Paragraphs>89</Paragraphs>
  <ScaleCrop>false</ScaleCrop>
  <Company>European Commission</Company>
  <LinksUpToDate>false</LinksUpToDate>
  <CharactersWithSpaces>44875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József Kiss</cp:lastModifiedBy>
  <cp:revision>8</cp:revision>
  <dcterms:created xsi:type="dcterms:W3CDTF">2026-03-30T15:06:00Z</dcterms:created>
  <dcterms:modified xsi:type="dcterms:W3CDTF">2026-09-06T23:59:00Z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0x010100F5499B3551E8CF44A3ED2D232C646A60</vt:lpwstr>
  </property>
  <property fmtid="{D5CDD505-2E9C-101B-9397-08002B2CF9AE}" pid="3" name="DocPublDate">
    <vt:filetime>2022-07-07T00:00:00Z</vt:filetime>
  </property>
  <property fmtid="{D5CDD505-2E9C-101B-9397-08002B2CF9AE}" pid="4" name="DocPublversion">
    <vt:r8>2</vt:r8>
  </property>
  <property fmtid="{D5CDD505-2E9C-101B-9397-08002B2CF9AE}" pid="5" name="EC_Collab_DocumentLanguage">
    <vt:lpwstr>EN</vt:lpwstr>
  </property>
  <property fmtid="{D5CDD505-2E9C-101B-9397-08002B2CF9AE}" pid="6" name="EC_Collab_Status">
    <vt:lpwstr>Not Started</vt:lpwstr>
  </property>
  <property fmtid="{D5CDD505-2E9C-101B-9397-08002B2CF9AE}" pid="7" name="MSIP_Label_6bd9ddd1-4d20-43f6-abfa-fc3c07406f94_ActionId">
    <vt:lpwstr>804c6de7-4f35-4717-95c0-fbd8e240a3dc</vt:lpwstr>
  </property>
  <property fmtid="{D5CDD505-2E9C-101B-9397-08002B2CF9AE}" pid="8" name="MSIP_Label_6bd9ddd1-4d20-43f6-abfa-fc3c07406f94_ContentBits">
    <vt:lpwstr>0</vt:lpwstr>
  </property>
  <property fmtid="{D5CDD505-2E9C-101B-9397-08002B2CF9AE}" pid="9" name="MSIP_Label_6bd9ddd1-4d20-43f6-abfa-fc3c07406f94_Enabled">
    <vt:lpwstr>true</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etDate">
    <vt:lpwstr>2022-05-05T11:51:48Z</vt:lpwstr>
  </property>
  <property fmtid="{D5CDD505-2E9C-101B-9397-08002B2CF9AE}" pid="13" name="MSIP_Label_6bd9ddd1-4d20-43f6-abfa-fc3c07406f94_SiteId">
    <vt:lpwstr>b24c8b06-522c-46fe-9080-70926f8dddb1</vt:lpwstr>
  </property>
  <property fmtid="{D5CDD505-2E9C-101B-9397-08002B2CF9AE}" pid="14" name="MediaServiceImageTags">
    <vt:lpwstr/>
  </property>
  <property fmtid="{D5CDD505-2E9C-101B-9397-08002B2CF9AE}" pid="15" name="Operator">
    <vt:lpwstr>József Kiss</vt:lpwstr>
  </property>
  <property fmtid="{D5CDD505-2E9C-101B-9397-08002B2CF9AE}" pid="16" name="_activity">
    <vt:lpwstr/>
  </property>
</Properties>
</file>