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i w:val="0"/>
          <w:sz w:val="26"/>
        </w:rPr>
        <w:t>Part B-1</w:t>
      </w:r>
    </w:p>
    <w:p>
      <w:pPr>
        <w:keepNext/>
        <w:spacing w:before="0" w:after="120" w:line="240" w:lineRule="auto"/>
      </w:pPr>
      <w:r>
        <w:rPr>
          <w:rFonts w:ascii="Times New Roman" w:hAnsi="Times New Roman"/>
          <w:b/>
          <w:sz w:val="28"/>
        </w:rPr>
        <w:t>1. Excellence</w:t>
      </w:r>
    </w:p>
    <w:p>
      <w:pPr>
        <w:keepNext/>
        <w:spacing w:before="0" w:after="80" w:line="240" w:lineRule="auto"/>
      </w:pPr>
      <w:r>
        <w:rPr>
          <w:rFonts w:ascii="Times New Roman" w:hAnsi="Times New Roman"/>
          <w:b/>
          <w:i/>
          <w:sz w:val="23"/>
        </w:rPr>
        <w:t>1.1 Quality and pertinence of the project’s research and innovation objectives (and the extent to which they are ambitious, and go beyond the state of the art)</w:t>
      </w:r>
    </w:p>
    <w:p>
      <w:pPr>
        <w:spacing w:before="0" w:after="80" w:line="240" w:lineRule="auto"/>
        <w:jc w:val="both"/>
      </w:pPr>
      <w:r>
        <w:rPr>
          <w:rFonts w:ascii="Times New Roman" w:hAnsi="Times New Roman"/>
          <w:b/>
          <w:i w:val="0"/>
          <w:sz w:val="22"/>
        </w:rPr>
        <w:t>Problem and overarching aim.</w:t>
      </w:r>
      <w:r>
        <w:rPr>
          <w:rFonts w:ascii="Times New Roman" w:hAnsi="Times New Roman"/>
          <w:b w:val="0"/>
          <w:i w:val="0"/>
          <w:sz w:val="22"/>
        </w:rPr>
        <w:t xml:space="preserve"> Irrigation decisions in high-value horticulture are increasingly taken under water scarcity, yet the water-stress signals that drive those decisions are typically spectral proxies whose biological meaning, stability across seasons and operational transferability are rarely tested. FIELDWISE confronts this gap directly. Its aim is to establish whether a physiologically meaningful water-stress signal, discovered in a data-rich processing-tomato system, remains biologically valid across unseen seasons and a change of sensing scale, survives prospective validation under real commercial-farm conditions, and can be encoded in a crop-configurable decision-support framework later adaptable to other irrigated high-value horticultural crops. Processing tomato is chosen deliberately as the model crop: approximately five years (2022–2026) of heterogeneous physiological, soil, meteorological and proximal-spectral observations already exist at MATE, giving the objectives an evidentiary foundation rather than a speculative new data campaign.</w:t>
      </w:r>
    </w:p>
    <w:p>
      <w:pPr>
        <w:spacing w:before="0" w:after="80" w:line="240" w:lineRule="auto"/>
        <w:jc w:val="both"/>
      </w:pPr>
      <w:r>
        <w:rPr>
          <w:rFonts w:ascii="Times New Roman" w:hAnsi="Times New Roman"/>
          <w:b/>
          <w:i w:val="0"/>
          <w:sz w:val="22"/>
        </w:rPr>
        <w:t>Pertinence.</w:t>
      </w:r>
      <w:r>
        <w:rPr>
          <w:rFonts w:ascii="Times New Roman" w:hAnsi="Times New Roman"/>
          <w:b w:val="0"/>
          <w:i w:val="0"/>
          <w:sz w:val="22"/>
        </w:rPr>
        <w:t xml:space="preserve"> The objectives are pertinent on both axes the MSCA-PF Excellence criterion weighs. Scientifically, they target a recognised weakness in agricultural remote sensing — the routine substitution of correlative spectral proxies and retrospective accuracy for biologically grounded, prospectively validated, operationally transferable stress prediction — in a domain (water use in irrigated horticulture) of clear European relevance. For career development, the four objectives form a single scientific thread that carries one concept through biological definition, leakage-safe modelling, unseen-condition validation, software implementation and industrial evaluation; executing that thread completes the fellow’s progression from plant physiologist/agronomist to independent Agricultural Data Scientist, delivered through an international move (a European Fellowship recruiting the researcher from Bulgaria to the host in Hungary) with inter-sectoral and interdisciplinary exposure.</w:t>
      </w:r>
    </w:p>
    <w:p>
      <w:pPr>
        <w:spacing w:before="0" w:after="80" w:line="240" w:lineRule="auto"/>
        <w:jc w:val="both"/>
      </w:pPr>
      <w:r>
        <w:rPr>
          <w:rFonts w:ascii="Times New Roman" w:hAnsi="Times New Roman"/>
          <w:b/>
          <w:i w:val="0"/>
          <w:sz w:val="22"/>
        </w:rPr>
        <w:t>The four objectives, and why they are measurable and verifiable.</w:t>
      </w:r>
      <w:r>
        <w:rPr>
          <w:rFonts w:ascii="Times New Roman" w:hAnsi="Times New Roman"/>
          <w:b w:val="0"/>
          <w:i w:val="0"/>
          <w:sz w:val="22"/>
        </w:rPr>
        <w:t xml:space="preserve"> Each objective carries a stated measurable output and is verified by named, dated deliverables, so achievement is judged against evidence rather than assertion:</w:t>
      </w:r>
    </w:p>
    <w:p>
      <w:pPr>
        <w:spacing w:before="0" w:after="60" w:line="240" w:lineRule="auto"/>
        <w:ind w:left="283"/>
        <w:jc w:val="both"/>
      </w:pPr>
      <w:r>
        <w:rPr>
          <w:rFonts w:ascii="Times New Roman" w:hAnsi="Times New Roman"/>
          <w:b/>
          <w:i w:val="0"/>
          <w:sz w:val="22"/>
        </w:rPr>
        <w:t>O1 — Harmonise the heterogeneous 2022–2026 MATE archive and define a physiologically meaningful water-stress target.</w:t>
      </w:r>
      <w:r>
        <w:rPr>
          <w:rFonts w:ascii="Times New Roman" w:hAnsi="Times New Roman"/>
          <w:b w:val="0"/>
          <w:i w:val="0"/>
          <w:sz w:val="22"/>
        </w:rPr>
        <w:t xml:space="preserve"> Output: a QC-controlled common-variable matrix, a missingness/measurement-frequency map, and a target and validation protocol. Verified by D1.1 </w:t>
      </w:r>
      <w:r>
        <w:rPr>
          <w:rFonts w:ascii="Times New Roman" w:hAnsi="Times New Roman"/>
          <w:b w:val="0"/>
          <w:i/>
          <w:sz w:val="22"/>
        </w:rPr>
        <w:t>Harmonised database/metadata and variable-availability map</w:t>
      </w:r>
      <w:r>
        <w:rPr>
          <w:rFonts w:ascii="Times New Roman" w:hAnsi="Times New Roman"/>
          <w:b w:val="0"/>
          <w:i w:val="0"/>
          <w:sz w:val="22"/>
        </w:rPr>
        <w:t xml:space="preserve"> and D1.2 </w:t>
      </w:r>
      <w:r>
        <w:rPr>
          <w:rFonts w:ascii="Times New Roman" w:hAnsi="Times New Roman"/>
          <w:b w:val="0"/>
          <w:i/>
          <w:sz w:val="22"/>
        </w:rPr>
        <w:t>Stress-target, feature-selection and validation protocol</w:t>
      </w:r>
      <w:r>
        <w:rPr>
          <w:rFonts w:ascii="Times New Roman" w:hAnsi="Times New Roman"/>
          <w:b w:val="0"/>
          <w:i w:val="0"/>
          <w:sz w:val="22"/>
        </w:rPr>
        <w:t>.</w:t>
      </w:r>
    </w:p>
    <w:p>
      <w:pPr>
        <w:spacing w:before="0" w:after="60" w:line="240" w:lineRule="auto"/>
        <w:ind w:left="283"/>
        <w:jc w:val="both"/>
      </w:pPr>
      <w:r>
        <w:rPr>
          <w:rFonts w:ascii="Times New Roman" w:hAnsi="Times New Roman"/>
          <w:b/>
          <w:i w:val="0"/>
          <w:sz w:val="22"/>
        </w:rPr>
        <w:t>O2 — Develop a parsimonious, interpretable and uncertainty-aware predictive framework</w:t>
      </w:r>
      <w:r>
        <w:rPr>
          <w:rFonts w:ascii="Times New Roman" w:hAnsi="Times New Roman"/>
          <w:b w:val="0"/>
          <w:i w:val="0"/>
          <w:sz w:val="22"/>
        </w:rPr>
        <w:t xml:space="preserve"> under HUN-REN supervision, with ELTE spectral/EO harmonisation, separating reusable system components from crop-specific biological/calibration parameters. Output: a ranked predictor set; a primary model and a nonlinear benchmark where justified; a calibration/uncertainty assessment; a model card; a crop-transfer specification. Verified by D2.1 and D2.2.</w:t>
      </w:r>
    </w:p>
    <w:p>
      <w:pPr>
        <w:spacing w:before="0" w:after="60" w:line="240" w:lineRule="auto"/>
        <w:ind w:left="283"/>
        <w:jc w:val="both"/>
      </w:pPr>
      <w:r>
        <w:rPr>
          <w:rFonts w:ascii="Times New Roman" w:hAnsi="Times New Roman"/>
          <w:b/>
          <w:i w:val="0"/>
          <w:sz w:val="22"/>
        </w:rPr>
        <w:t>O3 — Prospectively validate the framework at an independent commercial farmer site</w:t>
      </w:r>
      <w:r>
        <w:rPr>
          <w:rFonts w:ascii="Times New Roman" w:hAnsi="Times New Roman"/>
          <w:b w:val="0"/>
          <w:i w:val="0"/>
          <w:sz w:val="22"/>
        </w:rPr>
        <w:t xml:space="preserve"> equipped with project meteorological and soil sensing, supported by physiological, proximal, UAV and Sentinel observations. Output: a prospective validation dataset; an unseen-environment benchmark; a spatial scaling assessment; a limited-recalibration protocol if required. Verified by D3.1 and D3.2.</w:t>
      </w:r>
    </w:p>
    <w:p>
      <w:pPr>
        <w:spacing w:before="0" w:after="60" w:line="240" w:lineRule="auto"/>
        <w:ind w:left="283"/>
        <w:jc w:val="both"/>
      </w:pPr>
      <w:r>
        <w:rPr>
          <w:rFonts w:ascii="Times New Roman" w:hAnsi="Times New Roman"/>
          <w:b/>
          <w:i w:val="0"/>
          <w:sz w:val="22"/>
        </w:rPr>
        <w:t>O4 — Operationalise validated outputs in a crop-configurable DrR architecture</w:t>
      </w:r>
      <w:r>
        <w:rPr>
          <w:rFonts w:ascii="Times New Roman" w:hAnsi="Times New Roman"/>
          <w:b w:val="0"/>
          <w:i w:val="0"/>
          <w:sz w:val="22"/>
        </w:rPr>
        <w:t xml:space="preserve"> through continuous Krumatic software development and AgroVIR requirements feedback, followed by industrial evaluation in M25–M30. Output: a web MVP with a validated processing-tomato module; an irrigation-attention output; a crop-extension specification; an AgroVIR requirements/interoperability report; a post-MSCA integration and exploitation roadmap. Verified by D4.1, D4.2, D5.1 and D5.2.</w:t>
      </w:r>
    </w:p>
    <w:p>
      <w:pPr>
        <w:spacing w:before="0" w:after="80" w:line="240" w:lineRule="auto"/>
        <w:jc w:val="both"/>
      </w:pPr>
      <w:r>
        <w:rPr>
          <w:rFonts w:ascii="Times New Roman" w:hAnsi="Times New Roman"/>
          <w:b w:val="0"/>
          <w:i w:val="0"/>
          <w:sz w:val="22"/>
        </w:rPr>
        <w:t>Measurability is reinforced by two design choices. First, blocked temporal (unseen-year) validation and model-selection criteria are predefined before results are seen, so success is judged against thresholds fixed in advance; calibration, uncertainty and interpretability are quantified rather than asserted. Second, the objectives map onto the project’s research questions (RQ1–RQ5) and hypotheses (H1–H4) — O1 operationalises the physiological-signature hypothesis, O3 tests transferability, O4 tests operational relevance — so each objective corresponds to a falsifiable claim with a defined output.</w:t>
      </w:r>
    </w:p>
    <w:p>
      <w:pPr>
        <w:spacing w:before="0" w:after="80" w:line="240" w:lineRule="auto"/>
        <w:jc w:val="both"/>
      </w:pPr>
      <w:r>
        <w:rPr>
          <w:rFonts w:ascii="Times New Roman" w:hAnsi="Times New Roman"/>
          <w:b/>
          <w:i w:val="0"/>
          <w:sz w:val="22"/>
        </w:rPr>
        <w:t>Realistically achievable.</w:t>
      </w:r>
      <w:r>
        <w:rPr>
          <w:rFonts w:ascii="Times New Roman" w:hAnsi="Times New Roman"/>
          <w:b w:val="0"/>
          <w:i w:val="0"/>
          <w:sz w:val="22"/>
        </w:rPr>
        <w:t xml:space="preserve"> The objectives are ambitious but bounded within the 30-month action (a 24-month European Fellowship at the host followed by a six-month non-academic placement). The primary evidence base already exists (the 2022–2026 MATE archive), so work begins from data rather than data collection. A working research prototype — DrR, the fellow’s pre-existing, self-financed sensor/EO monitoring and data-integration tool — provides the software starting point rather than a green-field build. The supervisory environment supplies the complementary competences required: modelling and uncertainty analysis on the host side, hyperspectral/UAV/EO scale harmonisation through the ELTE co-supervision strand. An explicit parsimony principle (the simplest adequate model; no deep-learning dependency) matches model complexity to the available sample size. Finally, the single new instrumented commercial-farmer site is the minimum the prospective-validation logic requires, and a contingency route (a planned Bulgarian model garden at the Szentendre Skanzen) is held in reserve, so the highest-risk objective (O3) is protected without inflating the field programme.</w:t>
      </w:r>
    </w:p>
    <w:p>
      <w:pPr>
        <w:spacing w:before="0" w:after="80" w:line="240" w:lineRule="auto"/>
        <w:jc w:val="both"/>
      </w:pPr>
      <w:r>
        <w:rPr>
          <w:rFonts w:ascii="Times New Roman" w:hAnsi="Times New Roman"/>
          <w:b/>
          <w:i w:val="0"/>
          <w:sz w:val="22"/>
        </w:rPr>
        <w:t>Beyond the state of the art, and the extent of the ambition.</w:t>
      </w:r>
      <w:r>
        <w:rPr>
          <w:rFonts w:ascii="Times New Roman" w:hAnsi="Times New Roman"/>
          <w:b w:val="0"/>
          <w:i w:val="0"/>
          <w:sz w:val="22"/>
        </w:rPr>
        <w:t xml:space="preserve"> The ambition lies in refusing four assumptions routinely conflated in crop-stress remote sensing, and testing each within one validation chain. (i) It refuses the equation of a vegetation index with water stress, replacing spectral-proxy definitions with a physiologically defined target built on a harmonised five-season evidence base. (ii) It refuses the equation of proximal with satellite indices, constructing an explicit scale bridge from leaf/proximal sensing through an ELTE hyperspectral/UAV layer to Sentinel-2 field-scale inputs. (iii) It refuses the equation of internal cross-validation with field transferability, moving from internal fit through blocked unseen-year validation to prospective validation at an independent commercial field, with the research-to-production transfer gap measured prospectively and any limited recalibration stated. (iv) It refuses the assumption that a tomato-trained model transfers unchanged to another crop, separating a reusable decision-support core from crop-specific targets and calibration parameters with explicit crop-transfer and recalibration gates — a crop-configurable framework for irrigated high-value horticulture, not a single tomato model imposed on all crops. Across all four, FIELDWISE moves the definition of success beyond retrospective accuracy toward demonstrated field-level decision value: the validated architecture is delivered as a continuously developed DrR web MVP (implemented with the software partner Krumatic), evaluated industrially through a non-academic placement at AgroVIR, and given a defined post-MSCA replication route through MVCRI as a Hungary–Bulgaria scientific and mobility bridge. This chain — biological truth, rigorous transferability testing, sensing-scale integration and operationally evaluated decision support, engineered for reuse beyond the development crop — is what places the objectives beyond the current state of the art.</w:t>
      </w:r>
    </w:p>
    <w:p>
      <w:pPr>
        <w:keepNext/>
        <w:spacing w:before="0" w:after="80" w:line="240" w:lineRule="auto"/>
      </w:pPr>
      <w:r>
        <w:rPr>
          <w:rFonts w:ascii="Times New Roman" w:hAnsi="Times New Roman"/>
          <w:b/>
          <w:i/>
          <w:sz w:val="23"/>
        </w:rPr>
        <w:t>1.2 Soundness of the proposed methodology (including interdisciplinary approaches, consideration of the gender dimension and other diversity aspects if relevant for the research project, and the quality of open science practices)</w:t>
      </w:r>
    </w:p>
    <w:p>
      <w:pPr>
        <w:spacing w:before="0" w:after="80" w:line="240" w:lineRule="auto"/>
        <w:jc w:val="both"/>
      </w:pPr>
      <w:r>
        <w:rPr>
          <w:rFonts w:ascii="Times New Roman" w:hAnsi="Times New Roman"/>
          <w:b/>
          <w:i w:val="0"/>
          <w:sz w:val="22"/>
        </w:rPr>
        <w:t>Overall methodology: concepts, models and assumptions.</w:t>
      </w:r>
      <w:r>
        <w:rPr>
          <w:rFonts w:ascii="Times New Roman" w:hAnsi="Times New Roman"/>
          <w:b w:val="0"/>
          <w:i w:val="0"/>
          <w:sz w:val="22"/>
        </w:rPr>
        <w:t xml:space="preserve"> FIELDWISE rests on one methodological conviction: a water-stress signal used to drive irrigation must be judged not by retrospective predictive accuracy alone but by four linked criteria evaluated in sequence — physiological validity, predictive performance, transferability to unseen conditions, and management relevance. The methodology is organised as a single validation chain across five work packages.</w:t>
      </w:r>
    </w:p>
    <w:p>
      <w:pPr>
        <w:spacing w:before="0" w:after="80" w:line="240" w:lineRule="auto"/>
        <w:jc w:val="both"/>
      </w:pPr>
      <w:r>
        <w:rPr>
          <w:rFonts w:ascii="Times New Roman" w:hAnsi="Times New Roman"/>
          <w:b w:val="0"/>
          <w:i/>
          <w:sz w:val="22"/>
        </w:rPr>
        <w:t>Stage 1 (WP1, Data Harmonisation and Physiological Stress Definition)</w:t>
      </w:r>
      <w:r>
        <w:rPr>
          <w:rFonts w:ascii="Times New Roman" w:hAnsi="Times New Roman"/>
          <w:b w:val="0"/>
          <w:i w:val="0"/>
          <w:sz w:val="22"/>
        </w:rPr>
        <w:t xml:space="preserve"> establishes the empirical substrate: the heterogeneous archive is audited variable-by-variable with its year, frequency and replicate structure mapped; a common-variable matrix and missingness strategy are defined; the effective statistical unit is fixed. The stress construct is defined physiologically — a primary physiological target with corroborating endpoints — rather than by equating a vegetation index with stress. Decisively, the evaluation regime is fixed before any result is seen: blocked temporal (unseen-year) validation and model-selection criteria are predefined, making the pipeline leakage-safe (D1.1, D1.2).</w:t>
      </w:r>
    </w:p>
    <w:p>
      <w:pPr>
        <w:spacing w:before="0" w:after="80" w:line="240" w:lineRule="auto"/>
        <w:jc w:val="both"/>
      </w:pPr>
      <w:r>
        <w:rPr>
          <w:rFonts w:ascii="Times New Roman" w:hAnsi="Times New Roman"/>
          <w:b w:val="0"/>
          <w:i/>
          <w:sz w:val="22"/>
        </w:rPr>
        <w:t>Stage 2 (WP2, HUN-REN Modelling and ELTE Scale Harmonisation)</w:t>
      </w:r>
      <w:r>
        <w:rPr>
          <w:rFonts w:ascii="Times New Roman" w:hAnsi="Times New Roman"/>
          <w:b w:val="0"/>
          <w:i w:val="0"/>
          <w:sz w:val="22"/>
        </w:rPr>
        <w:t xml:space="preserve"> builds the predictive framework on three assumptions. Parsimony: process-informed water-status predictors are constructed from meteorology, irrigation and soil data, with a single interpretable primary model and at most one nonlinear benchmark, no deep-learning dependency, matching complexity to the limited effective sample size. Uncertainty-awareness: calibration, predictive uncertainty, interpretability and blocked unseen-year performance are quantified and documented in a model card. Non-equivalence of sensing scales: proximal and hyperspectral signals are not assumed interchangeable with satellite bands; an explicit hyperspectral/UAV-to-Sentinel-2 harmonisation is defined only at spatial scales where field geometry supports valid EO interpretation, drawing on ELTE’s remote-sensing expertise. A cross-cutting assumption governs reuse: DrR data structures separate reusable sensor/weather/EO/uncertainty workflows from crop-specific parameters, and a crop-transfer specification fixes the transferable core, the crop-specific parameters, and the minimum validation data and recalibration gates for any new crop.</w:t>
      </w:r>
    </w:p>
    <w:p>
      <w:pPr>
        <w:spacing w:before="0" w:after="80" w:line="240" w:lineRule="auto"/>
        <w:jc w:val="both"/>
      </w:pPr>
      <w:r>
        <w:rPr>
          <w:rFonts w:ascii="Times New Roman" w:hAnsi="Times New Roman"/>
          <w:b w:val="0"/>
          <w:i/>
          <w:sz w:val="22"/>
        </w:rPr>
        <w:t>Stage 3 (WP3, Independent Commercial-Farmer Prospective Validation)</w:t>
      </w:r>
      <w:r>
        <w:rPr>
          <w:rFonts w:ascii="Times New Roman" w:hAnsi="Times New Roman"/>
          <w:b w:val="0"/>
          <w:i w:val="0"/>
          <w:sz w:val="22"/>
        </w:rPr>
        <w:t xml:space="preserve"> tests the assumption that internal cross-validation does not prove field transferability: the historical model is applied prospectively at an independent commercial field newly instrumented by the project (meteorological station, soil sensors), supported by coordinated physiological, proximal-spectral, thermal, UAV and Sentinel-2 observations where spatially valid. Transfer loss is a scientific result to be measured and reported with its uncertainty, not concealed; only limited, transparent recalibration is applied. </w:t>
      </w:r>
      <w:r>
        <w:rPr>
          <w:rFonts w:ascii="Times New Roman" w:hAnsi="Times New Roman"/>
          <w:b w:val="0"/>
          <w:i/>
          <w:sz w:val="22"/>
        </w:rPr>
        <w:t>Stages 4–5 (WP4, DrR Web MVP, Co-development and Exploitation Preparation; WP5, AgroVIR Non-Academic Placement)</w:t>
      </w:r>
      <w:r>
        <w:rPr>
          <w:rFonts w:ascii="Times New Roman" w:hAnsi="Times New Roman"/>
          <w:b w:val="0"/>
          <w:i w:val="0"/>
          <w:sz w:val="22"/>
        </w:rPr>
        <w:t xml:space="preserve"> operationalise validated outputs on the principle that the software follows the science: only validated components are incorporated into a crop-configurable DrR web MVP exposing stress probability/class, uncertainty, temporal trend and an irrigation-attention output; the M25–M30 placement then evaluates the MVP’s inputs, usability, missing-data behaviour, decision outputs and interoperability against real operational requirements. These assumptions are stated as falsifiable hypotheses (H1–H4) — parsimonious capture of coordinated stress responses; a stable reusable core under unseen-year and independent-field validation; partial survival of proximal relationships under explicit scale harmonisation; and greater decision value from physiologically valid, calibrated models than from retrospectively accurate ones — whose sequential testing is exactly the delivery of O1–O4.</w:t>
      </w:r>
    </w:p>
    <w:p>
      <w:pPr>
        <w:spacing w:before="0" w:after="80" w:line="240" w:lineRule="auto"/>
        <w:jc w:val="both"/>
      </w:pPr>
      <w:r>
        <w:rPr>
          <w:rFonts w:ascii="Times New Roman" w:hAnsi="Times New Roman"/>
          <w:b/>
          <w:i w:val="0"/>
          <w:sz w:val="22"/>
        </w:rPr>
        <w:t>Methodological challenges and how they are overcome.</w:t>
      </w:r>
      <w:r>
        <w:rPr>
          <w:rFonts w:ascii="Times New Roman" w:hAnsi="Times New Roman"/>
          <w:b w:val="0"/>
          <w:i w:val="0"/>
          <w:sz w:val="22"/>
        </w:rPr>
        <w:t xml:space="preserve"> (i) Archive variables differ among years: an explicit year-by-variable matrix harmonises only defensible common variables, retaining year-specific measurements as secondary information. (ii) Limited effective biological sample size: repeated-measure/hierarchical structure, conservative feature reduction and deliberate parsimony avoid over-fitting. (iii) Prospective performance may drop on the unseen field: transfer loss is quantified and only limited, transparent recalibration applied. (iv) Field geometry and cloud cover may limit Sentinel-2 interpretation: Sentinel-2 is used only where valid pixels support field-scale inference, with UAV and proximal observations carrying finer scales. (v) Site infrastructure and access risks: project meteorological and soil sensors are installed before the campaign, and the Szentendre Skanzen model-garden contingency is held in reserve.</w:t>
      </w:r>
    </w:p>
    <w:p>
      <w:pPr>
        <w:spacing w:before="0" w:after="80" w:line="240" w:lineRule="auto"/>
        <w:jc w:val="both"/>
      </w:pPr>
      <w:r>
        <w:rPr>
          <w:rFonts w:ascii="Times New Roman" w:hAnsi="Times New Roman"/>
          <w:b/>
          <w:i w:val="0"/>
          <w:sz w:val="22"/>
        </w:rPr>
        <w:t>Integration of methods and disciplines.</w:t>
      </w:r>
      <w:r>
        <w:rPr>
          <w:rFonts w:ascii="Times New Roman" w:hAnsi="Times New Roman"/>
          <w:b w:val="0"/>
          <w:i w:val="0"/>
          <w:sz w:val="22"/>
        </w:rPr>
        <w:t xml:space="preserve"> The central challenge runs from plant biology through statistical modelling and sensing-scale physics to operational decision support; no single discipline spans it. Five competences are integrated: plant physiology and agronomy (the fellow and MATE) define the biologically meaningful target; data science, predictive modelling and uncertainty quantification (HUN-REN ATK supervision) convert it into a parsimonious, calibrated framework; remote sensing, hyperspectral imaging, UAV operation and geoinformatics (ELTE, Prof. András Jung) provide the scale bridge toward Sentinel-2; software engineering (Krumatic) implements validated components in the DrR web MVP; operational agronomy and FMIS knowledge (AgroVIR) anchor usability and interoperability in farm practice. Integration is structural: one validation chain binds the disciplines; DrR is the shared integration vehicle; the crop-transfer specification is the explicit interface between reusable engineering and crop-specific biology. Weekly supervision, a dedicated EO-harmonisation strand and a cross-partner Steering Group coordinate the hand-offs.</w:t>
      </w:r>
    </w:p>
    <w:p>
      <w:pPr>
        <w:spacing w:before="0" w:after="80" w:line="240" w:lineRule="auto"/>
        <w:jc w:val="both"/>
      </w:pPr>
      <w:r>
        <w:rPr>
          <w:rFonts w:ascii="Times New Roman" w:hAnsi="Times New Roman"/>
          <w:b/>
          <w:i w:val="0"/>
          <w:sz w:val="22"/>
        </w:rPr>
        <w:t>Gender dimension and other diversity aspects.</w:t>
      </w:r>
      <w:r>
        <w:rPr>
          <w:rFonts w:ascii="Times New Roman" w:hAnsi="Times New Roman"/>
          <w:b w:val="0"/>
          <w:i w:val="0"/>
          <w:sz w:val="22"/>
        </w:rPr>
        <w:t xml:space="preserve"> The analytical sex/gender dimension has been examined and found not to be a relevant biological variable in the research content: the study object is the water-stress physiology of processing tomato, with no human sex or gender factor. Diversity is, however, pertinent to the innovation content: FIELDWISE targets operationally obtainable data streams and an interpretable irrigation-attention output rather than presupposing advanced on-farm infrastructure, so the tool can serve heterogeneous end-users, including smaller and less digitally equipped holdings. This attention to differences in farm size, resource level and digital literacy is carried into the AgroVIR usability and interoperability requirements and the crop-configurable design. Where structured feedback is collected from participating farmers and staff, participation is voluntary, under informed consent with a right of withdrawal, and no health, biometric or special-category personal data is collected.</w:t>
      </w:r>
    </w:p>
    <w:p>
      <w:pPr>
        <w:spacing w:before="0" w:after="80" w:line="240" w:lineRule="auto"/>
        <w:jc w:val="both"/>
      </w:pPr>
      <w:r>
        <w:rPr>
          <w:rFonts w:ascii="Times New Roman" w:hAnsi="Times New Roman"/>
          <w:b/>
          <w:i w:val="0"/>
          <w:sz w:val="22"/>
        </w:rPr>
        <w:t>Open science practices.</w:t>
      </w:r>
      <w:r>
        <w:rPr>
          <w:rFonts w:ascii="Times New Roman" w:hAnsi="Times New Roman"/>
          <w:b w:val="0"/>
          <w:i w:val="0"/>
          <w:sz w:val="22"/>
        </w:rPr>
        <w:t xml:space="preserve"> Open science is built into the workflow under the principle ‘as open as possible, as closed as necessary’. A Data Management Plan is delivered by month 6; FAIR handling is designed in from Stage 1 (the harmonised database and metadata map, the stress-target and validation protocol, and the model card are structured for reuse). Reproducibility is a first-class commitment: validation criteria are predefined and leakage-safe, and the prospective transfer gap and any recalibration are reported transparently. Peer-reviewed results target open-access publication; the project builds on open Copernicus/Sentinel-2 data. Commercially sensitive farmer and AgroVIR information is published only in aggregated, coded or anonymised form, and all data remain within the EU. The fellow’s pre-existing DrR background is documented with a dated background declaration and deposited (e.g. Zenodo), keeping background and foreground separated. Open-science and FAIR practice, research integrity and generative-AI literacy are trained competences in the Career Development Plan.</w:t>
      </w:r>
    </w:p>
    <w:p>
      <w:pPr>
        <w:keepNext/>
        <w:spacing w:before="0" w:after="80" w:line="240" w:lineRule="auto"/>
      </w:pPr>
      <w:r>
        <w:rPr>
          <w:rFonts w:ascii="Times New Roman" w:hAnsi="Times New Roman"/>
          <w:b/>
          <w:i/>
          <w:sz w:val="23"/>
        </w:rPr>
        <w:t>1.3 Quality of the supervision, training and of the two-way transfer of knowledge between the researcher and the host</w:t>
      </w:r>
    </w:p>
    <w:p>
      <w:pPr>
        <w:spacing w:before="0" w:after="80" w:line="240" w:lineRule="auto"/>
        <w:jc w:val="both"/>
      </w:pPr>
      <w:r>
        <w:rPr>
          <w:rFonts w:ascii="Times New Roman" w:hAnsi="Times New Roman"/>
          <w:b/>
          <w:i w:val="0"/>
          <w:sz w:val="22"/>
        </w:rPr>
        <w:t>Supervisory architecture and qualifications.</w:t>
      </w:r>
      <w:r>
        <w:rPr>
          <w:rFonts w:ascii="Times New Roman" w:hAnsi="Times New Roman"/>
          <w:b w:val="0"/>
          <w:i w:val="0"/>
          <w:sz w:val="22"/>
        </w:rPr>
        <w:t xml:space="preserve"> FIELDWISE is a European Fellowship recruiting Dr. Rositsa Cholakova from Bulgaria to the sole beneficiary, HUN-REN Centre for Agricultural Research (HUN-REN ATK), Martonvásár, Hungary. Supervision is matched to the interdisciplinary reach of the work plan. Dr. Roland Hollós (research associate, Department of Crop Production, HUN-REN AI Ambassador for the Centre) is primary supervisor and carries the modelling, data-integration and uncertainty-analysis core; his own modelling line (2026 reimplementation and improvement of Biome-BGC, </w:t>
      </w:r>
      <w:r>
        <w:rPr>
          <w:rFonts w:ascii="Times New Roman" w:hAnsi="Times New Roman"/>
          <w:b w:val="0"/>
          <w:i/>
          <w:sz w:val="22"/>
        </w:rPr>
        <w:t>Geoscientific Model Development</w:t>
      </w:r>
      <w:r>
        <w:rPr>
          <w:rFonts w:ascii="Times New Roman" w:hAnsi="Times New Roman"/>
          <w:b w:val="0"/>
          <w:i w:val="0"/>
          <w:sz w:val="22"/>
        </w:rPr>
        <w:t>) and ATK’s EU participations (COUSIN, AI4SoilHealth, TUdi; CORDIS-verified) evidence the environment. ATK is not a first-time host: it hosted and coordinated the MSCA Individual Fellowship LANDRACES (2017–2019). Prof. András Jung (Institute of Cartography and Geoinformatics, ELTE; associated partner) is co-supervisor for the hyperspectral-to-Sentinel scale-harmonisation strand, with a current group publication record in EO and agricultural venues. Three named specialists broaden the envelope: Prof. Tibor Janda (Plant Physiology and Metabolomics, ATK) for physiological interpretation; Prof. Gábor Milics (MATE) for precision-agriculture translation; Dr. Zsófia Varga (ELTE) for UAV flight planning and sensor operation.</w:t>
      </w:r>
    </w:p>
    <w:p>
      <w:pPr>
        <w:spacing w:before="0" w:after="80" w:line="240" w:lineRule="auto"/>
        <w:jc w:val="both"/>
      </w:pPr>
      <w:r>
        <w:rPr>
          <w:rFonts w:ascii="Times New Roman" w:hAnsi="Times New Roman"/>
          <w:b/>
          <w:i w:val="0"/>
          <w:sz w:val="22"/>
        </w:rPr>
        <w:t>Planned training activities.</w:t>
      </w:r>
      <w:r>
        <w:rPr>
          <w:rFonts w:ascii="Times New Roman" w:hAnsi="Times New Roman"/>
          <w:b w:val="0"/>
          <w:i w:val="0"/>
          <w:sz w:val="22"/>
        </w:rPr>
        <w:t xml:space="preserve"> Training is structured through a Career Development Plan (D1.3, agreed by M3, signed by both supervisors and the fellow, reviewed at the five steering points). (i) Scientific training is supervised practice embedded in the work plan: heterogeneous data integration, AI/ML-supported modelling, leakage-safe validation design, uncertainty analysis (host side); geoinformatics, hyperspectral/UAV methods, scale-aware EO interpretation and harmonisation (ELTE side) — directly closing the fellow’s stated competence gap in rigorous predictive modelling and validation across time, scales and environments. (ii) Management and leadership training comes through progressive ownership (WP3 validation protocol coordination, UAV campaigns, day-to-day scientific choices under a defined escalation structure). (iii) Transferable skills cover research integrity, open science and FAIR practice, generative-AI literacy, grant writing, IP and exploitation, project management and science communication. A teaching strand runs through guest lectures, seminars and practicals at MATE and, where institutionally possible, the Agricultural University of Plovdiv, building on the fellow’s ~5 years of university teaching.</w:t>
      </w:r>
    </w:p>
    <w:p>
      <w:pPr>
        <w:spacing w:before="0" w:after="80" w:line="240" w:lineRule="auto"/>
        <w:jc w:val="both"/>
      </w:pPr>
      <w:r>
        <w:rPr>
          <w:rFonts w:ascii="Times New Roman" w:hAnsi="Times New Roman"/>
          <w:b/>
          <w:i w:val="0"/>
          <w:sz w:val="22"/>
        </w:rPr>
        <w:t>Two-way transfer of knowledge.</w:t>
      </w:r>
      <w:r>
        <w:rPr>
          <w:rFonts w:ascii="Times New Roman" w:hAnsi="Times New Roman"/>
          <w:b w:val="0"/>
          <w:i w:val="0"/>
          <w:sz w:val="22"/>
        </w:rPr>
        <w:t xml:space="preserve"> Into the fellow flow advanced agricultural data science, robust and interpretable modelling, uncertainty quantification, hyperspectral/UAV/EO integration and research-to-software translation. From the fellow flow agronomy, plant protection and plant physiology, plant-stress biology and physiological phenotyping, horticultural field experimentation, proximal spectral interpretation, and the multi-source data-integration concept embodied in DrR. Neither side is merely a recipient: the fellow supplies the physiological meaning that keeps the modelling honest; the host supplies the statistical and geospatial rigour that makes the biology operational. The mechanism is concrete: weekly one-to-ones, co-supervisor technical sessions, a monthly written progress record, quarterly CDP reviews and a cross-partner Steering Group.</w:t>
      </w:r>
    </w:p>
    <w:p>
      <w:pPr>
        <w:spacing w:before="0" w:after="80" w:line="240" w:lineRule="auto"/>
        <w:jc w:val="both"/>
      </w:pPr>
      <w:r>
        <w:rPr>
          <w:rFonts w:ascii="Times New Roman" w:hAnsi="Times New Roman"/>
          <w:b/>
          <w:i w:val="0"/>
          <w:sz w:val="22"/>
        </w:rPr>
        <w:t>Rationale and added value of the non-academic placement.</w:t>
      </w:r>
      <w:r>
        <w:rPr>
          <w:rFonts w:ascii="Times New Roman" w:hAnsi="Times New Roman"/>
          <w:b w:val="0"/>
          <w:i w:val="0"/>
          <w:sz w:val="22"/>
        </w:rPr>
        <w:t xml:space="preserve"> A six-month placement at AgroVIR (AGROVIR Üzletviteli Tanácsadó Kft.) over M25–M30 extends the fellowship, preceded by delivery of the DrR web MVP so the placement is evaluation and transfer, not first build. Its rationale: demonstrated field-level decision value can only be tested in a real operational environment, and AgroVIR provides exactly that — a farm-management-software company whose FMIS is in production use across more than 745,000 hectares in eight countries including Hungary and Bulgaria, a footprint stated as the company’s declared position pending written confirmation. During the placement the fellow evaluates the MVP’s inputs, usability, missing-data behaviour, decision outputs and workflow compatibility, assesses interoperability on protected or coded information, and finalises the FMIS integration requirements, exploitation roadmap and career-transfer outputs, supervised by Miklós Maróti, AgroVIR’s Managing Director. Ownership of placement results follows the grant-agreement default (vesting in HUN-REN ATK), to be confirmed with DrR background-IP access terms in a written placement agreement before the placement begins.</w:t>
      </w:r>
    </w:p>
    <w:p>
      <w:pPr>
        <w:keepNext/>
        <w:spacing w:before="0" w:after="80" w:line="240" w:lineRule="auto"/>
      </w:pPr>
      <w:r>
        <w:rPr>
          <w:rFonts w:ascii="Times New Roman" w:hAnsi="Times New Roman"/>
          <w:b/>
          <w:i/>
          <w:sz w:val="23"/>
        </w:rPr>
        <w:t>1.4 Quality and appropriateness of the researcher’s professional experience, competences and skills</w:t>
      </w:r>
    </w:p>
    <w:p>
      <w:pPr>
        <w:spacing w:before="0" w:after="80" w:line="240" w:lineRule="auto"/>
        <w:jc w:val="both"/>
      </w:pPr>
      <w:r>
        <w:rPr>
          <w:rFonts w:ascii="Times New Roman" w:hAnsi="Times New Roman"/>
          <w:b/>
          <w:i w:val="0"/>
          <w:sz w:val="22"/>
        </w:rPr>
        <w:t>A profile matched to the project’s interdisciplinary chain.</w:t>
      </w:r>
      <w:r>
        <w:rPr>
          <w:rFonts w:ascii="Times New Roman" w:hAnsi="Times New Roman"/>
          <w:b w:val="0"/>
          <w:i w:val="0"/>
          <w:sz w:val="22"/>
        </w:rPr>
        <w:t xml:space="preserve"> Dr. Cholakova is strong precisely where the science is biologically demanding and developing precisely where the fellowship supplies its training. She holds a PhD in Plant Physiology (2020, Agricultural University of Plovdiv; low-temperature stress response of maize), served as Assistant Professor in Plant Physiology and Plant Stress Physiology (2015–2020), and holds BSc/MSc degrees in Plant Protection plus a second MSc in Environmental Engineering (2025–2026). Current work as Chief Assistant Professor includes projects on abiotic stress in </w:t>
      </w:r>
      <w:r>
        <w:rPr>
          <w:rFonts w:ascii="Times New Roman" w:hAnsi="Times New Roman"/>
          <w:b w:val="0"/>
          <w:i/>
          <w:sz w:val="22"/>
        </w:rPr>
        <w:t>Solanum lycopersicum</w:t>
      </w:r>
      <w:r>
        <w:rPr>
          <w:rFonts w:ascii="Times New Roman" w:hAnsi="Times New Roman"/>
          <w:b w:val="0"/>
          <w:i w:val="0"/>
          <w:sz w:val="22"/>
        </w:rPr>
        <w:t xml:space="preserve"> and on satellite/UAV monitoring of vegetable crops — the competences that define the physiological stress target of O1.</w:t>
      </w:r>
    </w:p>
    <w:p>
      <w:pPr>
        <w:spacing w:before="0" w:after="80" w:line="240" w:lineRule="auto"/>
        <w:jc w:val="both"/>
      </w:pPr>
      <w:r>
        <w:rPr>
          <w:rFonts w:ascii="Times New Roman" w:hAnsi="Times New Roman"/>
          <w:b/>
          <w:i w:val="0"/>
          <w:sz w:val="22"/>
        </w:rPr>
        <w:t>Data-science and EO competences already in place.</w:t>
      </w:r>
      <w:r>
        <w:rPr>
          <w:rFonts w:ascii="Times New Roman" w:hAnsi="Times New Roman"/>
          <w:b w:val="0"/>
          <w:i w:val="0"/>
          <w:sz w:val="22"/>
        </w:rPr>
        <w:t xml:space="preserve"> She worked as a Data Analyst at KPMG Global Hungary in 2024 (Python, R, machine-learning basics, Power BI); holds an A1/A3 UAV pilot licence; uses DrR — her self-initiated, self-financed research prototype — as her sensor/EO monitoring environment; and is active in COST Actions PANGEOS (including a 2025 Short-Term Scientific Mission at MATE), AI4Insect and REcrop. Her mobility record (Erasmus+ staff mobilities to MATE and Novi Sad, an Erasmus research internship at ELTE, an earlier PhD mobility) establishes working relationships with the very environments FIELDWISE draws on, and ~5 years of university teaching underpin the teaching strand.</w:t>
      </w:r>
    </w:p>
    <w:p>
      <w:pPr>
        <w:spacing w:before="0" w:after="80" w:line="240" w:lineRule="auto"/>
        <w:jc w:val="both"/>
      </w:pPr>
      <w:r>
        <w:rPr>
          <w:rFonts w:ascii="Times New Roman" w:hAnsi="Times New Roman"/>
          <w:b/>
          <w:i w:val="0"/>
          <w:sz w:val="22"/>
        </w:rPr>
        <w:t>Honest appraisal of fit.</w:t>
      </w:r>
      <w:r>
        <w:rPr>
          <w:rFonts w:ascii="Times New Roman" w:hAnsi="Times New Roman"/>
          <w:b w:val="0"/>
          <w:i w:val="0"/>
          <w:sz w:val="22"/>
        </w:rPr>
        <w:t xml:space="preserve"> The publication record is concentrated in plant physiology; the remote-sensing items are recent and middle-authored, so the EO half of the profile rests on the STSM, mobilities and UAV licence. The single remaining competence gap — rigorous predictive modelling and validation across time, scales and environments — is exactly what FIELDWISE closes. A declared full-time parenting career break (July 2021–May 2024) does not count against the eligibility ceiling. The researcher can carry the biologically anchored science immediately and is the right candidate to acquire, through this supervision and placement, the one capability that turns that science into transferable, operationally evaluated decision support.</w:t>
      </w:r>
    </w:p>
    <w:p>
      <w:pPr>
        <w:keepNext/>
        <w:spacing w:before="0" w:after="120" w:line="240" w:lineRule="auto"/>
      </w:pPr>
      <w:r>
        <w:rPr>
          <w:rFonts w:ascii="Times New Roman" w:hAnsi="Times New Roman"/>
          <w:b/>
          <w:sz w:val="28"/>
        </w:rPr>
        <w:t>2. Impact</w:t>
      </w:r>
    </w:p>
    <w:p>
      <w:pPr>
        <w:keepNext/>
        <w:spacing w:before="0" w:after="80" w:line="240" w:lineRule="auto"/>
      </w:pPr>
      <w:r>
        <w:rPr>
          <w:rFonts w:ascii="Times New Roman" w:hAnsi="Times New Roman"/>
          <w:b/>
          <w:i/>
          <w:sz w:val="23"/>
        </w:rPr>
        <w:t>2.1 Credibility of the measures to enhance the career perspectives and employability of the researcher and contribution to his/her skills development</w:t>
      </w:r>
    </w:p>
    <w:p>
      <w:pPr>
        <w:spacing w:before="0" w:after="80" w:line="240" w:lineRule="auto"/>
        <w:jc w:val="both"/>
      </w:pPr>
      <w:r>
        <w:rPr>
          <w:rFonts w:ascii="Times New Roman" w:hAnsi="Times New Roman"/>
          <w:b w:val="0"/>
          <w:i w:val="0"/>
          <w:sz w:val="22"/>
        </w:rPr>
        <w:t>The measures are designed around one evidence-based objective: closing the single remaining competence gap — rigorous predictive modelling and validation across time, sensing scales and environments — and completing the progression from plant physiologist/agronomist to independent Agricultural Data Scientist specialised in plant stress, Earth observation and decision support. Each measure closes a named part of that gap:</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928"/>
            <w:tcMar>
              <w:top w:w="40" w:type="dxa"/>
              <w:start w:w="60" w:type="dxa"/>
              <w:bottom w:w="40" w:type="dxa"/>
              <w:end w:w="60" w:type="dxa"/>
            </w:tcMar>
            <w:shd w:val="clear" w:fill="E8E8E8"/>
          </w:tcPr>
          <w:p>
            <w:pPr>
              <w:spacing w:after="0"/>
              <w:jc w:val="center"/>
            </w:pPr>
            <w:r>
              <w:rPr>
                <w:rFonts w:ascii="Times New Roman" w:hAnsi="Times New Roman"/>
                <w:b/>
                <w:i w:val="0"/>
                <w:sz w:val="22"/>
              </w:rPr>
              <w:t>Measure</w:t>
            </w:r>
          </w:p>
        </w:tc>
        <w:tc>
          <w:tcPr>
            <w:tcW w:type="dxa" w:w="5783"/>
            <w:tcMar>
              <w:top w:w="40" w:type="dxa"/>
              <w:start w:w="60" w:type="dxa"/>
              <w:bottom w:w="40" w:type="dxa"/>
              <w:end w:w="60" w:type="dxa"/>
            </w:tcMar>
            <w:shd w:val="clear" w:fill="E8E8E8"/>
          </w:tcPr>
          <w:p>
            <w:pPr>
              <w:spacing w:after="0"/>
              <w:jc w:val="center"/>
            </w:pPr>
            <w:r>
              <w:rPr>
                <w:rFonts w:ascii="Times New Roman" w:hAnsi="Times New Roman"/>
                <w:b/>
                <w:i w:val="0"/>
                <w:sz w:val="22"/>
              </w:rPr>
              <w:t>Content and mechanism</w:t>
            </w:r>
          </w:p>
        </w:tc>
        <w:tc>
          <w:tcPr>
            <w:tcW w:type="dxa" w:w="2494"/>
            <w:tcMar>
              <w:top w:w="40" w:type="dxa"/>
              <w:start w:w="60" w:type="dxa"/>
              <w:bottom w:w="40" w:type="dxa"/>
              <w:end w:w="60" w:type="dxa"/>
            </w:tcMar>
            <w:shd w:val="clear" w:fill="E8E8E8"/>
          </w:tcPr>
          <w:p>
            <w:pPr>
              <w:spacing w:after="0"/>
              <w:jc w:val="center"/>
            </w:pPr>
            <w:r>
              <w:rPr>
                <w:rFonts w:ascii="Times New Roman" w:hAnsi="Times New Roman"/>
                <w:b/>
                <w:i w:val="0"/>
                <w:sz w:val="22"/>
              </w:rPr>
              <w:t>Evidence</w:t>
            </w:r>
          </w:p>
        </w:tc>
      </w:tr>
      <w:tr>
        <w:tc>
          <w:tcPr>
            <w:tcW w:type="dxa" w:w="1928"/>
            <w:tcMar>
              <w:top w:w="40" w:type="dxa"/>
              <w:start w:w="60" w:type="dxa"/>
              <w:bottom w:w="40" w:type="dxa"/>
              <w:end w:w="60" w:type="dxa"/>
            </w:tcMar>
          </w:tcPr>
          <w:p>
            <w:pPr>
              <w:spacing w:after="0" w:line="240" w:lineRule="auto"/>
            </w:pPr>
            <w:r>
              <w:rPr>
                <w:rFonts w:ascii="Times New Roman" w:hAnsi="Times New Roman"/>
                <w:b/>
                <w:i w:val="0"/>
                <w:sz w:val="22"/>
              </w:rPr>
              <w:t>Career Development Plan</w:t>
            </w:r>
          </w:p>
        </w:tc>
        <w:tc>
          <w:tcPr>
            <w:tcW w:type="dxa" w:w="5783"/>
            <w:tcMar>
              <w:top w:w="40" w:type="dxa"/>
              <w:start w:w="60" w:type="dxa"/>
              <w:bottom w:w="40" w:type="dxa"/>
              <w:end w:w="60" w:type="dxa"/>
            </w:tcMar>
          </w:tcPr>
          <w:p>
            <w:pPr>
              <w:spacing w:after="0" w:line="240" w:lineRule="auto"/>
            </w:pPr>
            <w:r>
              <w:rPr>
                <w:rFonts w:ascii="Times New Roman" w:hAnsi="Times New Roman"/>
                <w:b w:val="0"/>
                <w:i w:val="0"/>
                <w:sz w:val="22"/>
              </w:rPr>
              <w:t>Jointly owned by fellow and supervisors; links the four objectives to training, teaching, publication and open-science plans; reviewed at five steering points including a mid-placement review.</w:t>
            </w:r>
          </w:p>
        </w:tc>
        <w:tc>
          <w:tcPr>
            <w:tcW w:type="dxa" w:w="2494"/>
            <w:tcMar>
              <w:top w:w="40" w:type="dxa"/>
              <w:start w:w="60" w:type="dxa"/>
              <w:bottom w:w="40" w:type="dxa"/>
              <w:end w:w="60" w:type="dxa"/>
            </w:tcMar>
          </w:tcPr>
          <w:p>
            <w:pPr>
              <w:spacing w:after="0" w:line="240" w:lineRule="auto"/>
            </w:pPr>
            <w:r>
              <w:rPr>
                <w:rFonts w:ascii="Times New Roman" w:hAnsi="Times New Roman"/>
                <w:b w:val="0"/>
                <w:i w:val="0"/>
                <w:sz w:val="22"/>
              </w:rPr>
              <w:t>D1.3 (M3); reviews at M6/M14/M18/M24/M27</w:t>
            </w:r>
          </w:p>
        </w:tc>
      </w:tr>
      <w:tr>
        <w:tc>
          <w:tcPr>
            <w:tcW w:type="dxa" w:w="1928"/>
            <w:tcMar>
              <w:top w:w="40" w:type="dxa"/>
              <w:start w:w="60" w:type="dxa"/>
              <w:bottom w:w="40" w:type="dxa"/>
              <w:end w:w="60" w:type="dxa"/>
            </w:tcMar>
          </w:tcPr>
          <w:p>
            <w:pPr>
              <w:spacing w:after="0" w:line="240" w:lineRule="auto"/>
            </w:pPr>
            <w:r>
              <w:rPr>
                <w:rFonts w:ascii="Times New Roman" w:hAnsi="Times New Roman"/>
                <w:b/>
                <w:i w:val="0"/>
                <w:sz w:val="22"/>
              </w:rPr>
              <w:t>Supervised two-way transfer</w:t>
            </w:r>
          </w:p>
        </w:tc>
        <w:tc>
          <w:tcPr>
            <w:tcW w:type="dxa" w:w="5783"/>
            <w:tcMar>
              <w:top w:w="40" w:type="dxa"/>
              <w:start w:w="60" w:type="dxa"/>
              <w:bottom w:w="40" w:type="dxa"/>
              <w:end w:w="60" w:type="dxa"/>
            </w:tcMar>
          </w:tcPr>
          <w:p>
            <w:pPr>
              <w:spacing w:after="0" w:line="240" w:lineRule="auto"/>
            </w:pPr>
            <w:r>
              <w:rPr>
                <w:rFonts w:ascii="Times New Roman" w:hAnsi="Times New Roman"/>
                <w:b w:val="0"/>
                <w:i w:val="0"/>
                <w:sz w:val="22"/>
              </w:rPr>
              <w:t>ATK: data integration, AI/ML modelling, validation design, uncertainty analysis. ELTE: geoinformatics, hyperspectral/UAV, scale-aware EO. Fellow contributes physiology, phenotyping, proximal interpretation.</w:t>
            </w:r>
          </w:p>
        </w:tc>
        <w:tc>
          <w:tcPr>
            <w:tcW w:type="dxa" w:w="2494"/>
            <w:tcMar>
              <w:top w:w="40" w:type="dxa"/>
              <w:start w:w="60" w:type="dxa"/>
              <w:bottom w:w="40" w:type="dxa"/>
              <w:end w:w="60" w:type="dxa"/>
            </w:tcMar>
          </w:tcPr>
          <w:p>
            <w:pPr>
              <w:spacing w:after="0" w:line="240" w:lineRule="auto"/>
            </w:pPr>
            <w:r>
              <w:rPr>
                <w:rFonts w:ascii="Times New Roman" w:hAnsi="Times New Roman"/>
                <w:b w:val="0"/>
                <w:i w:val="0"/>
                <w:sz w:val="22"/>
              </w:rPr>
              <w:t>Weekly supervision; co-supervision strand</w:t>
            </w:r>
          </w:p>
        </w:tc>
      </w:tr>
      <w:tr>
        <w:tc>
          <w:tcPr>
            <w:tcW w:type="dxa" w:w="1928"/>
            <w:tcMar>
              <w:top w:w="40" w:type="dxa"/>
              <w:start w:w="60" w:type="dxa"/>
              <w:bottom w:w="40" w:type="dxa"/>
              <w:end w:w="60" w:type="dxa"/>
            </w:tcMar>
          </w:tcPr>
          <w:p>
            <w:pPr>
              <w:spacing w:after="0" w:line="240" w:lineRule="auto"/>
            </w:pPr>
            <w:r>
              <w:rPr>
                <w:rFonts w:ascii="Times New Roman" w:hAnsi="Times New Roman"/>
                <w:b/>
                <w:i w:val="0"/>
                <w:sz w:val="22"/>
              </w:rPr>
              <w:t>Transferable-skills portfolio</w:t>
            </w:r>
          </w:p>
        </w:tc>
        <w:tc>
          <w:tcPr>
            <w:tcW w:type="dxa" w:w="5783"/>
            <w:tcMar>
              <w:top w:w="40" w:type="dxa"/>
              <w:start w:w="60" w:type="dxa"/>
              <w:bottom w:w="40" w:type="dxa"/>
              <w:end w:w="60" w:type="dxa"/>
            </w:tcMar>
          </w:tcPr>
          <w:p>
            <w:pPr>
              <w:spacing w:after="0" w:line="240" w:lineRule="auto"/>
            </w:pPr>
            <w:r>
              <w:rPr>
                <w:rFonts w:ascii="Times New Roman" w:hAnsi="Times New Roman"/>
                <w:b w:val="0"/>
                <w:i w:val="0"/>
                <w:sz w:val="22"/>
              </w:rPr>
              <w:t>Research integrity, open science/FAIR, generative-AI literacy, grant writing, IP and exploitation, project management, science communication.</w:t>
            </w:r>
          </w:p>
        </w:tc>
        <w:tc>
          <w:tcPr>
            <w:tcW w:type="dxa" w:w="2494"/>
            <w:tcMar>
              <w:top w:w="40" w:type="dxa"/>
              <w:start w:w="60" w:type="dxa"/>
              <w:bottom w:w="40" w:type="dxa"/>
              <w:end w:w="60" w:type="dxa"/>
            </w:tcMar>
          </w:tcPr>
          <w:p>
            <w:pPr>
              <w:spacing w:after="0" w:line="240" w:lineRule="auto"/>
            </w:pPr>
            <w:r>
              <w:rPr>
                <w:rFonts w:ascii="Times New Roman" w:hAnsi="Times New Roman"/>
                <w:b w:val="0"/>
                <w:i w:val="0"/>
                <w:sz w:val="22"/>
              </w:rPr>
              <w:t>CDP-tracked</w:t>
            </w:r>
          </w:p>
        </w:tc>
      </w:tr>
      <w:tr>
        <w:tc>
          <w:tcPr>
            <w:tcW w:type="dxa" w:w="1928"/>
            <w:tcMar>
              <w:top w:w="40" w:type="dxa"/>
              <w:start w:w="60" w:type="dxa"/>
              <w:bottom w:w="40" w:type="dxa"/>
              <w:end w:w="60" w:type="dxa"/>
            </w:tcMar>
          </w:tcPr>
          <w:p>
            <w:pPr>
              <w:spacing w:after="0" w:line="240" w:lineRule="auto"/>
            </w:pPr>
            <w:r>
              <w:rPr>
                <w:rFonts w:ascii="Times New Roman" w:hAnsi="Times New Roman"/>
                <w:b/>
                <w:i w:val="0"/>
                <w:sz w:val="22"/>
              </w:rPr>
              <w:t>Non-academic placement</w:t>
            </w:r>
          </w:p>
        </w:tc>
        <w:tc>
          <w:tcPr>
            <w:tcW w:type="dxa" w:w="5783"/>
            <w:tcMar>
              <w:top w:w="40" w:type="dxa"/>
              <w:start w:w="60" w:type="dxa"/>
              <w:bottom w:w="40" w:type="dxa"/>
              <w:end w:w="60" w:type="dxa"/>
            </w:tcMar>
          </w:tcPr>
          <w:p>
            <w:pPr>
              <w:spacing w:after="0" w:line="240" w:lineRule="auto"/>
            </w:pPr>
            <w:r>
              <w:rPr>
                <w:rFonts w:ascii="Times New Roman" w:hAnsi="Times New Roman"/>
                <w:b w:val="0"/>
                <w:i w:val="0"/>
                <w:sz w:val="22"/>
              </w:rPr>
              <w:t>Six months at AgroVIR (M25–M30): operational model evaluation, requirements engineering, interoperability assessment, exploitation planning; AgroVIR consulted from M1, so the placement deepens an existing collaboration.</w:t>
            </w:r>
          </w:p>
        </w:tc>
        <w:tc>
          <w:tcPr>
            <w:tcW w:type="dxa" w:w="2494"/>
            <w:tcMar>
              <w:top w:w="40" w:type="dxa"/>
              <w:start w:w="60" w:type="dxa"/>
              <w:bottom w:w="40" w:type="dxa"/>
              <w:end w:w="60" w:type="dxa"/>
            </w:tcMar>
          </w:tcPr>
          <w:p>
            <w:pPr>
              <w:spacing w:after="0" w:line="240" w:lineRule="auto"/>
            </w:pPr>
            <w:r>
              <w:rPr>
                <w:rFonts w:ascii="Times New Roman" w:hAnsi="Times New Roman"/>
                <w:b w:val="0"/>
                <w:i w:val="0"/>
                <w:sz w:val="22"/>
              </w:rPr>
              <w:t>D5.1, D5.2 (M30)</w:t>
            </w:r>
          </w:p>
        </w:tc>
      </w:tr>
      <w:tr>
        <w:tc>
          <w:tcPr>
            <w:tcW w:type="dxa" w:w="1928"/>
            <w:tcMar>
              <w:top w:w="40" w:type="dxa"/>
              <w:start w:w="60" w:type="dxa"/>
              <w:bottom w:w="40" w:type="dxa"/>
              <w:end w:w="60" w:type="dxa"/>
            </w:tcMar>
          </w:tcPr>
          <w:p>
            <w:pPr>
              <w:spacing w:after="0" w:line="240" w:lineRule="auto"/>
            </w:pPr>
            <w:r>
              <w:rPr>
                <w:rFonts w:ascii="Times New Roman" w:hAnsi="Times New Roman"/>
                <w:b/>
                <w:i w:val="0"/>
                <w:sz w:val="22"/>
              </w:rPr>
              <w:t>Teaching and dissemination route</w:t>
            </w:r>
          </w:p>
        </w:tc>
        <w:tc>
          <w:tcPr>
            <w:tcW w:type="dxa" w:w="5783"/>
            <w:tcMar>
              <w:top w:w="40" w:type="dxa"/>
              <w:start w:w="60" w:type="dxa"/>
              <w:bottom w:w="40" w:type="dxa"/>
              <w:end w:w="60" w:type="dxa"/>
            </w:tcMar>
          </w:tcPr>
          <w:p>
            <w:pPr>
              <w:spacing w:after="0" w:line="240" w:lineRule="auto"/>
            </w:pPr>
            <w:r>
              <w:rPr>
                <w:rFonts w:ascii="Times New Roman" w:hAnsi="Times New Roman"/>
                <w:b w:val="0"/>
                <w:i w:val="0"/>
                <w:sz w:val="22"/>
              </w:rPr>
              <w:t>Guest lectures, seminars and practicals at MATE and (where possible) AU Plovdiv; ≥2 peer-reviewed publications targeted, possible third methods paper.</w:t>
            </w:r>
          </w:p>
        </w:tc>
        <w:tc>
          <w:tcPr>
            <w:tcW w:type="dxa" w:w="2494"/>
            <w:tcMar>
              <w:top w:w="40" w:type="dxa"/>
              <w:start w:w="60" w:type="dxa"/>
              <w:bottom w:w="40" w:type="dxa"/>
              <w:end w:w="60" w:type="dxa"/>
            </w:tcMar>
          </w:tcPr>
          <w:p>
            <w:pPr>
              <w:spacing w:after="0" w:line="240" w:lineRule="auto"/>
            </w:pPr>
            <w:r>
              <w:rPr>
                <w:rFonts w:ascii="Times New Roman" w:hAnsi="Times New Roman"/>
                <w:b w:val="0"/>
                <w:i w:val="0"/>
                <w:sz w:val="22"/>
              </w:rPr>
              <w:t>CDP; publications</w:t>
            </w:r>
          </w:p>
        </w:tc>
      </w:tr>
    </w:tbl>
    <w:p>
      <w:pPr>
        <w:spacing w:before="0" w:after="120"/>
      </w:pPr>
      <w:r>
        <w:rPr>
          <w:sz w:val="4"/>
        </w:rPr>
      </w:r>
    </w:p>
    <w:p>
      <w:pPr>
        <w:spacing w:before="0" w:after="80" w:line="240" w:lineRule="auto"/>
        <w:jc w:val="both"/>
      </w:pPr>
      <w:r>
        <w:rPr>
          <w:rFonts w:ascii="Times New Roman" w:hAnsi="Times New Roman"/>
          <w:b w:val="0"/>
          <w:i w:val="0"/>
          <w:sz w:val="22"/>
        </w:rPr>
        <w:t>By completion the fellow will have carried one scientific concept through biological definition, model development, unseen-condition validation, software implementation and industrial evaluation — a dual-track profile qualifying her for independent academic positions and for roles in precision-agriculture, irrigation-technology and FMIS organisations, and directly delivering the call’s expected improvement in skills, employability and inter-sectoral knowledge transfer.</w:t>
      </w:r>
    </w:p>
    <w:p>
      <w:pPr>
        <w:keepNext/>
        <w:spacing w:before="0" w:after="80" w:line="240" w:lineRule="auto"/>
      </w:pPr>
      <w:r>
        <w:rPr>
          <w:rFonts w:ascii="Times New Roman" w:hAnsi="Times New Roman"/>
          <w:b/>
          <w:i/>
          <w:sz w:val="23"/>
        </w:rPr>
        <w:t>2.2 Suitability and quality of the measures to maximise expected outcomes and impacts, as set out in the dissemination and exploitation plan, including communication activities</w:t>
      </w:r>
    </w:p>
    <w:p>
      <w:pPr>
        <w:spacing w:before="0" w:after="80" w:line="240" w:lineRule="auto"/>
        <w:jc w:val="both"/>
      </w:pPr>
      <w:r>
        <w:rPr>
          <w:rFonts w:ascii="Times New Roman" w:hAnsi="Times New Roman"/>
          <w:b w:val="0"/>
          <w:i w:val="0"/>
          <w:sz w:val="22"/>
        </w:rPr>
        <w:t>The plan is scaled to what one experienced researcher with an associated-partner environment can credibly deliver in 30 months: every measure is attached to a named deliverable and KPI, addressing the scientific community (dissemination), practitioners and the public (communication), and the software/FMIS uptake chain (exploitation), in line with the call’s expected outcomes on networking, public engagement and knowledge transfer among participating organisations.</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757"/>
            <w:tcMar>
              <w:top w:w="40" w:type="dxa"/>
              <w:start w:w="60" w:type="dxa"/>
              <w:bottom w:w="40" w:type="dxa"/>
              <w:end w:w="60" w:type="dxa"/>
            </w:tcMar>
            <w:shd w:val="clear" w:fill="E8E8E8"/>
          </w:tcPr>
          <w:p>
            <w:pPr>
              <w:spacing w:after="0"/>
              <w:jc w:val="center"/>
            </w:pPr>
            <w:r>
              <w:rPr>
                <w:rFonts w:ascii="Times New Roman" w:hAnsi="Times New Roman"/>
                <w:b/>
                <w:i w:val="0"/>
                <w:sz w:val="22"/>
              </w:rPr>
              <w:t>Strand</w:t>
            </w:r>
          </w:p>
        </w:tc>
        <w:tc>
          <w:tcPr>
            <w:tcW w:type="dxa" w:w="2211"/>
            <w:tcMar>
              <w:top w:w="40" w:type="dxa"/>
              <w:start w:w="60" w:type="dxa"/>
              <w:bottom w:w="40" w:type="dxa"/>
              <w:end w:w="60" w:type="dxa"/>
            </w:tcMar>
            <w:shd w:val="clear" w:fill="E8E8E8"/>
          </w:tcPr>
          <w:p>
            <w:pPr>
              <w:spacing w:after="0"/>
              <w:jc w:val="center"/>
            </w:pPr>
            <w:r>
              <w:rPr>
                <w:rFonts w:ascii="Times New Roman" w:hAnsi="Times New Roman"/>
                <w:b/>
                <w:i w:val="0"/>
                <w:sz w:val="22"/>
              </w:rPr>
              <w:t>Target groups</w:t>
            </w:r>
          </w:p>
        </w:tc>
        <w:tc>
          <w:tcPr>
            <w:tcW w:type="dxa" w:w="4535"/>
            <w:tcMar>
              <w:top w:w="40" w:type="dxa"/>
              <w:start w:w="60" w:type="dxa"/>
              <w:bottom w:w="40" w:type="dxa"/>
              <w:end w:w="60" w:type="dxa"/>
            </w:tcMar>
            <w:shd w:val="clear" w:fill="E8E8E8"/>
          </w:tcPr>
          <w:p>
            <w:pPr>
              <w:spacing w:after="0"/>
              <w:jc w:val="center"/>
            </w:pPr>
            <w:r>
              <w:rPr>
                <w:rFonts w:ascii="Times New Roman" w:hAnsi="Times New Roman"/>
                <w:b/>
                <w:i w:val="0"/>
                <w:sz w:val="22"/>
              </w:rPr>
              <w:t>Measures and concrete outputs</w:t>
            </w:r>
          </w:p>
        </w:tc>
        <w:tc>
          <w:tcPr>
            <w:tcW w:type="dxa" w:w="1701"/>
            <w:tcMar>
              <w:top w:w="40" w:type="dxa"/>
              <w:start w:w="60" w:type="dxa"/>
              <w:bottom w:w="40" w:type="dxa"/>
              <w:end w:w="60" w:type="dxa"/>
            </w:tcMar>
            <w:shd w:val="clear" w:fill="E8E8E8"/>
          </w:tcPr>
          <w:p>
            <w:pPr>
              <w:spacing w:after="0"/>
              <w:jc w:val="center"/>
            </w:pPr>
            <w:r>
              <w:rPr>
                <w:rFonts w:ascii="Times New Roman" w:hAnsi="Times New Roman"/>
                <w:b/>
                <w:i w:val="0"/>
                <w:sz w:val="22"/>
              </w:rPr>
              <w:t>Deliverables</w:t>
            </w:r>
          </w:p>
        </w:tc>
      </w:tr>
      <w:tr>
        <w:tc>
          <w:tcPr>
            <w:tcW w:type="dxa" w:w="1757"/>
            <w:tcMar>
              <w:top w:w="40" w:type="dxa"/>
              <w:start w:w="60" w:type="dxa"/>
              <w:bottom w:w="40" w:type="dxa"/>
              <w:end w:w="60" w:type="dxa"/>
            </w:tcMar>
          </w:tcPr>
          <w:p>
            <w:pPr>
              <w:spacing w:after="0" w:line="240" w:lineRule="auto"/>
            </w:pPr>
            <w:r>
              <w:rPr>
                <w:rFonts w:ascii="Times New Roman" w:hAnsi="Times New Roman"/>
                <w:b/>
                <w:i w:val="0"/>
                <w:sz w:val="22"/>
              </w:rPr>
              <w:t>Dissemination</w:t>
            </w:r>
          </w:p>
        </w:tc>
        <w:tc>
          <w:tcPr>
            <w:tcW w:type="dxa" w:w="2211"/>
            <w:tcMar>
              <w:top w:w="40" w:type="dxa"/>
              <w:start w:w="60" w:type="dxa"/>
              <w:bottom w:w="40" w:type="dxa"/>
              <w:end w:w="60" w:type="dxa"/>
            </w:tcMar>
          </w:tcPr>
          <w:p>
            <w:pPr>
              <w:spacing w:after="0" w:line="240" w:lineRule="auto"/>
            </w:pPr>
            <w:r>
              <w:rPr>
                <w:rFonts w:ascii="Times New Roman" w:hAnsi="Times New Roman"/>
                <w:b w:val="0"/>
                <w:i w:val="0"/>
                <w:sz w:val="22"/>
              </w:rPr>
              <w:t>Plant-physiology, crop-modelling, RS/EO and precision-agriculture communities; students</w:t>
            </w:r>
          </w:p>
        </w:tc>
        <w:tc>
          <w:tcPr>
            <w:tcW w:type="dxa" w:w="4535"/>
            <w:tcMar>
              <w:top w:w="40" w:type="dxa"/>
              <w:start w:w="60" w:type="dxa"/>
              <w:bottom w:w="40" w:type="dxa"/>
              <w:end w:w="60" w:type="dxa"/>
            </w:tcMar>
          </w:tcPr>
          <w:p>
            <w:pPr>
              <w:spacing w:after="0" w:line="240" w:lineRule="auto"/>
            </w:pPr>
            <w:r>
              <w:rPr>
                <w:rFonts w:ascii="Times New Roman" w:hAnsi="Times New Roman"/>
                <w:b w:val="0"/>
                <w:i w:val="0"/>
                <w:sz w:val="22"/>
              </w:rPr>
              <w:t>≥2 peer-reviewed papers (open-access targeted, possible third); citable model card; crop-transfer specification; the prospectively measured transfer gap published, not hidden; teaching route at MATE / AU Plovdiv.</w:t>
            </w:r>
          </w:p>
        </w:tc>
        <w:tc>
          <w:tcPr>
            <w:tcW w:type="dxa" w:w="1701"/>
            <w:tcMar>
              <w:top w:w="40" w:type="dxa"/>
              <w:start w:w="60" w:type="dxa"/>
              <w:bottom w:w="40" w:type="dxa"/>
              <w:end w:w="60" w:type="dxa"/>
            </w:tcMar>
          </w:tcPr>
          <w:p>
            <w:pPr>
              <w:spacing w:after="0" w:line="240" w:lineRule="auto"/>
            </w:pPr>
            <w:r>
              <w:rPr>
                <w:rFonts w:ascii="Times New Roman" w:hAnsi="Times New Roman"/>
                <w:b w:val="0"/>
                <w:i w:val="0"/>
                <w:sz w:val="22"/>
              </w:rPr>
              <w:t>D2.1, D2.2 (M14); D3.2 (M18)</w:t>
            </w:r>
          </w:p>
        </w:tc>
      </w:tr>
      <w:tr>
        <w:tc>
          <w:tcPr>
            <w:tcW w:type="dxa" w:w="1757"/>
            <w:tcMar>
              <w:top w:w="40" w:type="dxa"/>
              <w:start w:w="60" w:type="dxa"/>
              <w:bottom w:w="40" w:type="dxa"/>
              <w:end w:w="60" w:type="dxa"/>
            </w:tcMar>
          </w:tcPr>
          <w:p>
            <w:pPr>
              <w:spacing w:after="0" w:line="240" w:lineRule="auto"/>
            </w:pPr>
            <w:r>
              <w:rPr>
                <w:rFonts w:ascii="Times New Roman" w:hAnsi="Times New Roman"/>
                <w:b/>
                <w:i w:val="0"/>
                <w:sz w:val="22"/>
              </w:rPr>
              <w:t>Communication</w:t>
            </w:r>
          </w:p>
        </w:tc>
        <w:tc>
          <w:tcPr>
            <w:tcW w:type="dxa" w:w="2211"/>
            <w:tcMar>
              <w:top w:w="40" w:type="dxa"/>
              <w:start w:w="60" w:type="dxa"/>
              <w:bottom w:w="40" w:type="dxa"/>
              <w:end w:w="60" w:type="dxa"/>
            </w:tcMar>
          </w:tcPr>
          <w:p>
            <w:pPr>
              <w:spacing w:after="0" w:line="240" w:lineRule="auto"/>
            </w:pPr>
            <w:r>
              <w:rPr>
                <w:rFonts w:ascii="Times New Roman" w:hAnsi="Times New Roman"/>
                <w:b w:val="0"/>
                <w:i w:val="0"/>
                <w:sz w:val="22"/>
              </w:rPr>
              <w:t>Commercial vegetable growers (HU/BG); agronomic advisors; interested public</w:t>
            </w:r>
          </w:p>
        </w:tc>
        <w:tc>
          <w:tcPr>
            <w:tcW w:type="dxa" w:w="4535"/>
            <w:tcMar>
              <w:top w:w="40" w:type="dxa"/>
              <w:start w:w="60" w:type="dxa"/>
              <w:bottom w:w="40" w:type="dxa"/>
              <w:end w:w="60" w:type="dxa"/>
            </w:tcMar>
          </w:tcPr>
          <w:p>
            <w:pPr>
              <w:spacing w:after="0" w:line="240" w:lineRule="auto"/>
            </w:pPr>
            <w:r>
              <w:rPr>
                <w:rFonts w:ascii="Times New Roman" w:hAnsi="Times New Roman"/>
                <w:b w:val="0"/>
                <w:i w:val="0"/>
                <w:sz w:val="22"/>
              </w:rPr>
              <w:t>Practitioner demonstrations of stress and uncertainty outputs; ≥1 public-facing article per year; farmer-facing demonstrations in Bulgaria through Krumatic; contingent Szentendre Skanzen demo; messaging disciplined to avoid unearned numeric water-saving claims (SDG 2/6/12/13 frame).</w:t>
            </w:r>
          </w:p>
        </w:tc>
        <w:tc>
          <w:tcPr>
            <w:tcW w:type="dxa" w:w="1701"/>
            <w:tcMar>
              <w:top w:w="40" w:type="dxa"/>
              <w:start w:w="60" w:type="dxa"/>
              <w:bottom w:w="40" w:type="dxa"/>
              <w:end w:w="60" w:type="dxa"/>
            </w:tcMar>
          </w:tcPr>
          <w:p>
            <w:pPr>
              <w:spacing w:after="0" w:line="240" w:lineRule="auto"/>
            </w:pPr>
            <w:r>
              <w:rPr>
                <w:rFonts w:ascii="Times New Roman" w:hAnsi="Times New Roman"/>
                <w:b w:val="0"/>
                <w:i w:val="0"/>
                <w:sz w:val="22"/>
              </w:rPr>
              <w:t>Annual articles; demos</w:t>
            </w:r>
          </w:p>
        </w:tc>
      </w:tr>
      <w:tr>
        <w:tc>
          <w:tcPr>
            <w:tcW w:type="dxa" w:w="1757"/>
            <w:tcMar>
              <w:top w:w="40" w:type="dxa"/>
              <w:start w:w="60" w:type="dxa"/>
              <w:bottom w:w="40" w:type="dxa"/>
              <w:end w:w="60" w:type="dxa"/>
            </w:tcMar>
          </w:tcPr>
          <w:p>
            <w:pPr>
              <w:spacing w:after="0" w:line="240" w:lineRule="auto"/>
            </w:pPr>
            <w:r>
              <w:rPr>
                <w:rFonts w:ascii="Times New Roman" w:hAnsi="Times New Roman"/>
                <w:b/>
                <w:i w:val="0"/>
                <w:sz w:val="22"/>
              </w:rPr>
              <w:t>Exploitation</w:t>
            </w:r>
          </w:p>
        </w:tc>
        <w:tc>
          <w:tcPr>
            <w:tcW w:type="dxa" w:w="2211"/>
            <w:tcMar>
              <w:top w:w="40" w:type="dxa"/>
              <w:start w:w="60" w:type="dxa"/>
              <w:bottom w:w="40" w:type="dxa"/>
              <w:end w:w="60" w:type="dxa"/>
            </w:tcMar>
          </w:tcPr>
          <w:p>
            <w:pPr>
              <w:spacing w:after="0" w:line="240" w:lineRule="auto"/>
            </w:pPr>
            <w:r>
              <w:rPr>
                <w:rFonts w:ascii="Times New Roman" w:hAnsi="Times New Roman"/>
                <w:b w:val="0"/>
                <w:i w:val="0"/>
                <w:sz w:val="22"/>
              </w:rPr>
              <w:t>FMIS providers and agricultural-software developers; growers via them</w:t>
            </w:r>
          </w:p>
        </w:tc>
        <w:tc>
          <w:tcPr>
            <w:tcW w:type="dxa" w:w="4535"/>
            <w:tcMar>
              <w:top w:w="40" w:type="dxa"/>
              <w:start w:w="60" w:type="dxa"/>
              <w:bottom w:w="40" w:type="dxa"/>
              <w:end w:w="60" w:type="dxa"/>
            </w:tcMar>
          </w:tcPr>
          <w:p>
            <w:pPr>
              <w:spacing w:after="0" w:line="240" w:lineRule="auto"/>
            </w:pPr>
            <w:r>
              <w:rPr>
                <w:rFonts w:ascii="Times New Roman" w:hAnsi="Times New Roman"/>
                <w:b w:val="0"/>
                <w:i w:val="0"/>
                <w:sz w:val="22"/>
              </w:rPr>
              <w:t>Crop-configurable DrR web MVP with validated tomato module; pre-placement requirements dossier; AgroVIR operational/interoperability assessment; post-MSCA FMIS integration and exploitation roadmap; MVCRI replication route; Krumatic Bulgarian uptake.</w:t>
            </w:r>
          </w:p>
        </w:tc>
        <w:tc>
          <w:tcPr>
            <w:tcW w:type="dxa" w:w="1701"/>
            <w:tcMar>
              <w:top w:w="40" w:type="dxa"/>
              <w:start w:w="60" w:type="dxa"/>
              <w:bottom w:w="40" w:type="dxa"/>
              <w:end w:w="60" w:type="dxa"/>
            </w:tcMar>
          </w:tcPr>
          <w:p>
            <w:pPr>
              <w:spacing w:after="0" w:line="240" w:lineRule="auto"/>
            </w:pPr>
            <w:r>
              <w:rPr>
                <w:rFonts w:ascii="Times New Roman" w:hAnsi="Times New Roman"/>
                <w:b w:val="0"/>
                <w:i w:val="0"/>
                <w:sz w:val="22"/>
              </w:rPr>
              <w:t>D4.1, D4.2 (M24); D5.1, D5.2 (M30)</w:t>
            </w:r>
          </w:p>
        </w:tc>
      </w:tr>
      <w:tr>
        <w:tc>
          <w:tcPr>
            <w:tcW w:type="dxa" w:w="1757"/>
            <w:tcMar>
              <w:top w:w="40" w:type="dxa"/>
              <w:start w:w="60" w:type="dxa"/>
              <w:bottom w:w="40" w:type="dxa"/>
              <w:end w:w="60" w:type="dxa"/>
            </w:tcMar>
          </w:tcPr>
          <w:p>
            <w:pPr>
              <w:spacing w:after="0" w:line="240" w:lineRule="auto"/>
            </w:pPr>
            <w:r>
              <w:rPr>
                <w:rFonts w:ascii="Times New Roman" w:hAnsi="Times New Roman"/>
                <w:b/>
                <w:i w:val="0"/>
                <w:sz w:val="22"/>
              </w:rPr>
              <w:t>IP management</w:t>
            </w:r>
          </w:p>
        </w:tc>
        <w:tc>
          <w:tcPr>
            <w:tcW w:type="dxa" w:w="2211"/>
            <w:tcMar>
              <w:top w:w="40" w:type="dxa"/>
              <w:start w:w="60" w:type="dxa"/>
              <w:bottom w:w="40" w:type="dxa"/>
              <w:end w:w="60" w:type="dxa"/>
            </w:tcMar>
          </w:tcPr>
          <w:p>
            <w:pPr>
              <w:spacing w:after="0" w:line="240" w:lineRule="auto"/>
            </w:pPr>
            <w:r>
              <w:rPr>
                <w:rFonts w:ascii="Times New Roman" w:hAnsi="Times New Roman"/>
                <w:b w:val="0"/>
                <w:i w:val="0"/>
                <w:sz w:val="22"/>
              </w:rPr>
              <w:t>—</w:t>
            </w:r>
          </w:p>
        </w:tc>
        <w:tc>
          <w:tcPr>
            <w:tcW w:type="dxa" w:w="4535"/>
            <w:tcMar>
              <w:top w:w="40" w:type="dxa"/>
              <w:start w:w="60" w:type="dxa"/>
              <w:bottom w:w="40" w:type="dxa"/>
              <w:end w:w="60" w:type="dxa"/>
            </w:tcMar>
          </w:tcPr>
          <w:p>
            <w:pPr>
              <w:spacing w:after="0" w:line="240" w:lineRule="auto"/>
            </w:pPr>
            <w:r>
              <w:rPr>
                <w:rFonts w:ascii="Times New Roman" w:hAnsi="Times New Roman"/>
                <w:b w:val="0"/>
                <w:i w:val="0"/>
                <w:sz w:val="22"/>
              </w:rPr>
              <w:t>Clean separation of rights layers (DrR background / FIELDWISE foreground / institutional datasets / Krumatic code); background/foreground and data/IP inventory maintained (T4.6); dated DrR background declaration with deposit (e.g. Zenodo); placement agreement fixes ownership (grant-agreement default, HUN-REN ATK) and DrR access terms; Krumatic code-IP via pre-grant development agreement.</w:t>
            </w:r>
          </w:p>
        </w:tc>
        <w:tc>
          <w:tcPr>
            <w:tcW w:type="dxa" w:w="1701"/>
            <w:tcMar>
              <w:top w:w="40" w:type="dxa"/>
              <w:start w:w="60" w:type="dxa"/>
              <w:bottom w:w="40" w:type="dxa"/>
              <w:end w:w="60" w:type="dxa"/>
            </w:tcMar>
          </w:tcPr>
          <w:p>
            <w:pPr>
              <w:spacing w:after="0" w:line="240" w:lineRule="auto"/>
            </w:pPr>
            <w:r>
              <w:rPr>
                <w:rFonts w:ascii="Times New Roman" w:hAnsi="Times New Roman"/>
                <w:b w:val="0"/>
                <w:i w:val="0"/>
                <w:sz w:val="22"/>
              </w:rPr>
              <w:t>T4.6; pre-grant agreements</w:t>
            </w:r>
          </w:p>
        </w:tc>
      </w:tr>
    </w:tbl>
    <w:p>
      <w:pPr>
        <w:spacing w:before="0" w:after="120"/>
      </w:pPr>
      <w:r>
        <w:rPr>
          <w:sz w:val="4"/>
        </w:rPr>
      </w:r>
    </w:p>
    <w:p>
      <w:pPr>
        <w:keepNext/>
        <w:spacing w:before="0" w:after="80" w:line="240" w:lineRule="auto"/>
      </w:pPr>
      <w:r>
        <w:rPr>
          <w:rFonts w:ascii="Times New Roman" w:hAnsi="Times New Roman"/>
          <w:b/>
          <w:i/>
          <w:sz w:val="23"/>
        </w:rPr>
        <w:t>2.3 The magnitude and importance of the project’s contribution to the expected scientific, societal and economic impacts</w:t>
      </w:r>
    </w:p>
    <w:p>
      <w:pPr>
        <w:spacing w:before="0" w:after="80" w:line="240" w:lineRule="auto"/>
        <w:jc w:val="both"/>
      </w:pPr>
      <w:r>
        <w:rPr>
          <w:rFonts w:ascii="Times New Roman" w:hAnsi="Times New Roman"/>
          <w:b w:val="0"/>
          <w:i w:val="0"/>
          <w:sz w:val="22"/>
        </w:rPr>
        <w:t>The impact claim is calibrated to a single-fellow, 30-month action: FIELDWISE quantifies what it controls and delivers, and frames wider magnitude through published evidence and official statistics, so every number an evaluator reads is either measured by the project or referenced to a named source.</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644"/>
            <w:tcMar>
              <w:top w:w="40" w:type="dxa"/>
              <w:start w:w="60" w:type="dxa"/>
              <w:bottom w:w="40" w:type="dxa"/>
              <w:end w:w="60" w:type="dxa"/>
            </w:tcMar>
            <w:shd w:val="clear" w:fill="E8E8E8"/>
          </w:tcPr>
          <w:p>
            <w:pPr>
              <w:spacing w:after="0"/>
              <w:jc w:val="center"/>
            </w:pPr>
            <w:r>
              <w:rPr>
                <w:rFonts w:ascii="Times New Roman" w:hAnsi="Times New Roman"/>
                <w:b/>
                <w:i w:val="0"/>
                <w:sz w:val="22"/>
              </w:rPr>
              <w:t>Dimension</w:t>
            </w:r>
          </w:p>
        </w:tc>
        <w:tc>
          <w:tcPr>
            <w:tcW w:type="dxa" w:w="4139"/>
            <w:tcMar>
              <w:top w:w="40" w:type="dxa"/>
              <w:start w:w="60" w:type="dxa"/>
              <w:bottom w:w="40" w:type="dxa"/>
              <w:end w:w="60" w:type="dxa"/>
            </w:tcMar>
            <w:shd w:val="clear" w:fill="E8E8E8"/>
          </w:tcPr>
          <w:p>
            <w:pPr>
              <w:spacing w:after="0"/>
              <w:jc w:val="center"/>
            </w:pPr>
            <w:r>
              <w:rPr>
                <w:rFonts w:ascii="Times New Roman" w:hAnsi="Times New Roman"/>
                <w:b/>
                <w:i w:val="0"/>
                <w:sz w:val="22"/>
              </w:rPr>
              <w:t>Contribution (mechanism)</w:t>
            </w:r>
          </w:p>
        </w:tc>
        <w:tc>
          <w:tcPr>
            <w:tcW w:type="dxa" w:w="4422"/>
            <w:tcMar>
              <w:top w:w="40" w:type="dxa"/>
              <w:start w:w="60" w:type="dxa"/>
              <w:bottom w:w="40" w:type="dxa"/>
              <w:end w:w="60" w:type="dxa"/>
            </w:tcMar>
            <w:shd w:val="clear" w:fill="E8E8E8"/>
          </w:tcPr>
          <w:p>
            <w:pPr>
              <w:spacing w:after="0"/>
              <w:jc w:val="center"/>
            </w:pPr>
            <w:r>
              <w:rPr>
                <w:rFonts w:ascii="Times New Roman" w:hAnsi="Times New Roman"/>
                <w:b/>
                <w:i w:val="0"/>
                <w:sz w:val="22"/>
              </w:rPr>
              <w:t>Magnitude and importance</w:t>
            </w:r>
          </w:p>
        </w:tc>
      </w:tr>
      <w:tr>
        <w:tc>
          <w:tcPr>
            <w:tcW w:type="dxa" w:w="1644"/>
            <w:tcMar>
              <w:top w:w="40" w:type="dxa"/>
              <w:start w:w="60" w:type="dxa"/>
              <w:bottom w:w="40" w:type="dxa"/>
              <w:end w:w="60" w:type="dxa"/>
            </w:tcMar>
          </w:tcPr>
          <w:p>
            <w:pPr>
              <w:spacing w:after="0" w:line="240" w:lineRule="auto"/>
            </w:pPr>
            <w:r>
              <w:rPr>
                <w:rFonts w:ascii="Times New Roman" w:hAnsi="Times New Roman"/>
                <w:b/>
                <w:i w:val="0"/>
                <w:sz w:val="22"/>
              </w:rPr>
              <w:t>Scientific</w:t>
            </w:r>
          </w:p>
        </w:tc>
        <w:tc>
          <w:tcPr>
            <w:tcW w:type="dxa" w:w="4139"/>
            <w:tcMar>
              <w:top w:w="40" w:type="dxa"/>
              <w:start w:w="60" w:type="dxa"/>
              <w:bottom w:w="40" w:type="dxa"/>
              <w:end w:w="60" w:type="dxa"/>
            </w:tcMar>
          </w:tcPr>
          <w:p>
            <w:pPr>
              <w:spacing w:after="0" w:line="240" w:lineRule="auto"/>
            </w:pPr>
            <w:r>
              <w:rPr>
                <w:rFonts w:ascii="Times New Roman" w:hAnsi="Times New Roman"/>
                <w:b w:val="0"/>
                <w:i w:val="0"/>
                <w:sz w:val="22"/>
              </w:rPr>
              <w:t>A validation framework judging operationally obtainable data streams against independent plant-level ground truth under unseen-year and new-field conditions; documented reusable-vs-crop-specific separation; citable model card and crop-transfer specification; the transfer gap stated as a result.</w:t>
            </w:r>
          </w:p>
        </w:tc>
        <w:tc>
          <w:tcPr>
            <w:tcW w:type="dxa" w:w="4422"/>
            <w:tcMar>
              <w:top w:w="40" w:type="dxa"/>
              <w:start w:w="60" w:type="dxa"/>
              <w:bottom w:w="40" w:type="dxa"/>
              <w:end w:w="60" w:type="dxa"/>
            </w:tcMar>
          </w:tcPr>
          <w:p>
            <w:pPr>
              <w:spacing w:after="0" w:line="240" w:lineRule="auto"/>
            </w:pPr>
            <w:r>
              <w:rPr>
                <w:rFonts w:ascii="Times New Roman" w:hAnsi="Times New Roman"/>
                <w:b w:val="0"/>
                <w:i w:val="0"/>
                <w:sz w:val="22"/>
              </w:rPr>
              <w:t>A portable methodology other groups adopt without opaque AI; confronts the systemic weakness that retrospective accuracy does not survive leakage-safe or prospective testing; magnitude scales with reuse.</w:t>
            </w:r>
          </w:p>
        </w:tc>
      </w:tr>
      <w:tr>
        <w:tc>
          <w:tcPr>
            <w:tcW w:type="dxa" w:w="1644"/>
            <w:tcMar>
              <w:top w:w="40" w:type="dxa"/>
              <w:start w:w="60" w:type="dxa"/>
              <w:bottom w:w="40" w:type="dxa"/>
              <w:end w:w="60" w:type="dxa"/>
            </w:tcMar>
          </w:tcPr>
          <w:p>
            <w:pPr>
              <w:spacing w:after="0" w:line="240" w:lineRule="auto"/>
            </w:pPr>
            <w:r>
              <w:rPr>
                <w:rFonts w:ascii="Times New Roman" w:hAnsi="Times New Roman"/>
                <w:b/>
                <w:i w:val="0"/>
                <w:sz w:val="22"/>
              </w:rPr>
              <w:t>Agricultural &amp; environmental</w:t>
            </w:r>
          </w:p>
        </w:tc>
        <w:tc>
          <w:tcPr>
            <w:tcW w:type="dxa" w:w="4139"/>
            <w:tcMar>
              <w:top w:w="40" w:type="dxa"/>
              <w:start w:w="60" w:type="dxa"/>
              <w:bottom w:w="40" w:type="dxa"/>
              <w:end w:w="60" w:type="dxa"/>
            </w:tcMar>
          </w:tcPr>
          <w:p>
            <w:pPr>
              <w:spacing w:after="0" w:line="240" w:lineRule="auto"/>
            </w:pPr>
            <w:r>
              <w:rPr>
                <w:rFonts w:ascii="Times New Roman" w:hAnsi="Times New Roman"/>
                <w:b w:val="0"/>
                <w:i w:val="0"/>
                <w:sz w:val="22"/>
              </w:rPr>
              <w:t>Physiology- and plant-stage-aware irrigation timing; the project reports its own measured water, yield, quality and uncertainty results from prospective validation.</w:t>
            </w:r>
          </w:p>
        </w:tc>
        <w:tc>
          <w:tcPr>
            <w:tcW w:type="dxa" w:w="4422"/>
            <w:tcMar>
              <w:top w:w="40" w:type="dxa"/>
              <w:start w:w="60" w:type="dxa"/>
              <w:bottom w:w="40" w:type="dxa"/>
              <w:end w:w="60" w:type="dxa"/>
            </w:tcMar>
          </w:tcPr>
          <w:p>
            <w:pPr>
              <w:spacing w:after="0" w:line="240" w:lineRule="auto"/>
            </w:pPr>
            <w:r>
              <w:rPr>
                <w:rFonts w:ascii="Times New Roman" w:hAnsi="Times New Roman"/>
                <w:b w:val="0"/>
                <w:i w:val="0"/>
                <w:sz w:val="22"/>
              </w:rPr>
              <w:t>Literature-bounded context, not a promise: published processing-tomato strategies report ≈8–30% water savings (Carucci et al. 2023; Badr et al. 2026). Serves SDG 2, 6, 12, 13; makes water–yield trade-offs visible earlier.</w:t>
            </w:r>
          </w:p>
        </w:tc>
      </w:tr>
      <w:tr>
        <w:tc>
          <w:tcPr>
            <w:tcW w:type="dxa" w:w="1644"/>
            <w:tcMar>
              <w:top w:w="40" w:type="dxa"/>
              <w:start w:w="60" w:type="dxa"/>
              <w:bottom w:w="40" w:type="dxa"/>
              <w:end w:w="60" w:type="dxa"/>
            </w:tcMar>
          </w:tcPr>
          <w:p>
            <w:pPr>
              <w:spacing w:after="0" w:line="240" w:lineRule="auto"/>
            </w:pPr>
            <w:r>
              <w:rPr>
                <w:rFonts w:ascii="Times New Roman" w:hAnsi="Times New Roman"/>
                <w:b/>
                <w:i w:val="0"/>
                <w:sz w:val="22"/>
              </w:rPr>
              <w:t>Technological &amp; economic</w:t>
            </w:r>
          </w:p>
        </w:tc>
        <w:tc>
          <w:tcPr>
            <w:tcW w:type="dxa" w:w="4139"/>
            <w:tcMar>
              <w:top w:w="40" w:type="dxa"/>
              <w:start w:w="60" w:type="dxa"/>
              <w:bottom w:w="40" w:type="dxa"/>
              <w:end w:w="60" w:type="dxa"/>
            </w:tcMar>
          </w:tcPr>
          <w:p>
            <w:pPr>
              <w:spacing w:after="0" w:line="240" w:lineRule="auto"/>
            </w:pPr>
            <w:r>
              <w:rPr>
                <w:rFonts w:ascii="Times New Roman" w:hAnsi="Times New Roman"/>
                <w:b w:val="0"/>
                <w:i w:val="0"/>
                <w:sz w:val="22"/>
              </w:rPr>
              <w:t>Crop-configurable DrR web MVP (validated tomato module); AgroVIR requirements, operational assessment and post-MSCA FMIS roadmap; Krumatic implementation and Bulgarian uptake.</w:t>
            </w:r>
          </w:p>
        </w:tc>
        <w:tc>
          <w:tcPr>
            <w:tcW w:type="dxa" w:w="4422"/>
            <w:tcMar>
              <w:top w:w="40" w:type="dxa"/>
              <w:start w:w="60" w:type="dxa"/>
              <w:bottom w:w="40" w:type="dxa"/>
              <w:end w:w="60" w:type="dxa"/>
            </w:tcMar>
          </w:tcPr>
          <w:p>
            <w:pPr>
              <w:spacing w:after="0" w:line="240" w:lineRule="auto"/>
            </w:pPr>
            <w:r>
              <w:rPr>
                <w:rFonts w:ascii="Times New Roman" w:hAnsi="Times New Roman"/>
                <w:b w:val="0"/>
                <w:i w:val="0"/>
                <w:sz w:val="22"/>
              </w:rPr>
              <w:t>Uptake targets an existing operational base: the placement partner reports an FMIS in production use on &gt;745,000 ha in eight countries (company-declared figure, pending written confirmation). No invented EUR/ha claims; the measured operational metrics enable later economic assessment.</w:t>
            </w:r>
          </w:p>
        </w:tc>
      </w:tr>
      <w:tr>
        <w:tc>
          <w:tcPr>
            <w:tcW w:type="dxa" w:w="1644"/>
            <w:tcMar>
              <w:top w:w="40" w:type="dxa"/>
              <w:start w:w="60" w:type="dxa"/>
              <w:bottom w:w="40" w:type="dxa"/>
              <w:end w:w="60" w:type="dxa"/>
            </w:tcMar>
          </w:tcPr>
          <w:p>
            <w:pPr>
              <w:spacing w:after="0" w:line="240" w:lineRule="auto"/>
            </w:pPr>
            <w:r>
              <w:rPr>
                <w:rFonts w:ascii="Times New Roman" w:hAnsi="Times New Roman"/>
                <w:b/>
                <w:i w:val="0"/>
                <w:sz w:val="22"/>
              </w:rPr>
              <w:t>European &amp; societal</w:t>
            </w:r>
          </w:p>
        </w:tc>
        <w:tc>
          <w:tcPr>
            <w:tcW w:type="dxa" w:w="4139"/>
            <w:tcMar>
              <w:top w:w="40" w:type="dxa"/>
              <w:start w:w="60" w:type="dxa"/>
              <w:bottom w:w="40" w:type="dxa"/>
              <w:end w:w="60" w:type="dxa"/>
            </w:tcMar>
          </w:tcPr>
          <w:p>
            <w:pPr>
              <w:spacing w:after="0" w:line="240" w:lineRule="auto"/>
            </w:pPr>
            <w:r>
              <w:rPr>
                <w:rFonts w:ascii="Times New Roman" w:hAnsi="Times New Roman"/>
                <w:b w:val="0"/>
                <w:i w:val="0"/>
                <w:sz w:val="22"/>
              </w:rPr>
              <w:t>Hungary–Bulgaria scientific and mobility bridge; named reuse channels: industrial (AgroVIR), cross-border software (Krumatic), institutional replication (MVCRI).</w:t>
            </w:r>
          </w:p>
        </w:tc>
        <w:tc>
          <w:tcPr>
            <w:tcW w:type="dxa" w:w="4422"/>
            <w:tcMar>
              <w:top w:w="40" w:type="dxa"/>
              <w:start w:w="60" w:type="dxa"/>
              <w:bottom w:w="40" w:type="dxa"/>
              <w:end w:w="60" w:type="dxa"/>
            </w:tcMar>
          </w:tcPr>
          <w:p>
            <w:pPr>
              <w:spacing w:after="0" w:line="240" w:lineRule="auto"/>
            </w:pPr>
            <w:r>
              <w:rPr>
                <w:rFonts w:ascii="Times New Roman" w:hAnsi="Times New Roman"/>
                <w:b w:val="0"/>
                <w:i w:val="0"/>
                <w:sz w:val="22"/>
              </w:rPr>
              <w:t>Potential domain, not addressable market: EU fresh vegetables ≈2.0 million ha (Eurostat 2023), ≈0.7 million farms (2020 census); Bulgaria ≈35.6 kha vegetable area and ≈128 kt tomato (2024).</w:t>
            </w:r>
          </w:p>
        </w:tc>
      </w:tr>
    </w:tbl>
    <w:p>
      <w:pPr>
        <w:spacing w:before="0" w:after="120"/>
      </w:pPr>
      <w:r>
        <w:rPr>
          <w:sz w:val="4"/>
        </w:rPr>
      </w:r>
    </w:p>
    <w:p>
      <w:pPr>
        <w:spacing w:before="0" w:after="80" w:line="240" w:lineRule="auto"/>
        <w:jc w:val="both"/>
      </w:pPr>
      <w:r>
        <w:rPr>
          <w:rFonts w:ascii="Times New Roman" w:hAnsi="Times New Roman"/>
          <w:b w:val="0"/>
          <w:i w:val="0"/>
          <w:sz w:val="22"/>
        </w:rPr>
        <w:t>Magnitude within the fellowship is modest and honestly bounded — one validated crop module, one instrumented commercial field, one MVP evaluated by one industrial partner — while importance beyond it is disproportionately larger because every output is engineered for reuse. Eleven KPIs each measure something the project controls and delivers; none promises a numeric water saving in advance.</w:t>
      </w:r>
    </w:p>
    <w:p>
      <w:pPr>
        <w:keepNext/>
        <w:spacing w:before="0" w:after="120" w:line="240" w:lineRule="auto"/>
      </w:pPr>
      <w:r>
        <w:rPr>
          <w:rFonts w:ascii="Times New Roman" w:hAnsi="Times New Roman"/>
          <w:b/>
          <w:sz w:val="28"/>
        </w:rPr>
        <w:t>3. Quality and Efficiency of the Implementation</w:t>
      </w:r>
    </w:p>
    <w:p>
      <w:pPr>
        <w:keepNext/>
        <w:spacing w:before="0" w:after="80" w:line="240" w:lineRule="auto"/>
      </w:pPr>
      <w:r>
        <w:rPr>
          <w:rFonts w:ascii="Times New Roman" w:hAnsi="Times New Roman"/>
          <w:b/>
          <w:i/>
          <w:sz w:val="23"/>
        </w:rPr>
        <w:t>3.1 Quality and effectiveness of the work plan, assessment of risks and appropriateness of the effort assigned to work packages</w:t>
      </w:r>
    </w:p>
    <w:p>
      <w:pPr>
        <w:spacing w:before="0" w:after="80" w:line="240" w:lineRule="auto"/>
        <w:jc w:val="both"/>
      </w:pPr>
      <w:r>
        <w:rPr>
          <w:rFonts w:ascii="Times New Roman" w:hAnsi="Times New Roman"/>
          <w:b w:val="0"/>
          <w:i w:val="0"/>
          <w:sz w:val="22"/>
        </w:rPr>
        <w:t>FIELDWISE is a single-beneficiary 30-month European Fellowship: a 24-month research fellowship at HUN-REN ATK (M1–M24) followed by a six-month non-academic placement at AgroVIR (M25–M30) — the inter-sectoral mobility element, shown on the Gantt chart; there is no separate secondment. Five work packages follow the scientific logic from raw evidence to operational uptake, each consuming a validated output of its predecessor. The critical path — stress-target selection (T1.3) → primary model (T2.2) → prospective transfer quantification (T3.5) → migration of validated core functions (T4.3) → operational evaluation (T5.1) — is exactly the proposal’s scientific spine, and the dependency graph is acyclic with all couplings honoured with slack (WP4 ends M24 before WP5 starts M25).</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608"/>
            <w:tcMar>
              <w:top w:w="40" w:type="dxa"/>
              <w:start w:w="60" w:type="dxa"/>
              <w:bottom w:w="40" w:type="dxa"/>
              <w:end w:w="60" w:type="dxa"/>
            </w:tcMar>
            <w:shd w:val="clear" w:fill="E8E8E8"/>
          </w:tcPr>
          <w:p>
            <w:pPr>
              <w:spacing w:after="0"/>
              <w:jc w:val="center"/>
            </w:pPr>
            <w:r>
              <w:rPr>
                <w:rFonts w:ascii="Times New Roman" w:hAnsi="Times New Roman"/>
                <w:b/>
                <w:i w:val="0"/>
                <w:sz w:val="22"/>
              </w:rPr>
              <w:t>Work package (lead)</w:t>
            </w:r>
          </w:p>
        </w:tc>
        <w:tc>
          <w:tcPr>
            <w:tcW w:type="dxa" w:w="964"/>
            <w:tcMar>
              <w:top w:w="40" w:type="dxa"/>
              <w:start w:w="60" w:type="dxa"/>
              <w:bottom w:w="40" w:type="dxa"/>
              <w:end w:w="60" w:type="dxa"/>
            </w:tcMar>
            <w:shd w:val="clear" w:fill="E8E8E8"/>
          </w:tcPr>
          <w:p>
            <w:pPr>
              <w:spacing w:after="0"/>
              <w:jc w:val="center"/>
            </w:pPr>
            <w:r>
              <w:rPr>
                <w:rFonts w:ascii="Times New Roman" w:hAnsi="Times New Roman"/>
                <w:b/>
                <w:i w:val="0"/>
                <w:sz w:val="22"/>
              </w:rPr>
              <w:t>Months</w:t>
            </w:r>
          </w:p>
        </w:tc>
        <w:tc>
          <w:tcPr>
            <w:tcW w:type="dxa" w:w="4706"/>
            <w:tcMar>
              <w:top w:w="40" w:type="dxa"/>
              <w:start w:w="60" w:type="dxa"/>
              <w:bottom w:w="40" w:type="dxa"/>
              <w:end w:w="60" w:type="dxa"/>
            </w:tcMar>
            <w:shd w:val="clear" w:fill="E8E8E8"/>
          </w:tcPr>
          <w:p>
            <w:pPr>
              <w:spacing w:after="0"/>
              <w:jc w:val="center"/>
            </w:pPr>
            <w:r>
              <w:rPr>
                <w:rFonts w:ascii="Times New Roman" w:hAnsi="Times New Roman"/>
                <w:b/>
                <w:i w:val="0"/>
                <w:sz w:val="22"/>
              </w:rPr>
              <w:t>Content</w:t>
            </w:r>
          </w:p>
        </w:tc>
        <w:tc>
          <w:tcPr>
            <w:tcW w:type="dxa" w:w="1928"/>
            <w:tcMar>
              <w:top w:w="40" w:type="dxa"/>
              <w:start w:w="60" w:type="dxa"/>
              <w:bottom w:w="40" w:type="dxa"/>
              <w:end w:w="60" w:type="dxa"/>
            </w:tcMar>
            <w:shd w:val="clear" w:fill="E8E8E8"/>
          </w:tcPr>
          <w:p>
            <w:pPr>
              <w:spacing w:after="0"/>
              <w:jc w:val="center"/>
            </w:pPr>
            <w:r>
              <w:rPr>
                <w:rFonts w:ascii="Times New Roman" w:hAnsi="Times New Roman"/>
                <w:b/>
                <w:i w:val="0"/>
                <w:sz w:val="22"/>
              </w:rPr>
              <w:t>Deliverables</w:t>
            </w:r>
          </w:p>
        </w:tc>
      </w:tr>
      <w:tr>
        <w:tc>
          <w:tcPr>
            <w:tcW w:type="dxa" w:w="2608"/>
            <w:tcMar>
              <w:top w:w="40" w:type="dxa"/>
              <w:start w:w="60" w:type="dxa"/>
              <w:bottom w:w="40" w:type="dxa"/>
              <w:end w:w="60" w:type="dxa"/>
            </w:tcMar>
          </w:tcPr>
          <w:p>
            <w:pPr>
              <w:spacing w:after="0" w:line="240" w:lineRule="auto"/>
            </w:pPr>
            <w:r>
              <w:rPr>
                <w:rFonts w:ascii="Times New Roman" w:hAnsi="Times New Roman"/>
                <w:b/>
                <w:i w:val="0"/>
                <w:sz w:val="22"/>
              </w:rPr>
              <w:t>WP1</w:t>
            </w:r>
            <w:r>
              <w:rPr>
                <w:rFonts w:ascii="Times New Roman" w:hAnsi="Times New Roman"/>
                <w:b w:val="0"/>
                <w:i w:val="0"/>
                <w:sz w:val="22"/>
              </w:rPr>
              <w:t xml:space="preserve"> Data harmonisation &amp; physiological stress definition (HUN-REN ATK)</w:t>
            </w:r>
          </w:p>
        </w:tc>
        <w:tc>
          <w:tcPr>
            <w:tcW w:type="dxa" w:w="964"/>
            <w:tcMar>
              <w:top w:w="40" w:type="dxa"/>
              <w:start w:w="60" w:type="dxa"/>
              <w:bottom w:w="40" w:type="dxa"/>
              <w:end w:w="60" w:type="dxa"/>
            </w:tcMar>
          </w:tcPr>
          <w:p>
            <w:pPr>
              <w:spacing w:after="0" w:line="240" w:lineRule="auto"/>
            </w:pPr>
            <w:r>
              <w:rPr>
                <w:rFonts w:ascii="Times New Roman" w:hAnsi="Times New Roman"/>
                <w:b w:val="0"/>
                <w:i w:val="0"/>
                <w:sz w:val="22"/>
              </w:rPr>
              <w:t>M1–M6</w:t>
            </w:r>
          </w:p>
        </w:tc>
        <w:tc>
          <w:tcPr>
            <w:tcW w:type="dxa" w:w="4706"/>
            <w:tcMar>
              <w:top w:w="40" w:type="dxa"/>
              <w:start w:w="60" w:type="dxa"/>
              <w:bottom w:w="40" w:type="dxa"/>
              <w:end w:w="60" w:type="dxa"/>
            </w:tcMar>
          </w:tcPr>
          <w:p>
            <w:pPr>
              <w:spacing w:after="0" w:line="240" w:lineRule="auto"/>
            </w:pPr>
            <w:r>
              <w:rPr>
                <w:rFonts w:ascii="Times New Roman" w:hAnsi="Times New Roman"/>
                <w:b w:val="0"/>
                <w:i w:val="0"/>
                <w:sz w:val="22"/>
              </w:rPr>
              <w:t>Harmonise the 2022–2026 MATE processing-tomato archive into a QC-controlled common-variable matrix; fix a physiologically meaningful stress target and a pre-registered, leakage-safe validation protocol.</w:t>
            </w:r>
          </w:p>
        </w:tc>
        <w:tc>
          <w:tcPr>
            <w:tcW w:type="dxa" w:w="1928"/>
            <w:tcMar>
              <w:top w:w="40" w:type="dxa"/>
              <w:start w:w="60" w:type="dxa"/>
              <w:bottom w:w="40" w:type="dxa"/>
              <w:end w:w="60" w:type="dxa"/>
            </w:tcMar>
          </w:tcPr>
          <w:p>
            <w:pPr>
              <w:spacing w:after="0" w:line="240" w:lineRule="auto"/>
            </w:pPr>
            <w:r>
              <w:rPr>
                <w:rFonts w:ascii="Times New Roman" w:hAnsi="Times New Roman"/>
                <w:b w:val="0"/>
                <w:i w:val="0"/>
                <w:sz w:val="22"/>
              </w:rPr>
              <w:t>D1.1, D1.2 (M6); D1.3 CDP (M3)</w:t>
            </w:r>
          </w:p>
        </w:tc>
      </w:tr>
      <w:tr>
        <w:tc>
          <w:tcPr>
            <w:tcW w:type="dxa" w:w="2608"/>
            <w:tcMar>
              <w:top w:w="40" w:type="dxa"/>
              <w:start w:w="60" w:type="dxa"/>
              <w:bottom w:w="40" w:type="dxa"/>
              <w:end w:w="60" w:type="dxa"/>
            </w:tcMar>
          </w:tcPr>
          <w:p>
            <w:pPr>
              <w:spacing w:after="0" w:line="240" w:lineRule="auto"/>
            </w:pPr>
            <w:r>
              <w:rPr>
                <w:rFonts w:ascii="Times New Roman" w:hAnsi="Times New Roman"/>
                <w:b/>
                <w:i w:val="0"/>
                <w:sz w:val="22"/>
              </w:rPr>
              <w:t>WP2</w:t>
            </w:r>
            <w:r>
              <w:rPr>
                <w:rFonts w:ascii="Times New Roman" w:hAnsi="Times New Roman"/>
                <w:b w:val="0"/>
                <w:i w:val="0"/>
                <w:sz w:val="22"/>
              </w:rPr>
              <w:t xml:space="preserve"> HUN-REN modelling &amp; ELTE scale harmonisation (HUN-REN ATK)</w:t>
            </w:r>
          </w:p>
        </w:tc>
        <w:tc>
          <w:tcPr>
            <w:tcW w:type="dxa" w:w="964"/>
            <w:tcMar>
              <w:top w:w="40" w:type="dxa"/>
              <w:start w:w="60" w:type="dxa"/>
              <w:bottom w:w="40" w:type="dxa"/>
              <w:end w:w="60" w:type="dxa"/>
            </w:tcMar>
          </w:tcPr>
          <w:p>
            <w:pPr>
              <w:spacing w:after="0" w:line="240" w:lineRule="auto"/>
            </w:pPr>
            <w:r>
              <w:rPr>
                <w:rFonts w:ascii="Times New Roman" w:hAnsi="Times New Roman"/>
                <w:b w:val="0"/>
                <w:i w:val="0"/>
                <w:sz w:val="22"/>
              </w:rPr>
              <w:t>M3–M14</w:t>
            </w:r>
          </w:p>
        </w:tc>
        <w:tc>
          <w:tcPr>
            <w:tcW w:type="dxa" w:w="4706"/>
            <w:tcMar>
              <w:top w:w="40" w:type="dxa"/>
              <w:start w:w="60" w:type="dxa"/>
              <w:bottom w:w="40" w:type="dxa"/>
              <w:end w:w="60" w:type="dxa"/>
            </w:tcMar>
          </w:tcPr>
          <w:p>
            <w:pPr>
              <w:spacing w:after="0" w:line="240" w:lineRule="auto"/>
            </w:pPr>
            <w:r>
              <w:rPr>
                <w:rFonts w:ascii="Times New Roman" w:hAnsi="Times New Roman"/>
                <w:b w:val="0"/>
                <w:i w:val="0"/>
                <w:sz w:val="22"/>
              </w:rPr>
              <w:t>Parsimonious, interpretable, uncertainty-aware primary model (+ one nonlinear benchmark where justified); reusable-vs-crop-specific separation; spectral/UAV/Sentinel scaling and crop-transfer specification.</w:t>
            </w:r>
          </w:p>
        </w:tc>
        <w:tc>
          <w:tcPr>
            <w:tcW w:type="dxa" w:w="1928"/>
            <w:tcMar>
              <w:top w:w="40" w:type="dxa"/>
              <w:start w:w="60" w:type="dxa"/>
              <w:bottom w:w="40" w:type="dxa"/>
              <w:end w:w="60" w:type="dxa"/>
            </w:tcMar>
          </w:tcPr>
          <w:p>
            <w:pPr>
              <w:spacing w:after="0" w:line="240" w:lineRule="auto"/>
            </w:pPr>
            <w:r>
              <w:rPr>
                <w:rFonts w:ascii="Times New Roman" w:hAnsi="Times New Roman"/>
                <w:b w:val="0"/>
                <w:i w:val="0"/>
                <w:sz w:val="22"/>
              </w:rPr>
              <w:t>D2.1, D2.2 (M14)</w:t>
            </w:r>
          </w:p>
        </w:tc>
      </w:tr>
      <w:tr>
        <w:tc>
          <w:tcPr>
            <w:tcW w:type="dxa" w:w="2608"/>
            <w:tcMar>
              <w:top w:w="40" w:type="dxa"/>
              <w:start w:w="60" w:type="dxa"/>
              <w:bottom w:w="40" w:type="dxa"/>
              <w:end w:w="60" w:type="dxa"/>
            </w:tcMar>
          </w:tcPr>
          <w:p>
            <w:pPr>
              <w:spacing w:after="0" w:line="240" w:lineRule="auto"/>
            </w:pPr>
            <w:r>
              <w:rPr>
                <w:rFonts w:ascii="Times New Roman" w:hAnsi="Times New Roman"/>
                <w:b/>
                <w:i w:val="0"/>
                <w:sz w:val="22"/>
              </w:rPr>
              <w:t>WP3</w:t>
            </w:r>
            <w:r>
              <w:rPr>
                <w:rFonts w:ascii="Times New Roman" w:hAnsi="Times New Roman"/>
                <w:b w:val="0"/>
                <w:i w:val="0"/>
                <w:sz w:val="22"/>
              </w:rPr>
              <w:t xml:space="preserve"> Independent commercial-farmer prospective validation (validation site)</w:t>
            </w:r>
          </w:p>
        </w:tc>
        <w:tc>
          <w:tcPr>
            <w:tcW w:type="dxa" w:w="964"/>
            <w:tcMar>
              <w:top w:w="40" w:type="dxa"/>
              <w:start w:w="60" w:type="dxa"/>
              <w:bottom w:w="40" w:type="dxa"/>
              <w:end w:w="60" w:type="dxa"/>
            </w:tcMar>
          </w:tcPr>
          <w:p>
            <w:pPr>
              <w:spacing w:after="0" w:line="240" w:lineRule="auto"/>
            </w:pPr>
            <w:r>
              <w:rPr>
                <w:rFonts w:ascii="Times New Roman" w:hAnsi="Times New Roman"/>
                <w:b w:val="0"/>
                <w:i w:val="0"/>
                <w:sz w:val="22"/>
              </w:rPr>
              <w:t>M4–M18</w:t>
            </w:r>
          </w:p>
        </w:tc>
        <w:tc>
          <w:tcPr>
            <w:tcW w:type="dxa" w:w="4706"/>
            <w:tcMar>
              <w:top w:w="40" w:type="dxa"/>
              <w:start w:w="60" w:type="dxa"/>
              <w:bottom w:w="40" w:type="dxa"/>
              <w:end w:w="60" w:type="dxa"/>
            </w:tcMar>
          </w:tcPr>
          <w:p>
            <w:pPr>
              <w:spacing w:after="0" w:line="240" w:lineRule="auto"/>
            </w:pPr>
            <w:r>
              <w:rPr>
                <w:rFonts w:ascii="Times New Roman" w:hAnsi="Times New Roman"/>
                <w:b w:val="0"/>
                <w:i w:val="0"/>
                <w:sz w:val="22"/>
              </w:rPr>
              <w:t>Written field access (T3.1, M4–M6); instrument the field (T3.2, M5–M7); campaigns (T3.3, M7–M14; UAV/Sentinel T3.4, M8–M15); quantify the transfer gap prospectively with limited, transparent recalibration.</w:t>
            </w:r>
          </w:p>
        </w:tc>
        <w:tc>
          <w:tcPr>
            <w:tcW w:type="dxa" w:w="1928"/>
            <w:tcMar>
              <w:top w:w="40" w:type="dxa"/>
              <w:start w:w="60" w:type="dxa"/>
              <w:bottom w:w="40" w:type="dxa"/>
              <w:end w:w="60" w:type="dxa"/>
            </w:tcMar>
          </w:tcPr>
          <w:p>
            <w:pPr>
              <w:spacing w:after="0" w:line="240" w:lineRule="auto"/>
            </w:pPr>
            <w:r>
              <w:rPr>
                <w:rFonts w:ascii="Times New Roman" w:hAnsi="Times New Roman"/>
                <w:b w:val="0"/>
                <w:i w:val="0"/>
                <w:sz w:val="22"/>
              </w:rPr>
              <w:t>D3.1, D3.2 (M18)</w:t>
            </w:r>
          </w:p>
        </w:tc>
      </w:tr>
      <w:tr>
        <w:tc>
          <w:tcPr>
            <w:tcW w:type="dxa" w:w="2608"/>
            <w:tcMar>
              <w:top w:w="40" w:type="dxa"/>
              <w:start w:w="60" w:type="dxa"/>
              <w:bottom w:w="40" w:type="dxa"/>
              <w:end w:w="60" w:type="dxa"/>
            </w:tcMar>
          </w:tcPr>
          <w:p>
            <w:pPr>
              <w:spacing w:after="0" w:line="240" w:lineRule="auto"/>
            </w:pPr>
            <w:r>
              <w:rPr>
                <w:rFonts w:ascii="Times New Roman" w:hAnsi="Times New Roman"/>
                <w:b/>
                <w:i w:val="0"/>
                <w:sz w:val="22"/>
              </w:rPr>
              <w:t>WP4</w:t>
            </w:r>
            <w:r>
              <w:rPr>
                <w:rFonts w:ascii="Times New Roman" w:hAnsi="Times New Roman"/>
                <w:b w:val="0"/>
                <w:i w:val="0"/>
                <w:sz w:val="22"/>
              </w:rPr>
              <w:t xml:space="preserve"> DrR web MVP, co-development &amp; exploitation preparation (Krumatic)</w:t>
            </w:r>
          </w:p>
        </w:tc>
        <w:tc>
          <w:tcPr>
            <w:tcW w:type="dxa" w:w="964"/>
            <w:tcMar>
              <w:top w:w="40" w:type="dxa"/>
              <w:start w:w="60" w:type="dxa"/>
              <w:bottom w:w="40" w:type="dxa"/>
              <w:end w:w="60" w:type="dxa"/>
            </w:tcMar>
          </w:tcPr>
          <w:p>
            <w:pPr>
              <w:spacing w:after="0" w:line="240" w:lineRule="auto"/>
            </w:pPr>
            <w:r>
              <w:rPr>
                <w:rFonts w:ascii="Times New Roman" w:hAnsi="Times New Roman"/>
                <w:b w:val="0"/>
                <w:i w:val="0"/>
                <w:sz w:val="22"/>
              </w:rPr>
              <w:t>M1–M24</w:t>
            </w:r>
          </w:p>
        </w:tc>
        <w:tc>
          <w:tcPr>
            <w:tcW w:type="dxa" w:w="4706"/>
            <w:tcMar>
              <w:top w:w="40" w:type="dxa"/>
              <w:start w:w="60" w:type="dxa"/>
              <w:bottom w:w="40" w:type="dxa"/>
              <w:end w:w="60" w:type="dxa"/>
            </w:tcMar>
          </w:tcPr>
          <w:p>
            <w:pPr>
              <w:spacing w:after="0" w:line="240" w:lineRule="auto"/>
            </w:pPr>
            <w:r>
              <w:rPr>
                <w:rFonts w:ascii="Times New Roman" w:hAnsi="Times New Roman"/>
                <w:b w:val="0"/>
                <w:i w:val="0"/>
                <w:sz w:val="22"/>
              </w:rPr>
              <w:t>Continuous co-development from M1 with structured AgroVIR requirements consultation; incremental integration of validated functions; migration of validated core (T4.3, M18–M22); IP inventory (T4.6).</w:t>
            </w:r>
          </w:p>
        </w:tc>
        <w:tc>
          <w:tcPr>
            <w:tcW w:type="dxa" w:w="1928"/>
            <w:tcMar>
              <w:top w:w="40" w:type="dxa"/>
              <w:start w:w="60" w:type="dxa"/>
              <w:bottom w:w="40" w:type="dxa"/>
              <w:end w:w="60" w:type="dxa"/>
            </w:tcMar>
          </w:tcPr>
          <w:p>
            <w:pPr>
              <w:spacing w:after="0" w:line="240" w:lineRule="auto"/>
            </w:pPr>
            <w:r>
              <w:rPr>
                <w:rFonts w:ascii="Times New Roman" w:hAnsi="Times New Roman"/>
                <w:b w:val="0"/>
                <w:i w:val="0"/>
                <w:sz w:val="22"/>
              </w:rPr>
              <w:t>D4.1, D4.2 (M24)</w:t>
            </w:r>
          </w:p>
        </w:tc>
      </w:tr>
      <w:tr>
        <w:tc>
          <w:tcPr>
            <w:tcW w:type="dxa" w:w="2608"/>
            <w:tcMar>
              <w:top w:w="40" w:type="dxa"/>
              <w:start w:w="60" w:type="dxa"/>
              <w:bottom w:w="40" w:type="dxa"/>
              <w:end w:w="60" w:type="dxa"/>
            </w:tcMar>
          </w:tcPr>
          <w:p>
            <w:pPr>
              <w:spacing w:after="0" w:line="240" w:lineRule="auto"/>
            </w:pPr>
            <w:r>
              <w:rPr>
                <w:rFonts w:ascii="Times New Roman" w:hAnsi="Times New Roman"/>
                <w:b/>
                <w:i w:val="0"/>
                <w:sz w:val="22"/>
              </w:rPr>
              <w:t>WP5</w:t>
            </w:r>
            <w:r>
              <w:rPr>
                <w:rFonts w:ascii="Times New Roman" w:hAnsi="Times New Roman"/>
                <w:b w:val="0"/>
                <w:i w:val="0"/>
                <w:sz w:val="22"/>
              </w:rPr>
              <w:t xml:space="preserve"> AgroVIR non-academic placement (AgroVIR)</w:t>
            </w:r>
          </w:p>
        </w:tc>
        <w:tc>
          <w:tcPr>
            <w:tcW w:type="dxa" w:w="964"/>
            <w:tcMar>
              <w:top w:w="40" w:type="dxa"/>
              <w:start w:w="60" w:type="dxa"/>
              <w:bottom w:w="40" w:type="dxa"/>
              <w:end w:w="60" w:type="dxa"/>
            </w:tcMar>
          </w:tcPr>
          <w:p>
            <w:pPr>
              <w:spacing w:after="0" w:line="240" w:lineRule="auto"/>
            </w:pPr>
            <w:r>
              <w:rPr>
                <w:rFonts w:ascii="Times New Roman" w:hAnsi="Times New Roman"/>
                <w:b w:val="0"/>
                <w:i w:val="0"/>
                <w:sz w:val="22"/>
              </w:rPr>
              <w:t>M25–M30</w:t>
            </w:r>
          </w:p>
        </w:tc>
        <w:tc>
          <w:tcPr>
            <w:tcW w:type="dxa" w:w="4706"/>
            <w:tcMar>
              <w:top w:w="40" w:type="dxa"/>
              <w:start w:w="60" w:type="dxa"/>
              <w:bottom w:w="40" w:type="dxa"/>
              <w:end w:w="60" w:type="dxa"/>
            </w:tcMar>
          </w:tcPr>
          <w:p>
            <w:pPr>
              <w:spacing w:after="0" w:line="240" w:lineRule="auto"/>
            </w:pPr>
            <w:r>
              <w:rPr>
                <w:rFonts w:ascii="Times New Roman" w:hAnsi="Times New Roman"/>
                <w:b w:val="0"/>
                <w:i w:val="0"/>
                <w:sz w:val="22"/>
              </w:rPr>
              <w:t>Operational evaluation of the MVP in a real FMIS environment (usability, data requirements, interoperability); post-MSCA integration and exploitation roadmap.</w:t>
            </w:r>
          </w:p>
        </w:tc>
        <w:tc>
          <w:tcPr>
            <w:tcW w:type="dxa" w:w="1928"/>
            <w:tcMar>
              <w:top w:w="40" w:type="dxa"/>
              <w:start w:w="60" w:type="dxa"/>
              <w:bottom w:w="40" w:type="dxa"/>
              <w:end w:w="60" w:type="dxa"/>
            </w:tcMar>
          </w:tcPr>
          <w:p>
            <w:pPr>
              <w:spacing w:after="0" w:line="240" w:lineRule="auto"/>
            </w:pPr>
            <w:r>
              <w:rPr>
                <w:rFonts w:ascii="Times New Roman" w:hAnsi="Times New Roman"/>
                <w:b w:val="0"/>
                <w:i w:val="0"/>
                <w:sz w:val="22"/>
              </w:rPr>
              <w:t>D5.1, D5.2 (M30)</w:t>
            </w:r>
          </w:p>
        </w:tc>
      </w:tr>
    </w:tbl>
    <w:p>
      <w:pPr>
        <w:spacing w:before="0" w:after="120"/>
      </w:pPr>
      <w:r>
        <w:rPr>
          <w:sz w:val="4"/>
        </w:rPr>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247"/>
            <w:tcMar>
              <w:top w:w="40" w:type="dxa"/>
              <w:start w:w="60" w:type="dxa"/>
              <w:bottom w:w="40" w:type="dxa"/>
              <w:end w:w="60" w:type="dxa"/>
            </w:tcMar>
            <w:shd w:val="clear" w:fill="E8E8E8"/>
          </w:tcPr>
          <w:p>
            <w:pPr>
              <w:spacing w:after="0"/>
              <w:jc w:val="center"/>
            </w:pPr>
            <w:r>
              <w:rPr>
                <w:rFonts w:ascii="Times New Roman" w:hAnsi="Times New Roman"/>
                <w:b/>
                <w:i w:val="0"/>
                <w:sz w:val="22"/>
              </w:rPr>
              <w:t>Milestone</w:t>
            </w:r>
          </w:p>
        </w:tc>
        <w:tc>
          <w:tcPr>
            <w:tcW w:type="dxa" w:w="850"/>
            <w:tcMar>
              <w:top w:w="40" w:type="dxa"/>
              <w:start w:w="60" w:type="dxa"/>
              <w:bottom w:w="40" w:type="dxa"/>
              <w:end w:w="60" w:type="dxa"/>
            </w:tcMar>
            <w:shd w:val="clear" w:fill="E8E8E8"/>
          </w:tcPr>
          <w:p>
            <w:pPr>
              <w:spacing w:after="0"/>
              <w:jc w:val="center"/>
            </w:pPr>
            <w:r>
              <w:rPr>
                <w:rFonts w:ascii="Times New Roman" w:hAnsi="Times New Roman"/>
                <w:b/>
                <w:i w:val="0"/>
                <w:sz w:val="22"/>
              </w:rPr>
              <w:t>Month</w:t>
            </w:r>
          </w:p>
        </w:tc>
        <w:tc>
          <w:tcPr>
            <w:tcW w:type="dxa" w:w="8107"/>
            <w:tcMar>
              <w:top w:w="40" w:type="dxa"/>
              <w:start w:w="60" w:type="dxa"/>
              <w:bottom w:w="40" w:type="dxa"/>
              <w:end w:w="60" w:type="dxa"/>
            </w:tcMar>
            <w:shd w:val="clear" w:fill="E8E8E8"/>
          </w:tcPr>
          <w:p>
            <w:pPr>
              <w:spacing w:after="0"/>
              <w:jc w:val="center"/>
            </w:pPr>
            <w:r>
              <w:rPr>
                <w:rFonts w:ascii="Times New Roman" w:hAnsi="Times New Roman"/>
                <w:b/>
                <w:i w:val="0"/>
                <w:sz w:val="22"/>
              </w:rPr>
              <w:t>Verifiable achievement criterion</w:t>
            </w:r>
          </w:p>
        </w:tc>
      </w:tr>
      <w:tr>
        <w:tc>
          <w:tcPr>
            <w:tcW w:type="dxa" w:w="1247"/>
            <w:tcMar>
              <w:top w:w="40" w:type="dxa"/>
              <w:start w:w="60" w:type="dxa"/>
              <w:bottom w:w="40" w:type="dxa"/>
              <w:end w:w="60" w:type="dxa"/>
            </w:tcMar>
          </w:tcPr>
          <w:p>
            <w:pPr>
              <w:spacing w:after="0" w:line="240" w:lineRule="auto"/>
            </w:pPr>
            <w:r>
              <w:rPr>
                <w:rFonts w:ascii="Times New Roman" w:hAnsi="Times New Roman"/>
                <w:b/>
                <w:i w:val="0"/>
                <w:sz w:val="22"/>
              </w:rPr>
              <w:t>MS1</w:t>
            </w:r>
          </w:p>
        </w:tc>
        <w:tc>
          <w:tcPr>
            <w:tcW w:type="dxa" w:w="850"/>
            <w:tcMar>
              <w:top w:w="40" w:type="dxa"/>
              <w:start w:w="60" w:type="dxa"/>
              <w:bottom w:w="40" w:type="dxa"/>
              <w:end w:w="60" w:type="dxa"/>
            </w:tcMar>
          </w:tcPr>
          <w:p>
            <w:pPr>
              <w:spacing w:after="0" w:line="240" w:lineRule="auto"/>
            </w:pPr>
            <w:r>
              <w:rPr>
                <w:rFonts w:ascii="Times New Roman" w:hAnsi="Times New Roman"/>
                <w:b w:val="0"/>
                <w:i w:val="0"/>
                <w:sz w:val="22"/>
              </w:rPr>
              <w:t>M6</w:t>
            </w:r>
          </w:p>
        </w:tc>
        <w:tc>
          <w:tcPr>
            <w:tcW w:type="dxa" w:w="8107"/>
            <w:tcMar>
              <w:top w:w="40" w:type="dxa"/>
              <w:start w:w="60" w:type="dxa"/>
              <w:bottom w:w="40" w:type="dxa"/>
              <w:end w:w="60" w:type="dxa"/>
            </w:tcMar>
          </w:tcPr>
          <w:p>
            <w:pPr>
              <w:spacing w:after="0" w:line="240" w:lineRule="auto"/>
            </w:pPr>
            <w:r>
              <w:rPr>
                <w:rFonts w:ascii="Times New Roman" w:hAnsi="Times New Roman"/>
                <w:b w:val="0"/>
                <w:i w:val="0"/>
                <w:sz w:val="22"/>
              </w:rPr>
              <w:t>Historical knowledge base and target definition complete (D1.1, D1.2 accepted).</w:t>
            </w:r>
          </w:p>
        </w:tc>
      </w:tr>
      <w:tr>
        <w:tc>
          <w:tcPr>
            <w:tcW w:type="dxa" w:w="1247"/>
            <w:tcMar>
              <w:top w:w="40" w:type="dxa"/>
              <w:start w:w="60" w:type="dxa"/>
              <w:bottom w:w="40" w:type="dxa"/>
              <w:end w:w="60" w:type="dxa"/>
            </w:tcMar>
          </w:tcPr>
          <w:p>
            <w:pPr>
              <w:spacing w:after="0" w:line="240" w:lineRule="auto"/>
            </w:pPr>
            <w:r>
              <w:rPr>
                <w:rFonts w:ascii="Times New Roman" w:hAnsi="Times New Roman"/>
                <w:b/>
                <w:i w:val="0"/>
                <w:sz w:val="22"/>
              </w:rPr>
              <w:t>MS2</w:t>
            </w:r>
          </w:p>
        </w:tc>
        <w:tc>
          <w:tcPr>
            <w:tcW w:type="dxa" w:w="850"/>
            <w:tcMar>
              <w:top w:w="40" w:type="dxa"/>
              <w:start w:w="60" w:type="dxa"/>
              <w:bottom w:w="40" w:type="dxa"/>
              <w:end w:w="60" w:type="dxa"/>
            </w:tcMar>
          </w:tcPr>
          <w:p>
            <w:pPr>
              <w:spacing w:after="0" w:line="240" w:lineRule="auto"/>
            </w:pPr>
            <w:r>
              <w:rPr>
                <w:rFonts w:ascii="Times New Roman" w:hAnsi="Times New Roman"/>
                <w:b w:val="0"/>
                <w:i w:val="0"/>
                <w:sz w:val="22"/>
              </w:rPr>
              <w:t>M14</w:t>
            </w:r>
          </w:p>
        </w:tc>
        <w:tc>
          <w:tcPr>
            <w:tcW w:type="dxa" w:w="8107"/>
            <w:tcMar>
              <w:top w:w="40" w:type="dxa"/>
              <w:start w:w="60" w:type="dxa"/>
              <w:bottom w:w="40" w:type="dxa"/>
              <w:end w:w="60" w:type="dxa"/>
            </w:tcMar>
          </w:tcPr>
          <w:p>
            <w:pPr>
              <w:spacing w:after="0" w:line="240" w:lineRule="auto"/>
            </w:pPr>
            <w:r>
              <w:rPr>
                <w:rFonts w:ascii="Times New Roman" w:hAnsi="Times New Roman"/>
                <w:b w:val="0"/>
                <w:i w:val="0"/>
                <w:sz w:val="22"/>
              </w:rPr>
              <w:t>Model and scale-transition framework ready for final prospective assessment (D2.1, D2.2).</w:t>
            </w:r>
          </w:p>
        </w:tc>
      </w:tr>
      <w:tr>
        <w:tc>
          <w:tcPr>
            <w:tcW w:type="dxa" w:w="1247"/>
            <w:tcMar>
              <w:top w:w="40" w:type="dxa"/>
              <w:start w:w="60" w:type="dxa"/>
              <w:bottom w:w="40" w:type="dxa"/>
              <w:end w:w="60" w:type="dxa"/>
            </w:tcMar>
          </w:tcPr>
          <w:p>
            <w:pPr>
              <w:spacing w:after="0" w:line="240" w:lineRule="auto"/>
            </w:pPr>
            <w:r>
              <w:rPr>
                <w:rFonts w:ascii="Times New Roman" w:hAnsi="Times New Roman"/>
                <w:b/>
                <w:i w:val="0"/>
                <w:sz w:val="22"/>
              </w:rPr>
              <w:t>MS3</w:t>
            </w:r>
          </w:p>
        </w:tc>
        <w:tc>
          <w:tcPr>
            <w:tcW w:type="dxa" w:w="850"/>
            <w:tcMar>
              <w:top w:w="40" w:type="dxa"/>
              <w:start w:w="60" w:type="dxa"/>
              <w:bottom w:w="40" w:type="dxa"/>
              <w:end w:w="60" w:type="dxa"/>
            </w:tcMar>
          </w:tcPr>
          <w:p>
            <w:pPr>
              <w:spacing w:after="0" w:line="240" w:lineRule="auto"/>
            </w:pPr>
            <w:r>
              <w:rPr>
                <w:rFonts w:ascii="Times New Roman" w:hAnsi="Times New Roman"/>
                <w:b w:val="0"/>
                <w:i w:val="0"/>
                <w:sz w:val="22"/>
              </w:rPr>
              <w:t>M18</w:t>
            </w:r>
          </w:p>
        </w:tc>
        <w:tc>
          <w:tcPr>
            <w:tcW w:type="dxa" w:w="8107"/>
            <w:tcMar>
              <w:top w:w="40" w:type="dxa"/>
              <w:start w:w="60" w:type="dxa"/>
              <w:bottom w:w="40" w:type="dxa"/>
              <w:end w:w="60" w:type="dxa"/>
            </w:tcMar>
          </w:tcPr>
          <w:p>
            <w:pPr>
              <w:spacing w:after="0" w:line="240" w:lineRule="auto"/>
            </w:pPr>
            <w:r>
              <w:rPr>
                <w:rFonts w:ascii="Times New Roman" w:hAnsi="Times New Roman"/>
                <w:b w:val="0"/>
                <w:i w:val="0"/>
                <w:sz w:val="22"/>
              </w:rPr>
              <w:t>Independent real-world transferability quantified (D3.1, D3.2).</w:t>
            </w:r>
          </w:p>
        </w:tc>
      </w:tr>
      <w:tr>
        <w:tc>
          <w:tcPr>
            <w:tcW w:type="dxa" w:w="1247"/>
            <w:tcMar>
              <w:top w:w="40" w:type="dxa"/>
              <w:start w:w="60" w:type="dxa"/>
              <w:bottom w:w="40" w:type="dxa"/>
              <w:end w:w="60" w:type="dxa"/>
            </w:tcMar>
          </w:tcPr>
          <w:p>
            <w:pPr>
              <w:spacing w:after="0" w:line="240" w:lineRule="auto"/>
            </w:pPr>
            <w:r>
              <w:rPr>
                <w:rFonts w:ascii="Times New Roman" w:hAnsi="Times New Roman"/>
                <w:b/>
                <w:i w:val="0"/>
                <w:sz w:val="22"/>
              </w:rPr>
              <w:t>MS4</w:t>
            </w:r>
          </w:p>
        </w:tc>
        <w:tc>
          <w:tcPr>
            <w:tcW w:type="dxa" w:w="850"/>
            <w:tcMar>
              <w:top w:w="40" w:type="dxa"/>
              <w:start w:w="60" w:type="dxa"/>
              <w:bottom w:w="40" w:type="dxa"/>
              <w:end w:w="60" w:type="dxa"/>
            </w:tcMar>
          </w:tcPr>
          <w:p>
            <w:pPr>
              <w:spacing w:after="0" w:line="240" w:lineRule="auto"/>
            </w:pPr>
            <w:r>
              <w:rPr>
                <w:rFonts w:ascii="Times New Roman" w:hAnsi="Times New Roman"/>
                <w:b w:val="0"/>
                <w:i w:val="0"/>
                <w:sz w:val="22"/>
              </w:rPr>
              <w:t>M24</w:t>
            </w:r>
          </w:p>
        </w:tc>
        <w:tc>
          <w:tcPr>
            <w:tcW w:type="dxa" w:w="8107"/>
            <w:tcMar>
              <w:top w:w="40" w:type="dxa"/>
              <w:start w:w="60" w:type="dxa"/>
              <w:bottom w:w="40" w:type="dxa"/>
              <w:end w:w="60" w:type="dxa"/>
            </w:tcMar>
          </w:tcPr>
          <w:p>
            <w:pPr>
              <w:spacing w:after="0" w:line="240" w:lineRule="auto"/>
            </w:pPr>
            <w:r>
              <w:rPr>
                <w:rFonts w:ascii="Times New Roman" w:hAnsi="Times New Roman"/>
                <w:b w:val="0"/>
                <w:i w:val="0"/>
                <w:sz w:val="22"/>
              </w:rPr>
              <w:t>MVP ready for industrial placement evaluation — the pivotal gate: only a validated, access-tested MVP passes into the placement (D4.1, D4.2).</w:t>
            </w:r>
          </w:p>
        </w:tc>
      </w:tr>
      <w:tr>
        <w:tc>
          <w:tcPr>
            <w:tcW w:type="dxa" w:w="1247"/>
            <w:tcMar>
              <w:top w:w="40" w:type="dxa"/>
              <w:start w:w="60" w:type="dxa"/>
              <w:bottom w:w="40" w:type="dxa"/>
              <w:end w:w="60" w:type="dxa"/>
            </w:tcMar>
          </w:tcPr>
          <w:p>
            <w:pPr>
              <w:spacing w:after="0" w:line="240" w:lineRule="auto"/>
            </w:pPr>
            <w:r>
              <w:rPr>
                <w:rFonts w:ascii="Times New Roman" w:hAnsi="Times New Roman"/>
                <w:b/>
                <w:i w:val="0"/>
                <w:sz w:val="22"/>
              </w:rPr>
              <w:t>MS5</w:t>
            </w:r>
          </w:p>
        </w:tc>
        <w:tc>
          <w:tcPr>
            <w:tcW w:type="dxa" w:w="850"/>
            <w:tcMar>
              <w:top w:w="40" w:type="dxa"/>
              <w:start w:w="60" w:type="dxa"/>
              <w:bottom w:w="40" w:type="dxa"/>
              <w:end w:w="60" w:type="dxa"/>
            </w:tcMar>
          </w:tcPr>
          <w:p>
            <w:pPr>
              <w:spacing w:after="0" w:line="240" w:lineRule="auto"/>
            </w:pPr>
            <w:r>
              <w:rPr>
                <w:rFonts w:ascii="Times New Roman" w:hAnsi="Times New Roman"/>
                <w:b w:val="0"/>
                <w:i w:val="0"/>
                <w:sz w:val="22"/>
              </w:rPr>
              <w:t>M30</w:t>
            </w:r>
          </w:p>
        </w:tc>
        <w:tc>
          <w:tcPr>
            <w:tcW w:type="dxa" w:w="8107"/>
            <w:tcMar>
              <w:top w:w="40" w:type="dxa"/>
              <w:start w:w="60" w:type="dxa"/>
              <w:bottom w:w="40" w:type="dxa"/>
              <w:end w:w="60" w:type="dxa"/>
            </w:tcMar>
          </w:tcPr>
          <w:p>
            <w:pPr>
              <w:spacing w:after="0" w:line="240" w:lineRule="auto"/>
            </w:pPr>
            <w:r>
              <w:rPr>
                <w:rFonts w:ascii="Times New Roman" w:hAnsi="Times New Roman"/>
                <w:b w:val="0"/>
                <w:i w:val="0"/>
                <w:sz w:val="22"/>
              </w:rPr>
              <w:t>Industrial evaluation and placement completed (D5.1, D5.2).</w:t>
            </w:r>
          </w:p>
        </w:tc>
      </w:tr>
    </w:tbl>
    <w:p>
      <w:pPr>
        <w:spacing w:before="0" w:after="120"/>
      </w:pPr>
      <w:r>
        <w:rPr>
          <w:sz w:val="4"/>
        </w:rPr>
      </w:r>
    </w:p>
    <w:p>
      <w:pPr>
        <w:spacing w:before="0" w:after="80" w:line="240" w:lineRule="auto"/>
        <w:jc w:val="both"/>
      </w:pPr>
      <w:r>
        <w:rPr>
          <w:rFonts w:ascii="Times New Roman" w:hAnsi="Times New Roman"/>
          <w:b/>
          <w:i w:val="0"/>
          <w:sz w:val="22"/>
        </w:rPr>
        <w:t>Effort.</w:t>
      </w:r>
      <w:r>
        <w:rPr>
          <w:rFonts w:ascii="Times New Roman" w:hAnsi="Times New Roman"/>
          <w:b w:val="0"/>
          <w:i w:val="0"/>
          <w:sz w:val="22"/>
        </w:rPr>
        <w:t xml:space="preserve"> The fellow’s 30 person-months follow the intellectual load: WP1 3.0, WP2 6.0, WP3 6.6, WP4 6.0, WP5 5.4, plus 3.0 cross-cutting (supervision cadence, training, open-science and reporting). Modelling and prospective validation together take almost half the time; WP1 is lean because it reuses an existing archive. Partner in-kind contributions (≈2.5 PM ATK supervisor, 2.0 PM ELTE co-supervisor, 3.0 PM AgroVIR, 2.4 PM MATE, 1.5 PM Krumatic) are bottom-up estimates to be confirmed in writing with each partner before grant signature.</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567"/>
            <w:tcMar>
              <w:top w:w="40" w:type="dxa"/>
              <w:start w:w="60" w:type="dxa"/>
              <w:bottom w:w="40" w:type="dxa"/>
              <w:end w:w="60" w:type="dxa"/>
            </w:tcMar>
            <w:shd w:val="clear" w:fill="E8E8E8"/>
          </w:tcPr>
          <w:p>
            <w:pPr>
              <w:spacing w:after="0"/>
              <w:jc w:val="center"/>
            </w:pPr>
            <w:r>
              <w:rPr>
                <w:rFonts w:ascii="Times New Roman" w:hAnsi="Times New Roman"/>
                <w:b/>
                <w:i w:val="0"/>
                <w:sz w:val="22"/>
              </w:rPr>
              <w:t>#</w:t>
            </w:r>
          </w:p>
        </w:tc>
        <w:tc>
          <w:tcPr>
            <w:tcW w:type="dxa" w:w="3742"/>
            <w:tcMar>
              <w:top w:w="40" w:type="dxa"/>
              <w:start w:w="60" w:type="dxa"/>
              <w:bottom w:w="40" w:type="dxa"/>
              <w:end w:w="60" w:type="dxa"/>
            </w:tcMar>
            <w:shd w:val="clear" w:fill="E8E8E8"/>
          </w:tcPr>
          <w:p>
            <w:pPr>
              <w:spacing w:after="0"/>
              <w:jc w:val="center"/>
            </w:pPr>
            <w:r>
              <w:rPr>
                <w:rFonts w:ascii="Times New Roman" w:hAnsi="Times New Roman"/>
                <w:b/>
                <w:i w:val="0"/>
                <w:sz w:val="22"/>
              </w:rPr>
              <w:t>Risk (likelihood/impact)</w:t>
            </w:r>
          </w:p>
        </w:tc>
        <w:tc>
          <w:tcPr>
            <w:tcW w:type="dxa" w:w="5896"/>
            <w:tcMar>
              <w:top w:w="40" w:type="dxa"/>
              <w:start w:w="60" w:type="dxa"/>
              <w:bottom w:w="40" w:type="dxa"/>
              <w:end w:w="60" w:type="dxa"/>
            </w:tcMar>
            <w:shd w:val="clear" w:fill="E8E8E8"/>
          </w:tcPr>
          <w:p>
            <w:pPr>
              <w:spacing w:after="0"/>
              <w:jc w:val="center"/>
            </w:pPr>
            <w:r>
              <w:rPr>
                <w:rFonts w:ascii="Times New Roman" w:hAnsi="Times New Roman"/>
                <w:b/>
                <w:i w:val="0"/>
                <w:sz w:val="22"/>
              </w:rPr>
              <w:t>Mitigation</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R01</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Historical MATE variables differ among years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Explicit year-by-variable matrix; harmonise only defensible common variables; keep year-specific data as secondary.</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R02</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Limited effective biological sample size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Repeated-measure/hierarchical structure; conservative feature reduction; parsimony, no deep learning.</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R03</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Farmer site lacks monitoring infrastructure (H/M)</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Install project meteorological station and soil sensors before the campaign; define maintenance/data-quality responsibilities.</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R04</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Primary farmer access changes or is interrupted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Written access secured (T3.1); Szentendre Skanzen model-garden contingency held in reserve.</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R05</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ELTE instrument access or timing constrained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Written equipment/operation schedule; prioritise key physiological dates; physiology/proximal pathway remains core if flights are missed.</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R06</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Field geometry or clouds limit Sentinel-2 (H/M)</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Use Sentinel-2 only where valid pixels support field-scale inference; UAV/proximal carry finer scales.</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R07</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Prospective performance drops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Treat transfer loss as a scientific result; quantify uncertainty; limited transparent recalibration.</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R08</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Krumatic web development delayed (M/M)</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Incremental development from the existing prototype; scientific deliverables remain primary.</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R09</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AgroVIR cannot share proprietary/customer data (L/M)</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Placement designed around protected/coded extracts; customer-system access is not a dependency.</w:t>
            </w:r>
          </w:p>
        </w:tc>
      </w:tr>
      <w:tr>
        <w:tc>
          <w:tcPr>
            <w:tcW w:type="dxa" w:w="567"/>
            <w:tcMar>
              <w:top w:w="40" w:type="dxa"/>
              <w:start w:w="60" w:type="dxa"/>
              <w:bottom w:w="40" w:type="dxa"/>
              <w:end w:w="60" w:type="dxa"/>
            </w:tcMar>
          </w:tcPr>
          <w:p>
            <w:pPr>
              <w:spacing w:after="0" w:line="240" w:lineRule="auto"/>
            </w:pPr>
            <w:r>
              <w:rPr>
                <w:rFonts w:ascii="Times New Roman" w:hAnsi="Times New Roman"/>
                <w:b w:val="0"/>
                <w:i w:val="0"/>
                <w:sz w:val="22"/>
              </w:rPr>
              <w:t>R10</w:t>
            </w:r>
          </w:p>
        </w:tc>
        <w:tc>
          <w:tcPr>
            <w:tcW w:type="dxa" w:w="3742"/>
            <w:tcMar>
              <w:top w:w="40" w:type="dxa"/>
              <w:start w:w="60" w:type="dxa"/>
              <w:bottom w:w="40" w:type="dxa"/>
              <w:end w:w="60" w:type="dxa"/>
            </w:tcMar>
          </w:tcPr>
          <w:p>
            <w:pPr>
              <w:spacing w:after="0" w:line="240" w:lineRule="auto"/>
            </w:pPr>
            <w:r>
              <w:rPr>
                <w:rFonts w:ascii="Times New Roman" w:hAnsi="Times New Roman"/>
                <w:b w:val="0"/>
                <w:i w:val="0"/>
                <w:sz w:val="22"/>
              </w:rPr>
              <w:t>MATE-derived assets carry commercial restrictions (M/H)</w:t>
            </w:r>
          </w:p>
        </w:tc>
        <w:tc>
          <w:tcPr>
            <w:tcW w:type="dxa" w:w="5896"/>
            <w:tcMar>
              <w:top w:w="40" w:type="dxa"/>
              <w:start w:w="60" w:type="dxa"/>
              <w:bottom w:w="40" w:type="dxa"/>
              <w:end w:w="60" w:type="dxa"/>
            </w:tcMar>
          </w:tcPr>
          <w:p>
            <w:pPr>
              <w:spacing w:after="0" w:line="240" w:lineRule="auto"/>
            </w:pPr>
            <w:r>
              <w:rPr>
                <w:rFonts w:ascii="Times New Roman" w:hAnsi="Times New Roman"/>
                <w:b w:val="0"/>
                <w:i w:val="0"/>
                <w:sz w:val="22"/>
              </w:rPr>
              <w:t>Approved-research use only; background/foreground inventory; institutional data-rights/IP assessment before commercial exploitation.</w:t>
            </w:r>
          </w:p>
        </w:tc>
      </w:tr>
    </w:tbl>
    <w:p>
      <w:pPr>
        <w:spacing w:before="0" w:after="120"/>
      </w:pPr>
      <w:r>
        <w:rPr>
          <w:sz w:val="4"/>
        </w:rPr>
      </w:r>
    </w:p>
    <w:p>
      <w:pPr>
        <w:keepNext/>
        <w:spacing w:before="0" w:after="80" w:line="240" w:lineRule="auto"/>
        <w:jc w:val="both"/>
      </w:pPr>
      <w:r>
        <w:rPr>
          <w:rFonts w:ascii="Times New Roman" w:hAnsi="Times New Roman"/>
          <w:b w:val="0"/>
          <w:i w:val="0"/>
          <w:sz w:val="22"/>
        </w:rPr>
        <w:t>Risk is monitored, not merely catalogued: a Project Steering Group meets at M6, M14, M18, M24 and M27, issuing go/no-go verdicts on MS1–MS5, with the M27 point providing a mid-placement review. The written field-access, MATE data-use, ELTE instrument-access and AgroVIR placement arrangements are being confirmed in writing before the action starts and are carried transparently as declared assumptions until closed at grant preparation.</w:t>
      </w:r>
    </w:p>
    <w:p>
      <w:pPr>
        <w:spacing w:after="40"/>
        <w:jc w:val="center"/>
      </w:pPr>
      <w:r>
        <w:drawing>
          <wp:inline xmlns:a="http://schemas.openxmlformats.org/drawingml/2006/main" xmlns:pic="http://schemas.openxmlformats.org/drawingml/2006/picture">
            <wp:extent cx="6336000" cy="1770760"/>
            <wp:docPr id="1" name="Picture 1"/>
            <wp:cNvGraphicFramePr>
              <a:graphicFrameLocks noChangeAspect="1"/>
            </wp:cNvGraphicFramePr>
            <a:graphic>
              <a:graphicData uri="http://schemas.openxmlformats.org/drawingml/2006/picture">
                <pic:pic>
                  <pic:nvPicPr>
                    <pic:cNvPr id="0" name="fieldwise_gantt.png"/>
                    <pic:cNvPicPr/>
                  </pic:nvPicPr>
                  <pic:blipFill>
                    <a:blip r:embed="rId10"/>
                    <a:stretch>
                      <a:fillRect/>
                    </a:stretch>
                  </pic:blipFill>
                  <pic:spPr>
                    <a:xfrm>
                      <a:off x="0" y="0"/>
                      <a:ext cx="6336000" cy="1770760"/>
                    </a:xfrm>
                    <a:prstGeom prst="rect"/>
                  </pic:spPr>
                </pic:pic>
              </a:graphicData>
            </a:graphic>
          </wp:inline>
        </w:drawing>
      </w:r>
    </w:p>
    <w:p>
      <w:pPr>
        <w:spacing w:after="120"/>
        <w:jc w:val="center"/>
      </w:pPr>
      <w:r>
        <w:rPr>
          <w:rFonts w:ascii="Times New Roman" w:hAnsi="Times New Roman"/>
          <w:i/>
          <w:sz w:val="18"/>
        </w:rPr>
        <w:t>Gantt chart — work packages, deliverables (△) and milestones (◆) against elapsed months M1–M30. WP5 is the M25–M30 non-academic placement (mainly remote, monthly face-to-face reviews). Critical path: T1.3 → T2.2 → T3.5 → T4.3 → T5.1.</w:t>
      </w:r>
    </w:p>
    <w:p>
      <w:pPr>
        <w:keepNext/>
        <w:spacing w:before="0" w:after="80" w:line="240" w:lineRule="auto"/>
      </w:pPr>
      <w:r>
        <w:rPr>
          <w:rFonts w:ascii="Times New Roman" w:hAnsi="Times New Roman"/>
          <w:b/>
          <w:i/>
          <w:sz w:val="23"/>
        </w:rPr>
        <w:t>3.2 Quality and capacity of the host institutions and participating organisations, including hosting arrangements</w:t>
      </w:r>
    </w:p>
    <w:p>
      <w:pPr>
        <w:spacing w:before="0" w:after="80" w:line="240" w:lineRule="auto"/>
        <w:jc w:val="both"/>
      </w:pPr>
      <w:r>
        <w:rPr>
          <w:rFonts w:ascii="Times New Roman" w:hAnsi="Times New Roman"/>
          <w:b w:val="0"/>
          <w:i w:val="0"/>
          <w:sz w:val="22"/>
        </w:rPr>
        <w:t>The sole beneficiary and recruiting organisation is HUN-REN ATK; full infrastructure, logistics and facilities are detailed in Part B-2 Section 5.</w:t>
      </w:r>
    </w:p>
    <w:tbl>
      <w:tblPr>
        <w:tblStyle w:val="TableGrid"/>
        <w:tblW w:type="auto" w:w="0"/>
        <w:jc w:val="center"/>
        <w:tblLayout w:type="fixed"/>
        <w:tblLook w:firstColumn="1" w:firstRow="1" w:lastColumn="0" w:lastRow="0" w:noHBand="0" w:noVBand="1" w:val="04A0"/>
      </w:tblPr>
      <w:tblGrid>
        <w:gridCol w:w="5103"/>
        <w:gridCol w:w="5103"/>
      </w:tblGrid>
      <w:tr>
        <w:tc>
          <w:tcPr>
            <w:tcW w:type="dxa" w:w="2551"/>
            <w:tcMar>
              <w:top w:w="40" w:type="dxa"/>
              <w:start w:w="60" w:type="dxa"/>
              <w:bottom w:w="40" w:type="dxa"/>
              <w:end w:w="60" w:type="dxa"/>
            </w:tcMar>
            <w:shd w:val="clear" w:fill="E8E8E8"/>
          </w:tcPr>
          <w:p>
            <w:pPr>
              <w:spacing w:after="0"/>
              <w:jc w:val="center"/>
            </w:pPr>
            <w:r>
              <w:rPr>
                <w:rFonts w:ascii="Times New Roman" w:hAnsi="Times New Roman"/>
                <w:b/>
                <w:i w:val="0"/>
                <w:sz w:val="22"/>
              </w:rPr>
              <w:t>Organisation (role)</w:t>
            </w:r>
          </w:p>
        </w:tc>
        <w:tc>
          <w:tcPr>
            <w:tcW w:type="dxa" w:w="7654"/>
            <w:tcMar>
              <w:top w:w="40" w:type="dxa"/>
              <w:start w:w="60" w:type="dxa"/>
              <w:bottom w:w="40" w:type="dxa"/>
              <w:end w:w="60" w:type="dxa"/>
            </w:tcMar>
            <w:shd w:val="clear" w:fill="E8E8E8"/>
          </w:tcPr>
          <w:p>
            <w:pPr>
              <w:spacing w:after="0"/>
              <w:jc w:val="center"/>
            </w:pPr>
            <w:r>
              <w:rPr>
                <w:rFonts w:ascii="Times New Roman" w:hAnsi="Times New Roman"/>
                <w:b/>
                <w:i w:val="0"/>
                <w:sz w:val="22"/>
              </w:rPr>
              <w:t>Capacity and arrangements</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HUN-REN ATK</w:t>
            </w:r>
            <w:r>
              <w:rPr>
                <w:rFonts w:ascii="Times New Roman" w:hAnsi="Times New Roman"/>
                <w:b w:val="0"/>
                <w:i w:val="0"/>
                <w:sz w:val="22"/>
              </w:rPr>
              <w:t xml:space="preserve"> — beneficiary, recruiting organisation and academic host</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Public research organisation (HUN-REN network), Martonvásár; Department of Crop Production; primary supervisor Dr. Roland Hollós (HUN-REN AI Ambassador); in-house plant-physiology depth (Prof. Tibor Janda); HUN-REN compute infrastructure for intensive analyses. Proven MSCA host (coordinated MSCA-IF LANDRACES, 2017–2019); current EU participations COUSIN, AI4SoilHealth, TUdi. Workspace, integration into the hosting group, administrative and grants support continue through the placement; hosting commitments and the supervisor’s acceptance are confirmed in ATK’s written hosting statement at grant preparation.</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AgroVIR Kft.</w:t>
            </w:r>
            <w:r>
              <w:rPr>
                <w:rFonts w:ascii="Times New Roman" w:hAnsi="Times New Roman"/>
                <w:b w:val="0"/>
                <w:i w:val="0"/>
                <w:sz w:val="22"/>
              </w:rPr>
              <w:t xml:space="preserve"> — non-academic placement host</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Hungarian FMIS SME (founded 2007, Budaörs); requirements consultation from M1; placement M25–M30, mainly remote with monthly face-to-face reviews, supervised by Miklós Maróti (Managing Director). Track record is commercial, not academic: twenty years in Hungarian agriculture and an FMIS in production use on &gt;745,000 ha in eight countries incl. Hungary and Bulgaria — the company’s declared position pending written confirmation. No proprietary or customer-data dependency (protected/coded extracts only); a written placement agreement fixes result ownership and DrR background-IP access before the placement.</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ELTE</w:t>
            </w:r>
            <w:r>
              <w:rPr>
                <w:rFonts w:ascii="Times New Roman" w:hAnsi="Times New Roman"/>
                <w:b w:val="0"/>
                <w:i w:val="0"/>
                <w:sz w:val="22"/>
              </w:rPr>
              <w:t xml:space="preserve"> — associated partner (remote sensing)</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Institute of Cartography and Geoinformatics; co-supervisor Prof. András Jung; GIS/RS laboratory with DJI Matrice 350 RTK (Zenmuse L1/P1/H20T payloads), Ultris S5 hyperspectral camera, Cubert CUVIS laboratory package, ArcGIS/ENVI/MATLAB, open geospatial tools, HPC and secure storage; UAV operations support (Dr. Zsófia Varga). Written instrument-access arrangement pending ELTE’s agreement; risk R05 provides the constrained-access fallback.</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MATE</w:t>
            </w:r>
            <w:r>
              <w:rPr>
                <w:rFonts w:ascii="Times New Roman" w:hAnsi="Times New Roman"/>
                <w:b w:val="0"/>
                <w:i w:val="0"/>
                <w:sz w:val="22"/>
              </w:rPr>
              <w:t xml:space="preserve"> — associated partner (source scientific environment)</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Institute of Horticultural Sciences: the 2022–2026 processing-tomato archive, plant material, trials and irrigation treatments; soil-moisture (TDR/capacitive), stomatal, SPAD, VIS-NIR and VIS-NIR-SWIR spectroradiometer, meteorological and CWSI instrumentation. Contact Dr. Sándor Takács; precision-agriculture depth from Prof. Gábor Milics. Data-use permission to be documented before the action starts (risk R10).</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Krumatic EOOD</w:t>
            </w:r>
            <w:r>
              <w:rPr>
                <w:rFonts w:ascii="Times New Roman" w:hAnsi="Times New Roman"/>
                <w:b w:val="0"/>
                <w:i w:val="0"/>
                <w:sz w:val="22"/>
              </w:rPr>
              <w:t xml:space="preserve"> — associated partner (software)</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Bulgarian technology company (EIK 201511899, Sofia; manager and signatory Lyubomir Krumov): continuous DrR development, crop-configurable architecture, migration of the validated core to the web MVP, later Bulgarian farmer-facing uptake. Independence from other partners declared; code-IP terms settled in a pre-grant development agreement.</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Commercial farmer site</w:t>
            </w:r>
            <w:r>
              <w:rPr>
                <w:rFonts w:ascii="Times New Roman" w:hAnsi="Times New Roman"/>
                <w:b w:val="0"/>
                <w:i w:val="0"/>
                <w:sz w:val="22"/>
              </w:rPr>
              <w:t xml:space="preserve"> — collaborating validation environment</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Independent Hungarian production field; the project installs an automated meteorological station and soil sensors and performs all specialised measurements; written field-access and treatment-implementation arrangement obtained via T3.1 before the campaign; Szentendre Skanzen route is a contingency only.</w:t>
            </w:r>
          </w:p>
        </w:tc>
      </w:tr>
      <w:tr>
        <w:tc>
          <w:tcPr>
            <w:tcW w:type="dxa" w:w="2551"/>
            <w:tcMar>
              <w:top w:w="40" w:type="dxa"/>
              <w:start w:w="60" w:type="dxa"/>
              <w:bottom w:w="40" w:type="dxa"/>
              <w:end w:w="60" w:type="dxa"/>
            </w:tcMar>
          </w:tcPr>
          <w:p>
            <w:pPr>
              <w:spacing w:after="0" w:line="240" w:lineRule="auto"/>
            </w:pPr>
            <w:r>
              <w:rPr>
                <w:rFonts w:ascii="Times New Roman" w:hAnsi="Times New Roman"/>
                <w:b/>
                <w:i w:val="0"/>
                <w:sz w:val="22"/>
              </w:rPr>
              <w:t>MVCRI (Maritsa VCRI, Plovdiv)</w:t>
            </w:r>
            <w:r>
              <w:rPr>
                <w:rFonts w:ascii="Times New Roman" w:hAnsi="Times New Roman"/>
                <w:b w:val="0"/>
                <w:i w:val="0"/>
                <w:sz w:val="22"/>
              </w:rPr>
              <w:t xml:space="preserve"> — post-MSCA route</w:t>
            </w:r>
          </w:p>
        </w:tc>
        <w:tc>
          <w:tcPr>
            <w:tcW w:type="dxa" w:w="7654"/>
            <w:tcMar>
              <w:top w:w="40" w:type="dxa"/>
              <w:start w:w="60" w:type="dxa"/>
              <w:bottom w:w="40" w:type="dxa"/>
              <w:end w:w="60" w:type="dxa"/>
            </w:tcMar>
          </w:tcPr>
          <w:p>
            <w:pPr>
              <w:spacing w:after="0" w:line="240" w:lineRule="auto"/>
            </w:pPr>
            <w:r>
              <w:rPr>
                <w:rFonts w:ascii="Times New Roman" w:hAnsi="Times New Roman"/>
                <w:b w:val="0"/>
                <w:i w:val="0"/>
                <w:sz w:val="22"/>
              </w:rPr>
              <w:t>Confirmed replication, local-recalibration and extension route under Bulgarian vegetable-production conditions (director Prof. Daniela Ganeva); carries no in-action effort, strengthening the exploitation horizon without loading the 24-month plan.</w:t>
            </w:r>
          </w:p>
        </w:tc>
      </w:tr>
    </w:tbl>
    <w:p>
      <w:pPr>
        <w:spacing w:before="0" w:after="120"/>
      </w:pPr>
      <w:r>
        <w:rPr>
          <w:sz w:val="4"/>
        </w:rPr>
      </w:r>
    </w:p>
    <w:p>
      <w:pPr>
        <w:spacing w:before="0" w:after="80" w:line="240" w:lineRule="auto"/>
        <w:jc w:val="both"/>
      </w:pPr>
      <w:r>
        <w:rPr>
          <w:rFonts w:ascii="Times New Roman" w:hAnsi="Times New Roman"/>
          <w:b w:val="0"/>
          <w:i w:val="0"/>
          <w:sz w:val="22"/>
        </w:rPr>
        <w:t>FIELDWISE is a European Fellowship arising from an intra-EU move (Bulgaria to Hungary); the Global Fellowship requirement to outline an outgoing Third-Country host and a return host does not apply.</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Part B – Page </w:t>
    </w:r>
    <w:fldSimple w:instr="PAGE"/>
    <w:r>
      <w:rPr>
        <w:rFonts w:ascii="Times New Roman" w:hAnsi="Times New Roman"/>
        <w:sz w:val="18"/>
      </w:rPr>
      <w:t xml:space="preserve"> of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