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DA326" w14:textId="77777777" w:rsidR="005A31FB" w:rsidRDefault="00000000">
      <w:pPr>
        <w:spacing w:after="0" w:line="240" w:lineRule="auto"/>
        <w:contextualSpacing/>
        <w:jc w:val="center"/>
        <w:rPr>
          <w:rFonts w:ascii="Times New Roman" w:hAnsi="Times New Roman"/>
          <w:b/>
          <w:bCs/>
          <w:i/>
          <w:iCs/>
          <w:color w:val="FF0000"/>
          <w:sz w:val="28"/>
          <w:szCs w:val="24"/>
          <w:u w:val="single"/>
          <w:lang w:val="fr-BE"/>
        </w:rPr>
      </w:pPr>
      <w:r>
        <w:rPr>
          <w:rFonts w:ascii="Times New Roman" w:eastAsia="Times New Roman" w:hAnsi="Times New Roman"/>
          <w:b/>
          <w:bCs/>
          <w:szCs w:val="24"/>
          <w:u w:val="single"/>
          <w:lang w:val="fr-BE"/>
        </w:rPr>
        <w:t>Part B-1</w:t>
      </w:r>
      <w:r>
        <w:rPr>
          <w:rFonts w:ascii="Times New Roman" w:eastAsia="Times New Roman" w:hAnsi="Times New Roman"/>
          <w:b/>
          <w:bCs/>
          <w:i/>
          <w:iCs/>
          <w:color w:val="FF0000"/>
          <w:szCs w:val="24"/>
          <w:u w:val="single"/>
          <w:lang w:val="fr-BE"/>
        </w:rPr>
        <w:t xml:space="preserve"> </w:t>
      </w:r>
    </w:p>
    <w:p w14:paraId="16A8D321" w14:textId="77777777" w:rsidR="005A31FB" w:rsidRDefault="00000000">
      <w:pPr>
        <w:pStyle w:val="Cmsor2"/>
        <w:spacing w:line="240" w:lineRule="auto"/>
        <w:rPr>
          <w:rFonts w:ascii="Times New Roman" w:hAnsi="Times New Roman"/>
          <w:lang w:val="fr-BE"/>
        </w:rPr>
      </w:pPr>
      <w:r>
        <w:rPr>
          <w:rFonts w:ascii="Times New Roman" w:eastAsia="Times New Roman" w:hAnsi="Times New Roman"/>
          <w:sz w:val="22"/>
          <w:lang w:val="fr-BE"/>
        </w:rPr>
        <w:t xml:space="preserve">1. Excellence </w:t>
      </w:r>
    </w:p>
    <w:p w14:paraId="65B86929" w14:textId="77777777" w:rsidR="005A31FB" w:rsidRDefault="00000000">
      <w:pPr>
        <w:pStyle w:val="Listaszerbekezds"/>
        <w:keepNext/>
        <w:numPr>
          <w:ilvl w:val="1"/>
          <w:numId w:val="1"/>
        </w:numPr>
        <w:spacing w:after="0" w:line="240" w:lineRule="auto"/>
        <w:jc w:val="both"/>
        <w:rPr>
          <w:rFonts w:ascii="Times New Roman" w:hAnsi="Times New Roman"/>
          <w:b/>
          <w:bCs/>
          <w:i/>
          <w:iCs/>
          <w:sz w:val="24"/>
          <w:szCs w:val="24"/>
          <w:lang w:val="en-GB"/>
        </w:rPr>
      </w:pPr>
      <w:r>
        <w:rPr>
          <w:rFonts w:ascii="Times New Roman" w:eastAsia="Times New Roman" w:hAnsi="Times New Roman"/>
          <w:b/>
          <w:bCs/>
          <w:i/>
          <w:iCs/>
          <w:szCs w:val="24"/>
          <w:lang w:val="en-GB"/>
        </w:rPr>
        <w:t>Quality and pertinence of the project’s research and innovation objectives (and the extent to which they are ambitious, and go beyond the state of the art)</w:t>
      </w:r>
    </w:p>
    <w:p w14:paraId="6EA7315E" w14:textId="77777777" w:rsidR="005A31FB" w:rsidRDefault="00000000">
      <w:pPr>
        <w:pStyle w:val="FWBody"/>
      </w:pPr>
      <w:r>
        <w:rPr>
          <w:b/>
        </w:rPr>
        <w:t>Problem and overarching aim.</w:t>
      </w:r>
      <w:r>
        <w:t xml:space="preserve"> Approximately 30% of EU territory experiences seasonal water scarcity annually; climate change is expected to intensify drought and freshwater fluctuations</w:t>
      </w:r>
      <w:r>
        <w:rPr>
          <w:vertAlign w:val="superscript"/>
        </w:rPr>
        <w:footnoteReference w:id="1"/>
      </w:r>
      <w:r>
        <w:t xml:space="preserve">. </w:t>
      </w:r>
      <w:r>
        <w:rPr>
          <w:b/>
        </w:rPr>
        <w:t>FIELDWISE asks whether a physiological water-stress signal survives transfer across seasons, environments and sensing scales, prospective commercial-field validation and translation into crop-configurable irrigation support.</w:t>
      </w:r>
      <w:r>
        <w:t xml:space="preserve"> Processing tomato is the development/validation crop, supported by a five-season (2022–2026) physiological, soil, weather and proximal-spectral archive whose usable paired records are audited at M1. A final non-academic placement completes inter-sectoral translation.</w:t>
      </w:r>
    </w:p>
    <w:p w14:paraId="1F1DDD6F" w14:textId="77777777" w:rsidR="005A31FB" w:rsidRDefault="00000000">
      <w:pPr>
        <w:pStyle w:val="FWBody"/>
      </w:pPr>
      <w:r>
        <w:rPr>
          <w:b/>
        </w:rPr>
        <w:t>Pertinence.</w:t>
      </w:r>
      <w:r>
        <w:t xml:space="preserve"> Three gaps motivate the objectives: insufficient physiological grounding of stress proxies</w:t>
      </w:r>
      <w:r>
        <w:rPr>
          <w:vertAlign w:val="superscript"/>
        </w:rPr>
        <w:footnoteReference w:id="2"/>
      </w:r>
      <w:r>
        <w:t>; limited evidence across unseen years, environments and sensing scales; and weak operational translation. Existing approaches provide tomato thermal/CWSI stress assessment</w:t>
      </w:r>
      <w:r>
        <w:rPr>
          <w:vertAlign w:val="superscript"/>
        </w:rPr>
        <w:footnoteReference w:id="3"/>
      </w:r>
      <w:r>
        <w:t>, soil-water/evapotranspiration and AquaCrop scheduling</w:t>
      </w:r>
      <w:r>
        <w:rPr>
          <w:vertAlign w:val="superscript"/>
        </w:rPr>
        <w:footnoteReference w:id="4"/>
      </w:r>
      <w:r>
        <w:t>, and processing-tomato machine-learning support</w:t>
      </w:r>
      <w:r>
        <w:rPr>
          <w:vertAlign w:val="superscript"/>
        </w:rPr>
        <w:footnoteReference w:id="5"/>
      </w:r>
      <w:r>
        <w:t>. Sentinel-2 canopy information also informs AquaCrop tomato water requirements</w:t>
      </w:r>
      <w:r>
        <w:rPr>
          <w:vertAlign w:val="superscript"/>
        </w:rPr>
        <w:footnoteReference w:id="6"/>
      </w:r>
      <w:r>
        <w:t>. FIELDWISE tests a distinct step: prospective physiological validity and uncertainty of a historically frozen pipeline across years, an independent commercial environment and sensing scales.</w:t>
      </w:r>
    </w:p>
    <w:p w14:paraId="57C4AF95" w14:textId="09477D55" w:rsidR="005A31FB" w:rsidRDefault="00000000">
      <w:pPr>
        <w:pStyle w:val="FWBody"/>
      </w:pPr>
      <w:r>
        <w:rPr>
          <w:b/>
        </w:rPr>
        <w:t xml:space="preserve">The four objectives, and why they are measurable and verifiable. O1 — </w:t>
      </w:r>
      <w:proofErr w:type="spellStart"/>
      <w:r>
        <w:rPr>
          <w:b/>
        </w:rPr>
        <w:t>Harmonise</w:t>
      </w:r>
      <w:proofErr w:type="spellEnd"/>
      <w:r>
        <w:rPr>
          <w:b/>
        </w:rPr>
        <w:t xml:space="preserve"> the MATE</w:t>
      </w:r>
      <w:r w:rsidR="00486723" w:rsidRPr="00486723">
        <w:rPr>
          <w:rStyle w:val="Lbjegyzet-hivatkozs"/>
          <w:bCs/>
        </w:rPr>
        <w:footnoteReference w:id="7"/>
      </w:r>
      <w:r w:rsidRPr="00486723">
        <w:rPr>
          <w:bCs/>
        </w:rPr>
        <w:t xml:space="preserve"> </w:t>
      </w:r>
      <w:r>
        <w:rPr>
          <w:b/>
        </w:rPr>
        <w:t>archive and establish the physiological reference and protocol.</w:t>
      </w:r>
      <w:r>
        <w:t xml:space="preserve"> Audit the five nominated seasons (2022–2026), including AquaCrop-derived irrigation contrasts</w:t>
      </w:r>
      <w:r>
        <w:rPr>
          <w:vertAlign w:val="superscript"/>
        </w:rPr>
        <w:footnoteReference w:id="8"/>
      </w:r>
      <w:r>
        <w:t>,</w:t>
      </w:r>
      <w:r>
        <w:rPr>
          <w:vertAlign w:val="superscript"/>
        </w:rPr>
        <w:footnoteReference w:id="9"/>
      </w:r>
      <w:r>
        <w:t>, and identify eligible physiological, soil-water, weather and spectral records. Convert spectra only where coverage and calibration permit. Outputs: database and availability map (</w:t>
      </w:r>
      <w:r>
        <w:rPr>
          <w:b/>
        </w:rPr>
        <w:t>D1.1, M2</w:t>
      </w:r>
      <w:r>
        <w:t>); pre-fitting reference, predictor and validation rules (</w:t>
      </w:r>
      <w:r>
        <w:rPr>
          <w:b/>
        </w:rPr>
        <w:t>D1.2, M3</w:t>
      </w:r>
      <w:r>
        <w:t xml:space="preserve">). </w:t>
      </w:r>
      <w:r>
        <w:rPr>
          <w:b/>
        </w:rPr>
        <w:t>O2 — Develop an interpretable, uncertainty-aware water-stress model.</w:t>
      </w:r>
      <w:r>
        <w:t xml:space="preserve"> Predict stress probability where binary physiology is defensible; otherwise estimate the continuous physiological endpoint under the registered branch (§1.2). Output: historically fitted model, benchmark, predictor definitions and model card frozen at </w:t>
      </w:r>
      <w:r>
        <w:rPr>
          <w:b/>
        </w:rPr>
        <w:t>M3 (D1.3)</w:t>
      </w:r>
      <w:r>
        <w:t xml:space="preserve">. </w:t>
      </w:r>
      <w:r>
        <w:rPr>
          <w:b/>
        </w:rPr>
        <w:t>O3 — Prospectively test the frozen model over two commercial-field tomato seasons.</w:t>
      </w:r>
      <w:r>
        <w:t xml:space="preserve"> Three irrigation regimes in four blocks, valid Sentinel-2 treatment areas and independent physiology test transfer (§1.2). Outputs: dataset (</w:t>
      </w:r>
      <w:r>
        <w:rPr>
          <w:b/>
        </w:rPr>
        <w:t>D2.1, M20</w:t>
      </w:r>
      <w:r>
        <w:t>); transferability/uncertainty report (</w:t>
      </w:r>
      <w:r>
        <w:rPr>
          <w:b/>
        </w:rPr>
        <w:t>D2.2, M21</w:t>
      </w:r>
      <w:r>
        <w:t xml:space="preserve">). </w:t>
      </w:r>
      <w:r>
        <w:rPr>
          <w:b/>
        </w:rPr>
        <w:t xml:space="preserve">O4 — Translate supported outputs into </w:t>
      </w:r>
      <w:proofErr w:type="spellStart"/>
      <w:r>
        <w:rPr>
          <w:b/>
        </w:rPr>
        <w:t>DrR</w:t>
      </w:r>
      <w:proofErr w:type="spellEnd"/>
      <w:r>
        <w:rPr>
          <w:b/>
        </w:rPr>
        <w:t xml:space="preserve"> </w:t>
      </w:r>
      <w:r w:rsidR="00486723">
        <w:rPr>
          <w:b/>
        </w:rPr>
        <w:t xml:space="preserve">web MVP </w:t>
      </w:r>
      <w:r>
        <w:rPr>
          <w:b/>
        </w:rPr>
        <w:t>and assess operational relevance.</w:t>
      </w:r>
      <w:r>
        <w:t xml:space="preserve"> Extend the fellow’s desktop prototype with Krumatic engineering and AgroVIR requirements and evaluation, restricting advisory functions to validated evidence. Outputs: web MVP/readiness dossier (</w:t>
      </w:r>
      <w:r>
        <w:rPr>
          <w:b/>
        </w:rPr>
        <w:t>D3.1–D3.2, M24</w:t>
      </w:r>
      <w:r>
        <w:t>); operational/interoperability assessment and roadmap (</w:t>
      </w:r>
      <w:r>
        <w:rPr>
          <w:b/>
        </w:rPr>
        <w:t>D4.1–D4.2, M30</w:t>
      </w:r>
      <w:r>
        <w:t>).</w:t>
      </w:r>
    </w:p>
    <w:p w14:paraId="2F90D32D" w14:textId="77777777" w:rsidR="005A31FB" w:rsidRDefault="00000000">
      <w:pPr>
        <w:pStyle w:val="FWBody"/>
        <w:rPr>
          <w:color w:val="auto"/>
        </w:rPr>
      </w:pPr>
      <w:r>
        <w:rPr>
          <w:b/>
        </w:rPr>
        <w:t>Measurability and verifiability.</w:t>
      </w:r>
      <w:r>
        <w:t xml:space="preserve"> Model development within the historical archive will use blocked, leakage-safe unseen-year validation. The stress-reference definition, predictors, feature-selection rules, evaluation metrics and permitted recalibration strategy will be pre-specified in D1.2. The frozen model will subsequently be tested prospectively over two unseen commercial-field seasons. Where a binary reference is defensible, performance will be evaluated using balanced accuracy, F1 and ROC-AUC for stress detection; reliability and Brier score for probabilistic calibration; and lead time and false-alarm rate for operational value. Regression metrics will be used only if the archive supports a defensible continuous stress-severity reference. Freezing the model and predictor definitions at M3 prevents retrospective optimisation against prospective outcomes and makes the central </w:t>
      </w:r>
      <w:r>
        <w:lastRenderedPageBreak/>
        <w:t>hypothesis directly falsifiable: whether water-stress relationships learned from controlled experimental observations remain valid when corresponding predictors are obtained from actual Sentinel-2 observations under commercial-field conditions.</w:t>
      </w:r>
    </w:p>
    <w:p w14:paraId="62023C56" w14:textId="77777777" w:rsidR="005A31FB" w:rsidRDefault="00000000">
      <w:pPr>
        <w:pStyle w:val="FWBody"/>
        <w:rPr>
          <w:color w:val="auto"/>
        </w:rPr>
      </w:pPr>
      <w:r>
        <w:rPr>
          <w:b/>
        </w:rPr>
        <w:t>Realistically achievable.</w:t>
      </w:r>
      <w:r>
        <w:t xml:space="preserve"> The fellow’s 2025 MATE stays and co-authored tomato manuscript (§1.4) support archive familiarity; legal access, paired records and field readiness are tested at the gates below. Prospective validation covers one commercial environment, two growing seasons and controlled irrigation contrasts; DrR builds on an existing prototype. In-action validation remains limited to processing tomato; a crop-transfer specification guides possible post-project replication and knowledge transfer through MVCRI.</w:t>
      </w:r>
    </w:p>
    <w:p w14:paraId="0AD1AB07" w14:textId="77777777" w:rsidR="005A31FB" w:rsidRDefault="00000000">
      <w:pPr>
        <w:pStyle w:val="FWBody"/>
      </w:pPr>
      <w:r>
        <w:rPr>
          <w:b/>
        </w:rPr>
        <w:t>Beyond the state of the art, and the extent of the ambition.</w:t>
      </w:r>
      <w:r>
        <w:t xml:space="preserve"> FIELDWISE challenges four assumptions: vegetation indices themselves represent water stress; proximal and satellite observations are interchangeable; internal validation demonstrates field transferability; and one crop’s model transfers unchanged to another. Its ambition is a physiologically validated, uncertainty-aware transfer framework, not a new machine-learning algorithm, testing whether relationships learned from controlled experiments remain valid across unseen years, sensing scales and commercial fields. Three citable advances are: (1) a probabilistic processing-tomato water-stress model documenting calibration, uncertainty and blocked unseen-year performance; (2) a prospective experimental-to-commercial-field transfer gap quantified with a model frozen before deployment; and (3) a specification separating reusable modelling components from sensing-scale and crop-specific elements requiring recalibration. The new knowledge quantifies </w:t>
      </w:r>
      <w:r>
        <w:rPr>
          <w:b/>
        </w:rPr>
        <w:t>whether, how far and under what conditions predictive validity survives transfer from controlled experiments to operational satellite-based monitoring.</w:t>
      </w:r>
    </w:p>
    <w:p w14:paraId="289AE1B8" w14:textId="77777777" w:rsidR="005A31FB" w:rsidRDefault="00000000">
      <w:pPr>
        <w:pStyle w:val="Listaszerbekezds"/>
        <w:keepNext/>
        <w:numPr>
          <w:ilvl w:val="1"/>
          <w:numId w:val="1"/>
        </w:numPr>
        <w:spacing w:after="0" w:line="240" w:lineRule="auto"/>
        <w:jc w:val="both"/>
        <w:rPr>
          <w:rFonts w:ascii="Times New Roman" w:hAnsi="Times New Roman"/>
          <w:b/>
          <w:bCs/>
          <w:i/>
          <w:iCs/>
          <w:sz w:val="24"/>
          <w:szCs w:val="24"/>
          <w:lang w:val="en-GB"/>
        </w:rPr>
      </w:pPr>
      <w:r>
        <w:rPr>
          <w:rFonts w:ascii="Times New Roman" w:eastAsia="Times New Roman" w:hAnsi="Times New Roman"/>
          <w:b/>
          <w:bCs/>
          <w:i/>
          <w:iCs/>
          <w:szCs w:val="24"/>
          <w:lang w:val="en-GB"/>
        </w:rPr>
        <w:t>Soundness of the proposed methodology (including interdisciplinary approaches, consideration of the gender dimension and other diversity aspects if relevant for the research project, and the quality of open science practices).</w:t>
      </w:r>
    </w:p>
    <w:p w14:paraId="58D20FD5" w14:textId="77777777" w:rsidR="005A31FB" w:rsidRDefault="00000000">
      <w:pPr>
        <w:pStyle w:val="FWBody"/>
      </w:pPr>
      <w:r>
        <w:rPr>
          <w:b/>
        </w:rPr>
        <w:t>Overall methodology: concepts, models and assumptions.</w:t>
      </w:r>
      <w:r>
        <w:t xml:space="preserve"> Four linked criteria evaluate water-stress prediction: physiological validity, predictive performance, transferability and management relevance. Irrigation treatments and AquaCrop water balances supply the imposed-deficit context and agronomic comparators, not the outcome, which would be circular. D1.2 fixes the stress reference before any fitting. Its primary axis is stomatal conductance relative to stage- and campaign-matched well-watered controls, corroborated by leaf water status or another consistently available independent marker deviating beyond its repeatability limit; chlorophyll fluorescence is complementary evidence, and a normal Fv/Fm alone does not label a plant unstressed. Reference limits derive from historical controls and measurement repeatability, never from model accuracy or prospective outcomes; ambiguous or confounded area-dates are classified indeterminate and retained in sensitivity reporting. Without a common two-marker reference across the archive, one continuous physiological endpoint becomes the primary reference and other measurements corroborate it.</w:t>
      </w:r>
    </w:p>
    <w:p w14:paraId="0DB63CDE" w14:textId="77777777" w:rsidR="005A31FB" w:rsidRDefault="00000000">
      <w:pPr>
        <w:pStyle w:val="FWBody"/>
      </w:pPr>
      <w:r>
        <w:rPr>
          <w:b/>
        </w:rPr>
        <w:t>Stage 1 (WP1): archive adequacy and spectral reconstruction.</w:t>
      </w:r>
      <w:r>
        <w:t xml:space="preserve"> M1 inventories each season’s independent areas, geometry/footprint, cultivar, controls, irrigation, stages/dates, canopy, paired variables, instrument range, calibration and permitted uses, including 2026 completeness/QC. D1.1 separates five seasons audited from eligible years/records. Nested year-based validation requires at least three eligible years and outcome support in each fold; this is a structural floor, not proven precision. Inadequate legal access or physiology stops the primary experiment pending authorised re-scope. Historical plots are too small for plot-level Sentinel-2 retrieval. Calibrated canopy reflectance is integrated with versioned sensor-specific spectral-response functions (SRFs), then indices calculated: candidate NDVI (B8/B4), NDRE (B8A/B5) if covered, and NDMI (B8A/B11) only with proven SWIR. Unsupported bands and redundant predictors are excluded. Proximal white/dark-reference correction is separate from atmospheric processing. Actual Sentinel-2 inputs use cloud/shadow-filtered Level-2A reflectance; satellite unit, SRF, processing baseline and offsets are versioned, with a common 20 m grid when 20 m bands are used. Pre-freeze engineering QC compares reference and candidate integration of the </w:t>
      </w:r>
      <w:r>
        <w:rPr>
          <w:b/>
        </w:rPr>
        <w:t>same calibrated spectrum</w:t>
      </w:r>
      <w:r>
        <w:t>, not unpaired seasons: median absolute index difference ≤0.25 training-partition SD, excluding near-zero SD. The ≤10% class-change screen becomes a post-fit processing-sensitivity diagnostic using the same fold model; physiological labels never change. These project tolerances test numerical stability, not satellite equivalence.</w:t>
      </w:r>
    </w:p>
    <w:p w14:paraId="2349C600" w14:textId="77777777" w:rsidR="00BB17BB" w:rsidRDefault="00000000">
      <w:pPr>
        <w:pStyle w:val="FWBody"/>
      </w:pPr>
      <w:r>
        <w:rPr>
          <w:b/>
        </w:rPr>
        <w:t>Model, validation and decision rules.</w:t>
      </w:r>
      <w:r>
        <w:t xml:space="preserve"> The binary primary model is regularised logistic regression with constrained gradient-boosted trees as benchmark. Outer leave-one-eligible-year-out validation encloses all imputation, scaling, feature selection, tuning and calibration within year/group-aware training splits. Inner out-of-fold predictions select alerts targeting sensitivity ≥0.80 and false-positive rate ≤0.20. D1.2 fixes an agronomic comparator’s root-zone depletion variable, aggregation and alert threshold from historical/AquaCrop information; a same-family soil-water/weather model tests spectral increment, and training-prevalence probability is the Brier </w:t>
      </w:r>
      <w:r>
        <w:lastRenderedPageBreak/>
        <w:t xml:space="preserve">reference. Targets are balanced accuracy ≥0.70, positive Brier skill and paired advantage over the agronomic comparator. Pre-specified 95% intervals target balanced-accuracy half-width ≤0.10; an advantage requires the paired difference’s lower bound &gt;0. Keep both seasons of each area together, preserving blocks/controls; report season-level/pooled results and dependence-model sensitivity. At protocol lock, simulate the actual structure across 10/30/50% loss, event prevalence and within-area dependence; no precision is presumed. Inadequate precision restricts claims to estimation/feasibility. </w:t>
      </w:r>
      <w:r>
        <w:rPr>
          <w:b/>
        </w:rPr>
        <w:t>Branches are registered before fitting:</w:t>
      </w:r>
      <w:r>
        <w:t xml:space="preserve"> a continuous-only reference uses regularised linear regression, a historically fixed scale, MAE/RMSE, bias, interval coverage and error skill against historical-mean and no-spectral baselines; acceptable error derives from reference repeatability before fitting. Classification/Brier criteria then do not apply. Without defensible spectra, retain the admissible no-spectral model and report spectral transfer as untestable. Historical-only refitting freezes the chosen pipeline/card at M3 (D1.3). Low-quality/out-of-domain inputs trigger abstention; failed criteria restrict the MVP to research-only use. Unchanged-model results precede separately versioned recalibration.</w:t>
      </w:r>
    </w:p>
    <w:p w14:paraId="603DAE10" w14:textId="77777777" w:rsidR="005A31FB" w:rsidRDefault="00000000">
      <w:pPr>
        <w:pStyle w:val="FWBody"/>
      </w:pPr>
      <w:r>
        <w:rPr>
          <w:b/>
        </w:rPr>
        <w:t>Stage 2 (WP2)</w:t>
      </w:r>
      <w:r>
        <w:t xml:space="preserve"> prospectively tests environmental and sensing-scale transfer over two processing-tomato seasons in an independent commercial field. Subject to MS1 field readiness, three regimes (well-watered, deficit-irrigated, unirrigated) are randomised within four blocks: 12 separately managed areas/season, nominally 80 × 80 m with a 20 m inward buffer and 40 × 40 m core (7.68 ha before access/isolation). Align/enlarge areas before randomisation to contain ≥4 whole eligible native 20 m interior pixels, each ≥90% treatment cover; canopy cover is recorded separately. Insufficient pixels yield no primary spectral prediction. Twelve campaigns/season cover canopy development, flowering/fruit set, fruit filling and ripening, sampling five distributed plants/area: 60 plants/campaign and 1,440 visits. The separately managed area is the experimental unit; plants, pixels and repeated dates are not independent replicates. Two years on one field give temporal replication, not two independent environments. Up to 288 area-dates yield about 259/202/144 under 10/30/50% loss scenarios, not availability forecasts. Log scheduled, attempted, matched, reference-valid and usable denominators, including whole-campaign loss. Primary physiology–Sentinel matching is same-date within ±2 hours of actual overpass, with no intervening rain/irrigation/disturbance; log lag, retaining ±1-day matches only as sensitivity evidence. Rotate block order, interleave controls, balance operators and standardise leaves/stages; log temperature/VPD, genotype, time and competing stress. A timed circuit must demonstrate throughput with two trained operators (one may be the fellow) and a coordinator role, combined only if feasible; these are requirements, not allocated staff. Fix plant-to-area aggregation and repeatability checks before fitting; monitor a representative root-zone profile and irrigation per area, with site weather. Reduce optional measurements first. </w:t>
      </w:r>
      <w:r>
        <w:rPr>
          <w:b/>
        </w:rPr>
        <w:t>Primary performance precedes any recalibration; subsequent limited recalibration is secondary and pre-specified.</w:t>
      </w:r>
      <w:r>
        <w:t xml:space="preserve"> Paired canopy spectra on selected campaigns use the same area support/time window as actual Sentinel observations; stage/season/cover-specific bias, dispersion and prediction sensitivity diagnose the combined sensing/environmental gap without changing the M3 mapping. Crop-transfer specifications distinguish reusable components from crop-specific recalibration. Warning onset lies between the last determinate negative and first positive physiological observation; subtract prior alert time to obtain an interval, retaining negative/censored cases and only inputs available at alert time. If one season is lost, K5 is unmet and K6/MS3 claims narrow; no replacement dataset becomes the unchanged primary test.</w:t>
      </w:r>
    </w:p>
    <w:p w14:paraId="394B8144" w14:textId="77777777" w:rsidR="005A31FB" w:rsidRDefault="00000000">
      <w:pPr>
        <w:pStyle w:val="FWBody"/>
      </w:pPr>
      <w:r>
        <w:rPr>
          <w:b/>
        </w:rPr>
        <w:t>Stage 3 (WP3–WP4)</w:t>
      </w:r>
      <w:r>
        <w:t xml:space="preserve"> operationalises only validated functions: the fellow’s pre-existing DrR – Digital Agronomist research prototype is extended with validated scientific functionality, Krumatic implements it and AgroVIR evaluates operational usability and interoperability.</w:t>
      </w:r>
    </w:p>
    <w:p w14:paraId="20AAE54C" w14:textId="77777777" w:rsidR="005A31FB" w:rsidRDefault="00000000">
      <w:pPr>
        <w:pStyle w:val="FWBody"/>
      </w:pPr>
      <w:r>
        <w:rPr>
          <w:b/>
        </w:rPr>
        <w:t>Methodological challenges and mitigation.</w:t>
      </w:r>
      <w:r>
        <w:t xml:space="preserve"> (i) A year-by-variable availability matrix and only defensible common predictors manage inter-annual archive heterogeneity; </w:t>
      </w:r>
      <w:r>
        <w:rPr>
          <w:b/>
        </w:rPr>
        <w:t>(ii)</w:t>
      </w:r>
      <w:r>
        <w:t xml:space="preserve"> pre-model spectral harmonisation and prospective scale-transfer testing link hyperspectral and satellite observations without assuming interchangeability; </w:t>
      </w:r>
      <w:r>
        <w:rPr>
          <w:b/>
        </w:rPr>
        <w:t>(iii)</w:t>
      </w:r>
      <w:r>
        <w:t xml:space="preserve"> blocked unseen-year validation avoids optimistic random-split generalisation; </w:t>
      </w:r>
      <w:r>
        <w:rPr>
          <w:b/>
        </w:rPr>
        <w:t>(iv)</w:t>
      </w:r>
      <w:r>
        <w:t xml:space="preserve"> a model frozen before deployment tests commercial-field transfer, reporting performance before recalibration; (v) sufficiently large treatment areas and valid interior observations reduce Sentinel mixed-pixel risk; and </w:t>
      </w:r>
      <w:r>
        <w:rPr>
          <w:b/>
        </w:rPr>
        <w:t>(vi)</w:t>
      </w:r>
      <w:r>
        <w:t xml:space="preserve"> parsimony, uncertainty assessment, lead time and false-alarm rate control over-fitting. MS1 tests site/season feasibility; a backup is used only if genuinely ready, otherwise the claim is narrowed.</w:t>
      </w:r>
    </w:p>
    <w:p w14:paraId="572B550C" w14:textId="77777777" w:rsidR="005A31FB" w:rsidRDefault="00000000">
      <w:pPr>
        <w:pStyle w:val="FWBody"/>
      </w:pPr>
      <w:r>
        <w:rPr>
          <w:b/>
        </w:rPr>
        <w:t>Integration of methods and disciplines.</w:t>
      </w:r>
      <w:r>
        <w:t xml:space="preserve"> HUN-REN ATK supplies plant-stress physiology and the scientific gates (Prof. Janda) and statistical design, calibration and leakage checks (Dr Hollós); ELTE sensor harmonisation and sensing-scale transfer (Prof. Jung); MATE the controlled-irrigation archive and agronomic review of the irrigation protocol before lock (Dr Takács); Krumatic/AgroVIR software-engineering and operational farm-management perspectives. The fellow links reference → interpretation, protocol → development and validated predictor specification → field inputs.</w:t>
      </w:r>
    </w:p>
    <w:p w14:paraId="346A8F4B" w14:textId="77777777" w:rsidR="005A31FB" w:rsidRDefault="00000000">
      <w:pPr>
        <w:pStyle w:val="FWBody"/>
      </w:pPr>
      <w:r>
        <w:rPr>
          <w:b/>
          <w:bCs/>
          <w:u w:val="single"/>
        </w:rPr>
        <w:lastRenderedPageBreak/>
        <w:t>Gender dimension and other diversity aspects</w:t>
      </w:r>
      <w:r>
        <w:rPr>
          <w:b/>
          <w:bCs/>
        </w:rPr>
        <w:t>.</w:t>
      </w:r>
      <w:r>
        <w:t xml:space="preserve"> A sex/gender dimension is not relevant to the biological research content, which concerns processing-tomato water-stress responses and involves no human or animal biological data. Diversity becomes relevant only in end-user interaction: usability feedback will consider differences in farm context and digital literacy. Any grower feedback will follow informed-consent, withdrawal, data-</w:t>
      </w:r>
      <w:proofErr w:type="spellStart"/>
      <w:r>
        <w:t>minimisation</w:t>
      </w:r>
      <w:proofErr w:type="spellEnd"/>
      <w:r>
        <w:t xml:space="preserve"> and coded/</w:t>
      </w:r>
      <w:proofErr w:type="spellStart"/>
      <w:r>
        <w:t>anonymised</w:t>
      </w:r>
      <w:proofErr w:type="spellEnd"/>
      <w:r>
        <w:t>-processing principles.</w:t>
      </w:r>
    </w:p>
    <w:p w14:paraId="7707F33B" w14:textId="77777777" w:rsidR="005A31FB" w:rsidRDefault="00000000">
      <w:pPr>
        <w:pStyle w:val="FWBody"/>
        <w:rPr>
          <w:lang w:val="en-GB"/>
        </w:rPr>
      </w:pPr>
      <w:r>
        <w:rPr>
          <w:b/>
        </w:rPr>
        <w:t>Open science practices.</w:t>
      </w:r>
      <w:r>
        <w:t xml:space="preserve"> FIELDWISE follows the principle </w:t>
      </w:r>
      <w:r>
        <w:rPr>
          <w:b/>
        </w:rPr>
        <w:t>“as open as possible, as closed as necessary.”</w:t>
      </w:r>
      <w:r>
        <w:t xml:space="preserve"> The stress-reference rules, predictor definitions, metrics, acceptance criteria and freeze record (D1.2) are registered with a timestamp before model fitting and deposited publicly with their metadata; D1.3 carries a versioned model card (intended use, validation, uncertainty, limitations). Deposits go to Zenodo or an equivalent repository with persistent identifiers; separable research code is released under BSD-3-Clause where ownership and dependencies permit, and metadata, access terms and synthetic examples are published where raw or background data cannot be. The prospective dataset and transfer analysis (D2.1–D2.2) are released in rights-cleared, non-identifying form; manuscripts are posted as preprints on submission where permitted, and successful and unsuccessful transfer results are both reported. A FAIR Data Management Plan is completed within six months. The scientific evidence package stays separate from the proprietary DrR, contractor code and FMIS layers; a 30-day project disclosure review, subject to mandatory institutional clearance, bounds the assessment of protectable results before release.</w:t>
      </w:r>
    </w:p>
    <w:p w14:paraId="070B071D" w14:textId="77777777" w:rsidR="005A31FB" w:rsidRDefault="00000000">
      <w:pPr>
        <w:pStyle w:val="Listaszerbekezds"/>
        <w:keepNext/>
        <w:numPr>
          <w:ilvl w:val="1"/>
          <w:numId w:val="1"/>
        </w:numPr>
        <w:spacing w:after="0" w:line="240" w:lineRule="auto"/>
        <w:jc w:val="both"/>
        <w:rPr>
          <w:rFonts w:ascii="Times New Roman" w:hAnsi="Times New Roman"/>
          <w:b/>
          <w:bCs/>
          <w:i/>
          <w:iCs/>
          <w:sz w:val="24"/>
          <w:szCs w:val="24"/>
          <w:lang w:val="en-GB"/>
        </w:rPr>
      </w:pPr>
      <w:r>
        <w:rPr>
          <w:rFonts w:ascii="Times New Roman" w:eastAsia="Times New Roman" w:hAnsi="Times New Roman"/>
          <w:b/>
          <w:bCs/>
          <w:i/>
          <w:iCs/>
          <w:szCs w:val="24"/>
          <w:lang w:val="en-GB"/>
        </w:rPr>
        <w:t>Quality of the supervision, training and of the two-way transfer of knowledge between the researcher and the host</w:t>
      </w:r>
    </w:p>
    <w:p w14:paraId="4D1C8D92" w14:textId="77777777" w:rsidR="005A31FB" w:rsidRDefault="00000000">
      <w:pPr>
        <w:pStyle w:val="FWBody"/>
      </w:pPr>
      <w:r>
        <w:rPr>
          <w:b/>
        </w:rPr>
        <w:t>Supervisory architecture and qualifications.</w:t>
      </w:r>
      <w:r>
        <w:t xml:space="preserve"> </w:t>
      </w:r>
      <w:r>
        <w:rPr>
          <w:b/>
        </w:rPr>
        <w:t>Prof. Tibor Janda</w:t>
      </w:r>
      <w:r>
        <w:t xml:space="preserve">, Head of Plant Physiology and Metabolomics at HUN-REN ATK’s Agricultural Institute, is primary supervisor and accountable for physiological reference, measurement and scientific gates. His expertise covers plant physiology, drought/abiotic stress and stress metabolomics. His record includes doctoral-school core membership since 2010 and council membership since 2013, teaching physiological investigation methods (1997–2012), co-supervision of a 2023 Széchenyi István University dissertation, and research stays at CEA Saclay and Ben-Gurion University. </w:t>
      </w:r>
      <w:r>
        <w:rPr>
          <w:b/>
        </w:rPr>
        <w:t>Dr Roland Hollós (ATK)</w:t>
      </w:r>
      <w:r>
        <w:t xml:space="preserve"> leads statistical design, calibration and leakage checks in predictive modelling</w:t>
      </w:r>
      <w:r>
        <w:rPr>
          <w:vertAlign w:val="superscript"/>
        </w:rPr>
        <w:footnoteReference w:id="10"/>
      </w:r>
      <w:r>
        <w:t xml:space="preserve">. </w:t>
      </w:r>
      <w:r>
        <w:rPr>
          <w:b/>
        </w:rPr>
        <w:t>Prof. András Jung</w:t>
      </w:r>
      <w:r>
        <w:t>, ELTE Institute of Cartography and Geoinformatics, co-supervises field spectroscopy, hyperspectral imaging, geoinformatics, satellite EO and sensor harmonisation</w:t>
      </w:r>
      <w:r>
        <w:rPr>
          <w:vertAlign w:val="superscript"/>
        </w:rPr>
        <w:footnoteReference w:id="11"/>
      </w:r>
      <w:r>
        <w:t xml:space="preserve">; his white-reference method informs spectral QC. He heads a doctoral programme and has research/teaching experience at Halle-Wittenberg, Leipzig and Ulm. </w:t>
      </w:r>
      <w:r>
        <w:rPr>
          <w:b/>
        </w:rPr>
        <w:t>Dr Sándor Takács/MATE</w:t>
      </w:r>
      <w:r>
        <w:t xml:space="preserve"> contributes the controlled-irrigation archive and processing-tomato, AquaCrop and crop-water-stress expertise.</w:t>
      </w:r>
    </w:p>
    <w:p w14:paraId="5B6FF00E" w14:textId="77777777" w:rsidR="005A31FB" w:rsidRDefault="00000000">
      <w:pPr>
        <w:pStyle w:val="FWBody"/>
      </w:pPr>
      <w:r>
        <w:rPr>
          <w:b/>
        </w:rPr>
        <w:t>Structured supervision and governance.</w:t>
      </w:r>
      <w:r>
        <w:t xml:space="preserve"> Supervision comprises regular one-to-one meetings with Prof. Janda, dedicated modelling/EO technical sessions with specialists, monthly written progress monitoring and quarterly Career Development Plan reviews. The </w:t>
      </w:r>
      <w:r>
        <w:rPr>
          <w:b/>
        </w:rPr>
        <w:t>Project Steering Group</w:t>
      </w:r>
      <w:r>
        <w:t>—fellow, primary supervisor, specialist co-supervisor/modelling expert and relevant partner contacts—reviews protocol/model freeze, prospective-field implementation, transfer-validation completion, MVP readiness and the non-academic placement. Pre-defined decision responsibilities and a two-step conflict-resolution route ensure continuity while protecting the fellow’s growing scientific independence.</w:t>
      </w:r>
    </w:p>
    <w:p w14:paraId="70593701" w14:textId="77777777" w:rsidR="00BB17BB" w:rsidRDefault="00000000">
      <w:pPr>
        <w:pStyle w:val="FWBody"/>
      </w:pPr>
      <w:r>
        <w:t>The proposed conflict route starts with a recorded fellow/supervisor discussion and action; unresolved cases, or a supervisor’s involvement in the dispute, go to a designated independent host contact under the applicable procedure. Janda contact is weekly in M1–M3 and at least fortnightly thereafter. Before prolonged absence ATK designates a qualified alternate; no scientific gate passes without competent review.</w:t>
      </w:r>
    </w:p>
    <w:p w14:paraId="29A00D1D" w14:textId="77777777" w:rsidR="005A31FB" w:rsidRDefault="00000000">
      <w:pPr>
        <w:pStyle w:val="FWBody"/>
      </w:pPr>
      <w:r>
        <w:rPr>
          <w:b/>
        </w:rPr>
        <w:t>Planned training activities and ELTE secondment.</w:t>
      </w:r>
      <w:r>
        <w:t xml:space="preserve"> Output-assessed training comprises: </w:t>
      </w:r>
      <w:r>
        <w:rPr>
          <w:b/>
        </w:rPr>
        <w:t>M1–M3, Jung/ELTE</w:t>
      </w:r>
      <w:r>
        <w:t xml:space="preserve">, Hyperspectral Imaging and Field Spectroscopy and Remote Sensing Methods and Technologies (reproducible integration/QC notebook); </w:t>
      </w:r>
      <w:r>
        <w:rPr>
          <w:b/>
        </w:rPr>
        <w:t>M1–M3, Janda/Takács</w:t>
      </w:r>
      <w:r>
        <w:t xml:space="preserve">, physiological-reference/irrigation-design practical (protocol and repeatability exercise); </w:t>
      </w:r>
      <w:r>
        <w:rPr>
          <w:b/>
        </w:rPr>
        <w:t>M1–M3 and M10–M12, Hollós</w:t>
      </w:r>
      <w:r>
        <w:t xml:space="preserve">, blocked validation/calibration/uncertainty (rerun folds, reviewed model card). ATK-led training uses joint sessions while based at ELTE; essential laboratory visits require access and are counted within the same effort. </w:t>
      </w:r>
      <w:r>
        <w:rPr>
          <w:b/>
        </w:rPr>
        <w:t>M4–M9, host research support:</w:t>
      </w:r>
      <w:r>
        <w:t xml:space="preserve"> FAIR research, integrity, responsible AI and IP (DMP/release package). </w:t>
      </w:r>
      <w:r>
        <w:rPr>
          <w:b/>
        </w:rPr>
        <w:t>M22–M30, ATK support/AgroVIR:</w:t>
      </w:r>
      <w:r>
        <w:t xml:space="preserve"> grant writing, valorisation and entrepreneurship (IP map, value proposition, costed routes and mock licence/service/start-up/research-only decision); supervisor-assessed self-study/peer review replaces unavailable instruction. The </w:t>
      </w:r>
      <w:r>
        <w:rPr>
          <w:b/>
        </w:rPr>
        <w:t>12 ELTE months</w:t>
      </w:r>
      <w:r>
        <w:t xml:space="preserve"> </w:t>
      </w:r>
      <w:r>
        <w:lastRenderedPageBreak/>
        <w:t>provide sustained specialist integration complementing ATK physiology/modelling: M1–M3 builds the frozen pipeline; M10–M12 diagnoses season 1 without changing it; M16–M21 covers paired sensing, field QC and synthesis. Unlike introductory traineeship, the fellow takes independent responsibility for assessed cross-scale outputs. Field days within ELTE blocks remain WP2 effort. Fortnightly joint physiology/EO/modelling sessions, versioned records and joint review precede protocol lock/freeze. Teaching delivers an ATK/ELTE physiological-validation practical by M12 and transfer-analysis practical by M24; guest lectures at MATE or Agricultural University–Plovdiv when scheduled, otherwise a host seminar. D5.1 (M3) consolidates training; quarterly CDP reviews M6–M30 include transition reviews M12/M21/M24/M27.</w:t>
      </w:r>
    </w:p>
    <w:p w14:paraId="7C23CCCD" w14:textId="77777777" w:rsidR="005A31FB" w:rsidRDefault="00000000">
      <w:pPr>
        <w:pStyle w:val="FWBody"/>
      </w:pPr>
      <w:r>
        <w:rPr>
          <w:b/>
        </w:rPr>
        <w:t>Two-way transfer of knowledge.</w:t>
      </w:r>
      <w:r>
        <w:t xml:space="preserve"> HUN-REN ATK contributes advanced abiotic-stress physiology, phenotyping and modelling; ELTE established hyperspectral-sensing, geoinformatics and satellite-EO expertise. The fellow contributes drought-stress physiology, remotely monitored plant-stress responses, field physiological phenotyping and interpretation under contrasting water availability, strengthening stress biology’s translation into irrigation decision support. Joint supervision, the distributed ELTE secondment, shared MATE-archive analysis, prospective field validation, teaching and co-authored publications reinforce exchange.</w:t>
      </w:r>
    </w:p>
    <w:p w14:paraId="0474C851" w14:textId="77777777" w:rsidR="00BB17BB" w:rsidRDefault="00000000">
      <w:pPr>
        <w:pStyle w:val="FWBody"/>
      </w:pPr>
      <w:r>
        <w:t>Host teams receive the fellow’s control-relative phenotyping protocol, annotated Bulgarian production-context cases and a joint teaching practical connecting stress physiology with uncertainty-qualified decision support.</w:t>
      </w:r>
    </w:p>
    <w:p w14:paraId="0F357803" w14:textId="77777777" w:rsidR="005A31FB" w:rsidRDefault="00000000">
      <w:pPr>
        <w:pStyle w:val="FWBody"/>
      </w:pPr>
      <w:r>
        <w:rPr>
          <w:b/>
        </w:rPr>
        <w:t>Rationale and added value of the non-academic placement.</w:t>
      </w:r>
      <w:r>
        <w:t xml:space="preserve"> The six-month AgroVIR placement (M25–M30) is an integral inter-sectoral component of FIELDWISE, providing competences not fully available academically: DrR web-MVP operational evaluation, FMIS requirements engineering, interoperability assessment, user-oriented testing and exploitation planning. AgroVIR supplies requirements feedback during the fellowship; the placement adds intensive exposure to production agricultural software and decision-support workflows. Structured technical reviews assess usability, data-flow requirements, missing-data behaviour, interoperability and the pathway toward future FMIS integration. Confidentiality, DrR background access and result ownership are defined in advance under the Grant Agreement (Section 2.2).</w:t>
      </w:r>
    </w:p>
    <w:p w14:paraId="1149C17E" w14:textId="77777777" w:rsidR="005A31FB" w:rsidRDefault="00000000">
      <w:pPr>
        <w:keepNext/>
        <w:spacing w:after="0" w:line="240" w:lineRule="auto"/>
        <w:contextualSpacing/>
        <w:jc w:val="both"/>
        <w:rPr>
          <w:rFonts w:ascii="Times New Roman" w:hAnsi="Times New Roman"/>
          <w:b/>
          <w:bCs/>
          <w:i/>
          <w:iCs/>
          <w:sz w:val="24"/>
          <w:szCs w:val="24"/>
          <w:lang w:val="en-GB"/>
        </w:rPr>
      </w:pPr>
      <w:r>
        <w:rPr>
          <w:rFonts w:ascii="Times New Roman" w:eastAsia="Times New Roman" w:hAnsi="Times New Roman"/>
          <w:b/>
          <w:bCs/>
          <w:i/>
          <w:iCs/>
          <w:szCs w:val="24"/>
          <w:lang w:val="en-GB"/>
        </w:rPr>
        <w:t>1.4</w:t>
      </w:r>
      <w:r>
        <w:rPr>
          <w:rFonts w:ascii="Times New Roman" w:eastAsia="Times New Roman" w:hAnsi="Times New Roman"/>
          <w:szCs w:val="24"/>
        </w:rPr>
        <w:tab/>
      </w:r>
      <w:r>
        <w:rPr>
          <w:rFonts w:ascii="Times New Roman" w:eastAsia="Times New Roman" w:hAnsi="Times New Roman"/>
          <w:b/>
          <w:bCs/>
          <w:i/>
          <w:iCs/>
          <w:szCs w:val="24"/>
          <w:lang w:val="en-GB"/>
        </w:rPr>
        <w:t>Quality and appropriateness of the researcher’s professional experience, competences and skills</w:t>
      </w:r>
    </w:p>
    <w:p w14:paraId="5590AD4E" w14:textId="77777777" w:rsidR="005A31FB" w:rsidRDefault="00000000">
      <w:pPr>
        <w:pStyle w:val="FWBody"/>
      </w:pPr>
      <w:r>
        <w:rPr>
          <w:b/>
        </w:rPr>
        <w:t>A profile matched to the project’s interdisciplinary chain.</w:t>
      </w:r>
      <w:r>
        <w:t xml:space="preserve"> Dr Rositsa Cholakova (publishing before 2020 as Rositsa Cholakova-Bimbalova) holds BSc/MSc degrees in Plant Protection and a Plant Physiology PhD (2020, Agricultural University of Plovdiv). Formerly Assistant Professor in Plant/Plant Stress Physiology at Plovdiv (2015–2020), she is Chief Assistant Professor at Maritsa Vegetable Crops Research Institute. </w:t>
      </w:r>
      <w:r>
        <w:rPr>
          <w:b/>
        </w:rPr>
        <w:t>Physiology:</w:t>
      </w:r>
      <w:r>
        <w:t xml:space="preserve"> published maize stress research and documented fluorescence, stomatal conductance, pigment/leaf-water-status and field-assessment methods equip her to establish the independent reference. </w:t>
      </w:r>
      <w:r>
        <w:rPr>
          <w:b/>
        </w:rPr>
        <w:t>EO/data:</w:t>
      </w:r>
      <w:r>
        <w:t xml:space="preserve"> COST PANGEOS STSM (10 days) and Erasmus+ RGB/hyperspectral training (14 days) at MATE in 2025, a three-month ELTE geoinformatics/remote-sensing traineeship (2026), and working Python/R/EO use support archive audit, band integration and satellite processing. </w:t>
      </w:r>
      <w:r>
        <w:rPr>
          <w:b/>
        </w:rPr>
        <w:t>Crop research:</w:t>
      </w:r>
      <w:r>
        <w:t xml:space="preserve"> a 2025 watermelon remote-sensing proceedings paper and two 2026 manuscripts </w:t>
      </w:r>
      <w:r>
        <w:rPr>
          <w:b/>
        </w:rPr>
        <w:t>under review</w:t>
      </w:r>
      <w:r>
        <w:t>, on tomato UAV evapotranspiration and proximal hyperspectral water-stress signatures with physiological/soil-water validation; the latter is co-authored with Takács (Part B-2 §4). She holds an EU A1/A3 drone-pilot qualification and developed the pre-existing DrR desktop research prototype, extended here only with validated functions. Five years’ university teaching in Bulgarian/English supports knowledge transfer. Advanced modelling/uncertainty are assessed development objectives under Hollós. Following full-time parenting (2021–2024), her research return targets independence as an Agricultural Data Scientist connecting physiology, EO and irrigation support.</w:t>
      </w:r>
    </w:p>
    <w:p w14:paraId="2A555B76" w14:textId="77777777" w:rsidR="005A31FB" w:rsidRDefault="00000000">
      <w:pPr>
        <w:pStyle w:val="Cmsor2"/>
        <w:spacing w:line="240" w:lineRule="auto"/>
        <w:rPr>
          <w:rFonts w:ascii="Times New Roman" w:hAnsi="Times New Roman"/>
          <w:lang w:val="en-GB"/>
        </w:rPr>
      </w:pPr>
      <w:r>
        <w:rPr>
          <w:rFonts w:ascii="Times New Roman" w:eastAsia="Times New Roman" w:hAnsi="Times New Roman"/>
          <w:sz w:val="22"/>
          <w:lang w:val="en-GB"/>
        </w:rPr>
        <w:t>2.</w:t>
      </w:r>
      <w:r>
        <w:rPr>
          <w:rFonts w:ascii="Times New Roman" w:eastAsia="Times New Roman" w:hAnsi="Times New Roman"/>
          <w:sz w:val="22"/>
          <w:lang w:val="en-GB"/>
        </w:rPr>
        <w:tab/>
        <w:t xml:space="preserve">Impact </w:t>
      </w:r>
    </w:p>
    <w:p w14:paraId="27A27458" w14:textId="77777777" w:rsidR="005A31FB" w:rsidRDefault="00000000">
      <w:pPr>
        <w:keepNext/>
        <w:spacing w:after="0" w:line="240" w:lineRule="auto"/>
        <w:contextualSpacing/>
        <w:jc w:val="both"/>
        <w:rPr>
          <w:rFonts w:ascii="Times New Roman" w:hAnsi="Times New Roman"/>
          <w:b/>
          <w:bCs/>
          <w:i/>
          <w:iCs/>
          <w:sz w:val="24"/>
          <w:szCs w:val="24"/>
          <w:lang w:val="en-GB"/>
        </w:rPr>
      </w:pPr>
      <w:r>
        <w:rPr>
          <w:rFonts w:ascii="Times New Roman" w:eastAsia="Times New Roman" w:hAnsi="Times New Roman"/>
          <w:b/>
          <w:bCs/>
          <w:i/>
          <w:iCs/>
          <w:szCs w:val="24"/>
          <w:lang w:val="en-GB"/>
        </w:rPr>
        <w:t>2.1</w:t>
      </w:r>
      <w:r>
        <w:rPr>
          <w:rFonts w:ascii="Times New Roman" w:eastAsia="Times New Roman" w:hAnsi="Times New Roman"/>
          <w:b/>
          <w:bCs/>
          <w:i/>
          <w:iCs/>
          <w:szCs w:val="24"/>
          <w:lang w:val="en-GB"/>
        </w:rPr>
        <w:tab/>
        <w:t>Credibility of the measures to enhance the career perspectives and employability of the researcher and contribution to his/her skills development</w:t>
      </w:r>
    </w:p>
    <w:p w14:paraId="1E560978" w14:textId="77777777" w:rsidR="005A31FB" w:rsidRDefault="00000000">
      <w:pPr>
        <w:pStyle w:val="FWBody"/>
      </w:pPr>
      <w:r>
        <w:t>FIELDWISE develops agricultural-data-science employability through the integrated skills and evidence below.</w:t>
      </w:r>
    </w:p>
    <w:p w14:paraId="65B60E98" w14:textId="77777777" w:rsidR="005A31FB" w:rsidRDefault="00000000">
      <w:pPr>
        <w:pStyle w:val="FWBody"/>
      </w:pPr>
      <w:r>
        <w:rPr>
          <w:b/>
        </w:rPr>
        <w:t>Two post-fellowship trajectories</w:t>
      </w:r>
      <w:r>
        <w:t xml:space="preserve"> are independent research/data-science roles in European academia, research organisations or agri-technology, and a Bulgarian research/innovation line extending FIELDWISE to further irrigated high-value crops through potential MVCRI continuation. By M24 a portfolio links protocol, analysis, teaching and MVP evidence; by M27 the fellow compares two position types/eligible routes; by M30 she prepares one tailored application or research-line pitch. CDP/K11 track progress; no appointment or award is presumed.</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8" w:type="dxa"/>
          <w:left w:w="40" w:type="dxa"/>
          <w:bottom w:w="18" w:type="dxa"/>
          <w:right w:w="40" w:type="dxa"/>
        </w:tblCellMar>
        <w:tblLook w:val="04A0" w:firstRow="1" w:lastRow="0" w:firstColumn="1" w:lastColumn="0" w:noHBand="0" w:noVBand="1"/>
      </w:tblPr>
      <w:tblGrid>
        <w:gridCol w:w="1814"/>
        <w:gridCol w:w="8277"/>
      </w:tblGrid>
      <w:tr w:rsidR="00BB17BB" w14:paraId="0BC5F7BC" w14:textId="77777777">
        <w:trPr>
          <w:cantSplit/>
          <w:tblHeader/>
          <w:jc w:val="center"/>
        </w:trPr>
        <w:tc>
          <w:tcPr>
            <w:tcW w:w="1814" w:type="dxa"/>
            <w:vAlign w:val="center"/>
          </w:tcPr>
          <w:p w14:paraId="145ABA6F" w14:textId="77777777" w:rsidR="00BB17BB" w:rsidRDefault="00000000">
            <w:pPr>
              <w:widowControl w:val="0"/>
              <w:spacing w:before="20" w:after="20" w:line="240" w:lineRule="auto"/>
            </w:pPr>
            <w:r>
              <w:rPr>
                <w:rFonts w:ascii="Times New Roman" w:hAnsi="Times New Roman"/>
                <w:b/>
              </w:rPr>
              <w:t>Measure</w:t>
            </w:r>
          </w:p>
        </w:tc>
        <w:tc>
          <w:tcPr>
            <w:tcW w:w="8277" w:type="dxa"/>
            <w:vAlign w:val="center"/>
          </w:tcPr>
          <w:p w14:paraId="77AEE64C" w14:textId="77777777" w:rsidR="00BB17BB" w:rsidRDefault="00000000">
            <w:pPr>
              <w:widowControl w:val="0"/>
              <w:spacing w:before="20" w:after="20" w:line="240" w:lineRule="auto"/>
            </w:pPr>
            <w:r>
              <w:rPr>
                <w:rFonts w:ascii="Times New Roman" w:hAnsi="Times New Roman"/>
                <w:b/>
              </w:rPr>
              <w:t>Mechanism and evidence</w:t>
            </w:r>
          </w:p>
        </w:tc>
      </w:tr>
      <w:tr w:rsidR="00BB17BB" w14:paraId="257F0877" w14:textId="77777777">
        <w:trPr>
          <w:cantSplit/>
          <w:jc w:val="center"/>
        </w:trPr>
        <w:tc>
          <w:tcPr>
            <w:tcW w:w="1814" w:type="dxa"/>
            <w:vAlign w:val="center"/>
          </w:tcPr>
          <w:p w14:paraId="44BDA02B" w14:textId="77777777" w:rsidR="00BB17BB" w:rsidRDefault="00000000">
            <w:pPr>
              <w:widowControl w:val="0"/>
              <w:spacing w:before="20" w:after="20" w:line="240" w:lineRule="auto"/>
            </w:pPr>
            <w:r>
              <w:rPr>
                <w:rFonts w:ascii="Times New Roman" w:hAnsi="Times New Roman"/>
                <w:b/>
              </w:rPr>
              <w:lastRenderedPageBreak/>
              <w:t>Career Development Plan</w:t>
            </w:r>
          </w:p>
        </w:tc>
        <w:tc>
          <w:tcPr>
            <w:tcW w:w="8277" w:type="dxa"/>
            <w:vAlign w:val="center"/>
          </w:tcPr>
          <w:p w14:paraId="39B6664A" w14:textId="77777777" w:rsidR="00BB17BB" w:rsidRDefault="00000000">
            <w:pPr>
              <w:widowControl w:val="0"/>
              <w:spacing w:before="20" w:after="20" w:line="240" w:lineRule="auto"/>
            </w:pPr>
            <w:r>
              <w:rPr>
                <w:rFonts w:ascii="Times New Roman" w:hAnsi="Times New Roman"/>
              </w:rPr>
              <w:t>Supervisors co-develop and review training, publications, teaching, networking, leadership and open-science actions. D5.1 (M3); quarterly reviews M6–M30; transition reviews M12/M21/M24/M27; K11</w:t>
            </w:r>
          </w:p>
        </w:tc>
      </w:tr>
      <w:tr w:rsidR="00BB17BB" w14:paraId="13E47793" w14:textId="77777777">
        <w:trPr>
          <w:cantSplit/>
          <w:jc w:val="center"/>
        </w:trPr>
        <w:tc>
          <w:tcPr>
            <w:tcW w:w="1814" w:type="dxa"/>
            <w:vAlign w:val="center"/>
          </w:tcPr>
          <w:p w14:paraId="15748012" w14:textId="77777777" w:rsidR="00BB17BB" w:rsidRDefault="00000000">
            <w:pPr>
              <w:widowControl w:val="0"/>
              <w:spacing w:before="20" w:after="20" w:line="240" w:lineRule="auto"/>
            </w:pPr>
            <w:r>
              <w:rPr>
                <w:rFonts w:ascii="Times New Roman" w:hAnsi="Times New Roman"/>
                <w:b/>
              </w:rPr>
              <w:t>ATK training / ELTE secondment</w:t>
            </w:r>
          </w:p>
        </w:tc>
        <w:tc>
          <w:tcPr>
            <w:tcW w:w="8277" w:type="dxa"/>
            <w:vAlign w:val="center"/>
          </w:tcPr>
          <w:p w14:paraId="3161E6EA" w14:textId="77777777" w:rsidR="00BB17BB" w:rsidRDefault="00000000">
            <w:pPr>
              <w:widowControl w:val="0"/>
              <w:spacing w:before="20" w:after="20" w:line="240" w:lineRule="auto"/>
            </w:pPr>
            <w:r>
              <w:rPr>
                <w:rFonts w:ascii="Times New Roman" w:hAnsi="Times New Roman"/>
              </w:rPr>
              <w:t>ATK develops physiological design and predictive validation; ELTE develops spectral/EO transfer through the three output-assessed blocks in §1.3. Evidence: D1.3, secondment/supervision records and CDP</w:t>
            </w:r>
          </w:p>
        </w:tc>
      </w:tr>
      <w:tr w:rsidR="00BB17BB" w14:paraId="46D6CC64" w14:textId="77777777">
        <w:trPr>
          <w:cantSplit/>
          <w:jc w:val="center"/>
        </w:trPr>
        <w:tc>
          <w:tcPr>
            <w:tcW w:w="1814" w:type="dxa"/>
            <w:vAlign w:val="center"/>
          </w:tcPr>
          <w:p w14:paraId="3ECC10B4" w14:textId="77777777" w:rsidR="00BB17BB" w:rsidRDefault="00000000">
            <w:pPr>
              <w:widowControl w:val="0"/>
              <w:spacing w:before="20" w:after="20" w:line="240" w:lineRule="auto"/>
            </w:pPr>
            <w:r>
              <w:rPr>
                <w:rFonts w:ascii="Times New Roman" w:hAnsi="Times New Roman"/>
                <w:b/>
              </w:rPr>
              <w:t>Transferable-skills portfolio</w:t>
            </w:r>
          </w:p>
        </w:tc>
        <w:tc>
          <w:tcPr>
            <w:tcW w:w="8277" w:type="dxa"/>
            <w:vAlign w:val="center"/>
          </w:tcPr>
          <w:p w14:paraId="35A99C1D" w14:textId="77777777" w:rsidR="00BB17BB" w:rsidRDefault="00000000">
            <w:pPr>
              <w:widowControl w:val="0"/>
              <w:spacing w:before="20" w:after="20" w:line="240" w:lineRule="auto"/>
            </w:pPr>
            <w:r>
              <w:rPr>
                <w:rFonts w:ascii="Times New Roman" w:hAnsi="Times New Roman"/>
              </w:rPr>
              <w:t>Integrity, FAIR research, AI, grants, IP, management and communication: lead a methods clinic by M12; grant concept/mock-reviewed application by M21–M24; mentor a junior researcher/student on reproducible analysis in M10–M21, or deliver peer learning and a teaching practical. Valorisation outputs: §1.3. CDP records each assessed output.</w:t>
            </w:r>
          </w:p>
        </w:tc>
      </w:tr>
      <w:tr w:rsidR="00BB17BB" w14:paraId="47AF62D0" w14:textId="77777777">
        <w:trPr>
          <w:cantSplit/>
          <w:jc w:val="center"/>
        </w:trPr>
        <w:tc>
          <w:tcPr>
            <w:tcW w:w="1814" w:type="dxa"/>
            <w:vAlign w:val="center"/>
          </w:tcPr>
          <w:p w14:paraId="396BF996" w14:textId="77777777" w:rsidR="00BB17BB" w:rsidRDefault="00000000">
            <w:pPr>
              <w:widowControl w:val="0"/>
              <w:spacing w:before="20" w:after="20" w:line="240" w:lineRule="auto"/>
            </w:pPr>
            <w:r>
              <w:rPr>
                <w:rFonts w:ascii="Times New Roman" w:hAnsi="Times New Roman"/>
                <w:b/>
              </w:rPr>
              <w:t>Non-academic placement</w:t>
            </w:r>
          </w:p>
        </w:tc>
        <w:tc>
          <w:tcPr>
            <w:tcW w:w="8277" w:type="dxa"/>
            <w:vAlign w:val="center"/>
          </w:tcPr>
          <w:p w14:paraId="7E52C07C" w14:textId="77777777" w:rsidR="00BB17BB" w:rsidRDefault="00000000">
            <w:pPr>
              <w:widowControl w:val="0"/>
              <w:spacing w:before="20" w:after="20" w:line="240" w:lineRule="auto"/>
            </w:pPr>
            <w:r>
              <w:rPr>
                <w:rFonts w:ascii="Times New Roman" w:hAnsi="Times New Roman"/>
              </w:rPr>
              <w:t>Six months at AgroVIR (M25–M30) developing competence in FMIS requirements, interoperability, user-oriented evaluation and exploitation planning. D4.1–D4.2 (M30)</w:t>
            </w:r>
          </w:p>
        </w:tc>
      </w:tr>
      <w:tr w:rsidR="00BB17BB" w14:paraId="4FE89A8D" w14:textId="77777777">
        <w:trPr>
          <w:cantSplit/>
          <w:jc w:val="center"/>
        </w:trPr>
        <w:tc>
          <w:tcPr>
            <w:tcW w:w="1814" w:type="dxa"/>
            <w:vAlign w:val="center"/>
          </w:tcPr>
          <w:p w14:paraId="2E6E9284" w14:textId="77777777" w:rsidR="00BB17BB" w:rsidRDefault="00000000">
            <w:pPr>
              <w:widowControl w:val="0"/>
              <w:spacing w:before="20" w:after="20" w:line="240" w:lineRule="auto"/>
            </w:pPr>
            <w:r>
              <w:rPr>
                <w:rFonts w:ascii="Times New Roman" w:hAnsi="Times New Roman"/>
                <w:b/>
              </w:rPr>
              <w:t>Visibility / leadership</w:t>
            </w:r>
          </w:p>
        </w:tc>
        <w:tc>
          <w:tcPr>
            <w:tcW w:w="8277" w:type="dxa"/>
            <w:vAlign w:val="center"/>
          </w:tcPr>
          <w:p w14:paraId="62F79A55" w14:textId="77777777" w:rsidR="00BB17BB" w:rsidRDefault="00000000">
            <w:pPr>
              <w:widowControl w:val="0"/>
              <w:spacing w:before="20" w:after="20" w:line="240" w:lineRule="auto"/>
            </w:pPr>
            <w:r>
              <w:rPr>
                <w:rFonts w:ascii="Times New Roman" w:hAnsi="Times New Roman"/>
              </w:rPr>
              <w:t>Co-authored papers, conferences, seminars, scheduled MATE/Plovdiv guest lectures and COST CA22136 PANGEOS contacts build networks, visibility and future supervision capacity. ≥2 manuscripts; conference/teaching outputs</w:t>
            </w:r>
          </w:p>
        </w:tc>
      </w:tr>
    </w:tbl>
    <w:p w14:paraId="297DEDBD" w14:textId="77777777" w:rsidR="005A31FB" w:rsidRDefault="00000000">
      <w:pPr>
        <w:pStyle w:val="FWBody"/>
      </w:pPr>
      <w:r>
        <w:t>The completed evidence chain—from independent physiology to industrial assessment—supports academic and agri-technology careers even when transfer limits require research-only outputs.</w:t>
      </w:r>
    </w:p>
    <w:p w14:paraId="5F162F52" w14:textId="77777777" w:rsidR="005A31FB" w:rsidRDefault="00000000">
      <w:pPr>
        <w:keepNext/>
        <w:spacing w:after="0" w:line="240" w:lineRule="auto"/>
        <w:contextualSpacing/>
        <w:jc w:val="both"/>
        <w:rPr>
          <w:rFonts w:ascii="Times New Roman" w:hAnsi="Times New Roman"/>
          <w:b/>
          <w:bCs/>
          <w:i/>
          <w:iCs/>
          <w:sz w:val="24"/>
          <w:szCs w:val="24"/>
          <w:lang w:val="en-GB"/>
        </w:rPr>
      </w:pPr>
      <w:r>
        <w:rPr>
          <w:rFonts w:ascii="Times New Roman" w:eastAsia="Times New Roman" w:hAnsi="Times New Roman"/>
          <w:b/>
          <w:bCs/>
          <w:i/>
          <w:iCs/>
          <w:szCs w:val="24"/>
          <w:lang w:val="en-GB"/>
        </w:rPr>
        <w:t>2.2</w:t>
      </w:r>
      <w:r>
        <w:rPr>
          <w:rFonts w:ascii="Times New Roman" w:eastAsia="Times New Roman" w:hAnsi="Times New Roman"/>
          <w:szCs w:val="24"/>
        </w:rPr>
        <w:tab/>
      </w:r>
      <w:r>
        <w:rPr>
          <w:rFonts w:ascii="Times New Roman" w:eastAsia="Times New Roman" w:hAnsi="Times New Roman"/>
          <w:b/>
          <w:bCs/>
          <w:i/>
          <w:iCs/>
          <w:szCs w:val="24"/>
          <w:lang w:val="en-GB"/>
        </w:rPr>
        <w:t xml:space="preserve">Suitability and quality of the measures to maximise expected outcomes and impacts, as set out in the dissemination and exploitation plan, including communication activities </w:t>
      </w:r>
    </w:p>
    <w:p w14:paraId="71223773" w14:textId="77777777" w:rsidR="005A31FB" w:rsidRDefault="00000000">
      <w:pPr>
        <w:pStyle w:val="FWBody"/>
      </w:pPr>
      <w:r>
        <w:t>FIELDWISE uses a targeted strategy proportionate to a single-fellow action, progressing from scientific dissemination → practitioner communication → operational and entrepreneurial exploitation.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8" w:type="dxa"/>
          <w:left w:w="40" w:type="dxa"/>
          <w:bottom w:w="18" w:type="dxa"/>
          <w:right w:w="40" w:type="dxa"/>
        </w:tblCellMar>
        <w:tblLook w:val="04A0" w:firstRow="1" w:lastRow="0" w:firstColumn="1" w:lastColumn="0" w:noHBand="0" w:noVBand="1"/>
      </w:tblPr>
      <w:tblGrid>
        <w:gridCol w:w="1814"/>
        <w:gridCol w:w="8277"/>
      </w:tblGrid>
      <w:tr w:rsidR="00BB17BB" w14:paraId="7D8366D8" w14:textId="77777777">
        <w:trPr>
          <w:cantSplit/>
          <w:tblHeader/>
          <w:jc w:val="center"/>
        </w:trPr>
        <w:tc>
          <w:tcPr>
            <w:tcW w:w="1814" w:type="dxa"/>
            <w:vAlign w:val="center"/>
          </w:tcPr>
          <w:p w14:paraId="48B62EBD" w14:textId="77777777" w:rsidR="00BB17BB" w:rsidRDefault="00000000">
            <w:pPr>
              <w:widowControl w:val="0"/>
              <w:spacing w:before="20" w:after="20" w:line="240" w:lineRule="auto"/>
            </w:pPr>
            <w:r>
              <w:rPr>
                <w:rFonts w:ascii="Times New Roman" w:hAnsi="Times New Roman"/>
                <w:b/>
              </w:rPr>
              <w:t>Strand</w:t>
            </w:r>
          </w:p>
        </w:tc>
        <w:tc>
          <w:tcPr>
            <w:tcW w:w="8277" w:type="dxa"/>
            <w:vAlign w:val="center"/>
          </w:tcPr>
          <w:p w14:paraId="102BDB29" w14:textId="77777777" w:rsidR="00BB17BB" w:rsidRDefault="00000000">
            <w:pPr>
              <w:widowControl w:val="0"/>
              <w:spacing w:before="20" w:after="20" w:line="240" w:lineRule="auto"/>
            </w:pPr>
            <w:r>
              <w:rPr>
                <w:rFonts w:ascii="Times New Roman" w:hAnsi="Times New Roman"/>
                <w:b/>
              </w:rPr>
              <w:t>Audiences, measures and evidence</w:t>
            </w:r>
          </w:p>
        </w:tc>
      </w:tr>
      <w:tr w:rsidR="00BB17BB" w14:paraId="02BA26E9" w14:textId="77777777">
        <w:trPr>
          <w:cantSplit/>
          <w:jc w:val="center"/>
        </w:trPr>
        <w:tc>
          <w:tcPr>
            <w:tcW w:w="1814" w:type="dxa"/>
            <w:vAlign w:val="center"/>
          </w:tcPr>
          <w:p w14:paraId="350D5A17" w14:textId="77777777" w:rsidR="00BB17BB" w:rsidRDefault="00000000">
            <w:pPr>
              <w:widowControl w:val="0"/>
              <w:spacing w:before="20" w:after="20" w:line="240" w:lineRule="auto"/>
            </w:pPr>
            <w:r>
              <w:rPr>
                <w:rFonts w:ascii="Times New Roman" w:hAnsi="Times New Roman"/>
                <w:b/>
              </w:rPr>
              <w:t>Dissemination</w:t>
            </w:r>
          </w:p>
        </w:tc>
        <w:tc>
          <w:tcPr>
            <w:tcW w:w="8277" w:type="dxa"/>
            <w:vAlign w:val="center"/>
          </w:tcPr>
          <w:p w14:paraId="5C45F44D" w14:textId="77777777" w:rsidR="00BB17BB" w:rsidRDefault="00000000">
            <w:pPr>
              <w:widowControl w:val="0"/>
              <w:spacing w:before="20" w:after="20" w:line="240" w:lineRule="auto"/>
            </w:pPr>
            <w:r>
              <w:rPr>
                <w:rFonts w:ascii="Times New Roman" w:hAnsi="Times New Roman"/>
              </w:rPr>
              <w:t>Audience: Plant physiology, crop modelling, RS/EO, precision agriculture; students. ≥2 manuscripts (possible third), including successful/unsuccessful prospective transfer; model card and transfer methodology; EGU/ECPA and an Irrigation Science paper or ISHS irrigation symposium. Protocol, metadata, separable code and non-sensitive outputs carry persistent identifiers (§1.2). D1.3 M3; D2.1 M20; D2.2 M21</w:t>
            </w:r>
          </w:p>
        </w:tc>
      </w:tr>
      <w:tr w:rsidR="00BB17BB" w14:paraId="430FFDD0" w14:textId="77777777">
        <w:trPr>
          <w:cantSplit/>
          <w:jc w:val="center"/>
        </w:trPr>
        <w:tc>
          <w:tcPr>
            <w:tcW w:w="1814" w:type="dxa"/>
            <w:vAlign w:val="center"/>
          </w:tcPr>
          <w:p w14:paraId="3A737291" w14:textId="77777777" w:rsidR="00BB17BB" w:rsidRDefault="00000000">
            <w:pPr>
              <w:widowControl w:val="0"/>
              <w:spacing w:before="20" w:after="20" w:line="240" w:lineRule="auto"/>
            </w:pPr>
            <w:r>
              <w:rPr>
                <w:rFonts w:ascii="Times New Roman" w:hAnsi="Times New Roman"/>
                <w:b/>
              </w:rPr>
              <w:t>Communication</w:t>
            </w:r>
          </w:p>
        </w:tc>
        <w:tc>
          <w:tcPr>
            <w:tcW w:w="8277" w:type="dxa"/>
            <w:vAlign w:val="center"/>
          </w:tcPr>
          <w:p w14:paraId="79FEE7D0" w14:textId="77777777" w:rsidR="00BB17BB" w:rsidRDefault="00000000">
            <w:pPr>
              <w:widowControl w:val="0"/>
              <w:spacing w:before="20" w:after="20" w:line="240" w:lineRule="auto"/>
            </w:pPr>
            <w:r>
              <w:rPr>
                <w:rFonts w:ascii="Times New Roman" w:hAnsi="Times New Roman"/>
              </w:rPr>
              <w:t>Audience: Growers and advisors (HU/BG); wider public; HU/BG students and practitioners. Practitioner brief M12; two demonstrations M25–M29; workshop targeting 20 people M29–M30. Three public explainers M3/M12/M24; tutorial and HU/BG summaries M21–M24. A fellow-maintained public page links outputs and receives questions, with recorded responses; partner amplification where agreed. Messages explain uncertainty, abstention and what requires local validation; no unsupported advice. Attendance, feedback, views and downloads; reported in D5.3</w:t>
            </w:r>
          </w:p>
        </w:tc>
      </w:tr>
      <w:tr w:rsidR="00BB17BB" w14:paraId="3D1B4DB0" w14:textId="77777777">
        <w:trPr>
          <w:cantSplit/>
          <w:jc w:val="center"/>
        </w:trPr>
        <w:tc>
          <w:tcPr>
            <w:tcW w:w="1814" w:type="dxa"/>
            <w:vAlign w:val="center"/>
          </w:tcPr>
          <w:p w14:paraId="5788FA17" w14:textId="77777777" w:rsidR="00BB17BB" w:rsidRDefault="00000000">
            <w:pPr>
              <w:widowControl w:val="0"/>
              <w:spacing w:before="20" w:after="20" w:line="240" w:lineRule="auto"/>
            </w:pPr>
            <w:r>
              <w:rPr>
                <w:rFonts w:ascii="Times New Roman" w:hAnsi="Times New Roman"/>
                <w:b/>
              </w:rPr>
              <w:t>Exploitation</w:t>
            </w:r>
          </w:p>
        </w:tc>
        <w:tc>
          <w:tcPr>
            <w:tcW w:w="8277" w:type="dxa"/>
            <w:vAlign w:val="center"/>
          </w:tcPr>
          <w:p w14:paraId="3CEF22EA" w14:textId="77777777" w:rsidR="00BB17BB" w:rsidRDefault="00000000">
            <w:pPr>
              <w:widowControl w:val="0"/>
              <w:spacing w:before="20" w:after="20" w:line="240" w:lineRule="auto"/>
            </w:pPr>
            <w:r>
              <w:rPr>
                <w:rFonts w:ascii="Times New Roman" w:hAnsi="Times New Roman"/>
              </w:rPr>
              <w:t>Audience: FMIS/agri-software sector, growers, technology-transfer actors. Maturation of the fellow’s pre-existing DrR desktop prototype into an evidence-gated web MVP. FIELDWISE provides validated scientific/EO functionality; Krumatic provides remunerated software engineering; AgroVIR provides requirements and operational evaluation. Post-MSCA routes include FMIS integration, MVCRI crop extension and HUN-REN/HUNRENTECH-supported licensing or researcher-led start-up/spin-off exploration. D3.1–D3.2 M24; D4.1–D4.2 M30</w:t>
            </w:r>
          </w:p>
        </w:tc>
      </w:tr>
      <w:tr w:rsidR="00BB17BB" w14:paraId="458713C4" w14:textId="77777777">
        <w:trPr>
          <w:cantSplit/>
          <w:jc w:val="center"/>
        </w:trPr>
        <w:tc>
          <w:tcPr>
            <w:tcW w:w="1814" w:type="dxa"/>
            <w:vAlign w:val="center"/>
          </w:tcPr>
          <w:p w14:paraId="5B803B3E" w14:textId="77777777" w:rsidR="00BB17BB" w:rsidRDefault="00000000">
            <w:pPr>
              <w:widowControl w:val="0"/>
              <w:spacing w:before="20" w:after="20" w:line="240" w:lineRule="auto"/>
            </w:pPr>
            <w:r>
              <w:rPr>
                <w:rFonts w:ascii="Times New Roman" w:hAnsi="Times New Roman"/>
                <w:b/>
              </w:rPr>
              <w:t>IP and knowledge management</w:t>
            </w:r>
          </w:p>
        </w:tc>
        <w:tc>
          <w:tcPr>
            <w:tcW w:w="8277" w:type="dxa"/>
            <w:vAlign w:val="center"/>
          </w:tcPr>
          <w:p w14:paraId="616D9F59" w14:textId="77777777" w:rsidR="00BB17BB" w:rsidRDefault="00000000">
            <w:pPr>
              <w:widowControl w:val="0"/>
              <w:spacing w:before="20" w:after="20" w:line="240" w:lineRule="auto"/>
            </w:pPr>
            <w:r>
              <w:rPr>
                <w:rFonts w:ascii="Times New Roman" w:hAnsi="Times New Roman"/>
              </w:rPr>
              <w:t>Audience: Fellow, beneficiary and contributing organisations. Separate rights layers for DrR background / FIELDWISE-generated results / institutional datasets / contracted code. A dated DrR declaration establishes the pre-action baseline. Ownership/licensing of the new web software and source code is defined through the relevant HUN-REN ATK–Krumatic agreement; AgroVIR receives only access required for evaluation. Pre-action agreements; maintained IP inventory</w:t>
            </w:r>
          </w:p>
        </w:tc>
      </w:tr>
    </w:tbl>
    <w:p w14:paraId="6A0E1866" w14:textId="77777777" w:rsidR="005A31FB" w:rsidRDefault="00000000">
      <w:pPr>
        <w:pStyle w:val="FWBody"/>
      </w:pPr>
      <w:r>
        <w:rPr>
          <w:b/>
        </w:rPr>
        <w:t>Exploitation pathway.</w:t>
      </w:r>
      <w:r>
        <w:t xml:space="preserve"> DrR enters FIELDWISE as the fellow’s pre-existing, independently developed research prototype. Only scientifically validated functions are transferred into the web MVP. At M24 its released scope is evidence-gated, followed by independent AgroVIR evaluation in M25–M30 before any claim of FMIS readiness or </w:t>
      </w:r>
      <w:r>
        <w:lastRenderedPageBreak/>
        <w:t>wider commercial deployment. Four intended result families are the stress-prediction workflow, hyperspectral-to-Sentinel transfer methodology, matured DrR web MVP and AgroVIR-informed FMIS specification; their validation claims depend on the registered branch and observed evidence. MS3/M21: fellow/ATK determine supported functions; MS4/M24: ATK/fellow check release rights, reproducibility, tests and placement scope; MS5/M27: AgroVIR operational evidence informs ATK/fellow comparison of integration, licence/service and research routes; MS6/M30: rights holders decide the authorised next step, resources and conditions in D4.2/K10. Without rights/funding, release cleared evidence and a conditional research roadmap.</w:t>
      </w:r>
    </w:p>
    <w:p w14:paraId="39CAE4DC" w14:textId="77777777" w:rsidR="005A31FB" w:rsidRDefault="00000000">
      <w:pPr>
        <w:pStyle w:val="FWBody"/>
      </w:pPr>
      <w:r>
        <w:rPr>
          <w:b/>
        </w:rPr>
        <w:t>Reach and uptake.</w:t>
      </w:r>
      <w:r>
        <w:t xml:space="preserve"> Target 6–10 growers/advisors and 2–3 FMIS/technical users through invitations/professional contacts and AgroVIR support where available. M12 requirements feedback targets 3–4 of those growers/advisors; revisit uncertainty displays M21–M24, then assess operations in M25–M30. Record response rates, unique/repeat contacts, task completion, uncertainty interpretation and critical usability issues, plus dissemination attendance, feedback and downloads. Failed recruitment triggers a labelled expert walkthrough, not grower validation; attendance is not adoption.</w:t>
      </w:r>
    </w:p>
    <w:p w14:paraId="37BAA3AA" w14:textId="77777777" w:rsidR="005A31FB" w:rsidRDefault="00000000">
      <w:pPr>
        <w:keepNext/>
        <w:spacing w:after="0" w:line="240" w:lineRule="auto"/>
        <w:contextualSpacing/>
        <w:jc w:val="both"/>
        <w:rPr>
          <w:rFonts w:ascii="Times New Roman" w:hAnsi="Times New Roman"/>
          <w:b/>
          <w:bCs/>
          <w:i/>
          <w:iCs/>
          <w:sz w:val="24"/>
          <w:szCs w:val="24"/>
          <w:lang w:val="en-GB"/>
        </w:rPr>
      </w:pPr>
      <w:r>
        <w:rPr>
          <w:rFonts w:ascii="Times New Roman" w:eastAsia="Times New Roman" w:hAnsi="Times New Roman"/>
          <w:b/>
          <w:bCs/>
          <w:i/>
          <w:iCs/>
          <w:szCs w:val="24"/>
          <w:lang w:val="en-GB"/>
        </w:rPr>
        <w:t>2.3. The magnitude and importance of the project’s contribution to the expected scientific, societal and economic impacts</w:t>
      </w:r>
    </w:p>
    <w:p w14:paraId="0E257F23" w14:textId="77777777" w:rsidR="005A31FB" w:rsidRDefault="00000000">
      <w:pPr>
        <w:pStyle w:val="FWBody"/>
      </w:pPr>
      <w:r>
        <w:t>Impact is bounded to what the action demonstrates directly: whether physiologically grounded water-stress relationships remain valid across unseen years, sensing scales and two prospective seasons, and whether validated results support operational decisions.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8" w:type="dxa"/>
          <w:left w:w="40" w:type="dxa"/>
          <w:bottom w:w="18" w:type="dxa"/>
          <w:right w:w="40" w:type="dxa"/>
        </w:tblCellMar>
        <w:tblLook w:val="04A0" w:firstRow="1" w:lastRow="0" w:firstColumn="1" w:lastColumn="0" w:noHBand="0" w:noVBand="1"/>
      </w:tblPr>
      <w:tblGrid>
        <w:gridCol w:w="1814"/>
        <w:gridCol w:w="8277"/>
      </w:tblGrid>
      <w:tr w:rsidR="00BB17BB" w14:paraId="60AF8990" w14:textId="77777777">
        <w:trPr>
          <w:cantSplit/>
          <w:tblHeader/>
          <w:jc w:val="center"/>
        </w:trPr>
        <w:tc>
          <w:tcPr>
            <w:tcW w:w="1814" w:type="dxa"/>
            <w:vAlign w:val="center"/>
          </w:tcPr>
          <w:p w14:paraId="4F8B150A" w14:textId="77777777" w:rsidR="00BB17BB" w:rsidRDefault="00000000">
            <w:pPr>
              <w:widowControl w:val="0"/>
              <w:spacing w:before="20" w:after="20" w:line="240" w:lineRule="auto"/>
            </w:pPr>
            <w:r>
              <w:rPr>
                <w:rFonts w:ascii="Times New Roman" w:hAnsi="Times New Roman"/>
                <w:b/>
              </w:rPr>
              <w:t>Dimension</w:t>
            </w:r>
          </w:p>
        </w:tc>
        <w:tc>
          <w:tcPr>
            <w:tcW w:w="8277" w:type="dxa"/>
            <w:vAlign w:val="center"/>
          </w:tcPr>
          <w:p w14:paraId="25B30ABC" w14:textId="77777777" w:rsidR="00BB17BB" w:rsidRDefault="00000000">
            <w:pPr>
              <w:widowControl w:val="0"/>
              <w:spacing w:before="20" w:after="20" w:line="240" w:lineRule="auto"/>
            </w:pPr>
            <w:r>
              <w:rPr>
                <w:rFonts w:ascii="Times New Roman" w:hAnsi="Times New Roman"/>
                <w:b/>
              </w:rPr>
              <w:t>Contribution, magnitude and importance</w:t>
            </w:r>
          </w:p>
        </w:tc>
      </w:tr>
      <w:tr w:rsidR="00BB17BB" w14:paraId="6C30098D" w14:textId="77777777">
        <w:trPr>
          <w:cantSplit/>
          <w:jc w:val="center"/>
        </w:trPr>
        <w:tc>
          <w:tcPr>
            <w:tcW w:w="1814" w:type="dxa"/>
            <w:vAlign w:val="center"/>
          </w:tcPr>
          <w:p w14:paraId="493D4D27" w14:textId="77777777" w:rsidR="00BB17BB" w:rsidRDefault="00000000">
            <w:pPr>
              <w:widowControl w:val="0"/>
              <w:spacing w:before="20" w:after="20" w:line="240" w:lineRule="auto"/>
            </w:pPr>
            <w:r>
              <w:rPr>
                <w:rFonts w:ascii="Times New Roman" w:hAnsi="Times New Roman"/>
                <w:b/>
              </w:rPr>
              <w:t>Scientific</w:t>
            </w:r>
          </w:p>
        </w:tc>
        <w:tc>
          <w:tcPr>
            <w:tcW w:w="8277" w:type="dxa"/>
            <w:vAlign w:val="center"/>
          </w:tcPr>
          <w:p w14:paraId="4FC5A3F7" w14:textId="77777777" w:rsidR="00BB17BB" w:rsidRDefault="00000000">
            <w:pPr>
              <w:widowControl w:val="0"/>
              <w:spacing w:before="20" w:after="20" w:line="240" w:lineRule="auto"/>
            </w:pPr>
            <w:r>
              <w:rPr>
                <w:rFonts w:ascii="Times New Roman" w:hAnsi="Times New Roman"/>
              </w:rPr>
              <w:t>Independent physiology and leakage-safe modelling test whether predictive validity survives temporal, environmental and sensing-scale transfer. Outputs: a documented model, quantified transfer performance and a specification separating reusable from crop-/scale-specific components, showing whether, how far and under which conditions predictive validity survives transfer.</w:t>
            </w:r>
          </w:p>
        </w:tc>
      </w:tr>
      <w:tr w:rsidR="00BB17BB" w14:paraId="6AB68483" w14:textId="77777777">
        <w:trPr>
          <w:cantSplit/>
          <w:jc w:val="center"/>
        </w:trPr>
        <w:tc>
          <w:tcPr>
            <w:tcW w:w="1814" w:type="dxa"/>
            <w:vAlign w:val="center"/>
          </w:tcPr>
          <w:p w14:paraId="09EB69BA" w14:textId="77777777" w:rsidR="00BB17BB" w:rsidRDefault="00000000">
            <w:pPr>
              <w:widowControl w:val="0"/>
              <w:spacing w:before="20" w:after="20" w:line="240" w:lineRule="auto"/>
            </w:pPr>
            <w:r>
              <w:rPr>
                <w:rFonts w:ascii="Times New Roman" w:hAnsi="Times New Roman"/>
                <w:b/>
              </w:rPr>
              <w:t>Agricultural &amp; environmental</w:t>
            </w:r>
          </w:p>
        </w:tc>
        <w:tc>
          <w:tcPr>
            <w:tcW w:w="8277" w:type="dxa"/>
            <w:vAlign w:val="center"/>
          </w:tcPr>
          <w:p w14:paraId="2743AFA8" w14:textId="77777777" w:rsidR="00BB17BB" w:rsidRDefault="00000000">
            <w:pPr>
              <w:widowControl w:val="0"/>
              <w:spacing w:before="20" w:after="20" w:line="240" w:lineRule="auto"/>
            </w:pPr>
            <w:r>
              <w:rPr>
                <w:rFonts w:ascii="Times New Roman" w:hAnsi="Times New Roman"/>
              </w:rPr>
              <w:t>The registered outcome branch provides physiological stress estimates and uncertainty; only validated functions provide irrigation-attention information. The direct value is more defensible identification of when and where water stress requires attention. Branch-appropriate warning/error metrics, uncertainty and water–yield–quality relationships are measured prospectively; no numerical water-saving benefit is claimed in advance. Irrigation, marketable yield and quality are recorded by treatment, not used to estimate DrR-caused savings.</w:t>
            </w:r>
          </w:p>
        </w:tc>
      </w:tr>
      <w:tr w:rsidR="00BB17BB" w14:paraId="2ECC2B2B" w14:textId="77777777">
        <w:trPr>
          <w:cantSplit/>
          <w:jc w:val="center"/>
        </w:trPr>
        <w:tc>
          <w:tcPr>
            <w:tcW w:w="1814" w:type="dxa"/>
            <w:vAlign w:val="center"/>
          </w:tcPr>
          <w:p w14:paraId="7706968A" w14:textId="77777777" w:rsidR="00BB17BB" w:rsidRDefault="00000000">
            <w:pPr>
              <w:widowControl w:val="0"/>
              <w:spacing w:before="20" w:after="20" w:line="240" w:lineRule="auto"/>
            </w:pPr>
            <w:r>
              <w:rPr>
                <w:rFonts w:ascii="Times New Roman" w:hAnsi="Times New Roman"/>
                <w:b/>
              </w:rPr>
              <w:t>Technological &amp; economic</w:t>
            </w:r>
          </w:p>
        </w:tc>
        <w:tc>
          <w:tcPr>
            <w:tcW w:w="8277" w:type="dxa"/>
            <w:vAlign w:val="center"/>
          </w:tcPr>
          <w:p w14:paraId="52CA1D20" w14:textId="77777777" w:rsidR="00BB17BB" w:rsidRDefault="00000000">
            <w:pPr>
              <w:widowControl w:val="0"/>
              <w:spacing w:before="20" w:after="20" w:line="240" w:lineRule="auto"/>
            </w:pPr>
            <w:r>
              <w:rPr>
                <w:rFonts w:ascii="Times New Roman" w:hAnsi="Times New Roman"/>
              </w:rPr>
              <w:t>The fellow’s pre-existing DrR desktop prototype is matured into a evidence-gated web MVP; Krumatic implements the software layer and AgroVIR evaluates usability and interoperability. Prototype → evidence-gated MVP → independent operational assessment → FMIS/exploitation roadmap reduces uncertainty for subsequent integration, licensing or researcher-led innovation.</w:t>
            </w:r>
          </w:p>
        </w:tc>
      </w:tr>
      <w:tr w:rsidR="00BB17BB" w14:paraId="136E5301" w14:textId="77777777">
        <w:trPr>
          <w:cantSplit/>
          <w:jc w:val="center"/>
        </w:trPr>
        <w:tc>
          <w:tcPr>
            <w:tcW w:w="1814" w:type="dxa"/>
            <w:vAlign w:val="center"/>
          </w:tcPr>
          <w:p w14:paraId="69A0E297" w14:textId="77777777" w:rsidR="00BB17BB" w:rsidRDefault="00000000">
            <w:pPr>
              <w:widowControl w:val="0"/>
              <w:spacing w:before="20" w:after="20" w:line="240" w:lineRule="auto"/>
            </w:pPr>
            <w:r>
              <w:rPr>
                <w:rFonts w:ascii="Times New Roman" w:hAnsi="Times New Roman"/>
                <w:b/>
              </w:rPr>
              <w:t>European &amp; societal</w:t>
            </w:r>
          </w:p>
        </w:tc>
        <w:tc>
          <w:tcPr>
            <w:tcW w:w="8277" w:type="dxa"/>
            <w:vAlign w:val="center"/>
          </w:tcPr>
          <w:p w14:paraId="5C21B01E" w14:textId="77777777" w:rsidR="00BB17BB" w:rsidRDefault="00000000">
            <w:pPr>
              <w:widowControl w:val="0"/>
              <w:spacing w:before="20" w:after="20" w:line="240" w:lineRule="auto"/>
            </w:pPr>
            <w:r>
              <w:rPr>
                <w:rFonts w:ascii="Times New Roman" w:hAnsi="Times New Roman"/>
              </w:rPr>
              <w:t>Hungarian academic, university and FMIS training for a Bulgarian researcher; potential MVCRI continuation. Serves the EU Water Resilience Strategy’s efficiency and digitalisation priorities (its 10% economy-wide ambition is not a project target); delivers the call’s fellowship outcomes: skills and employability, international/interdisciplinary/inter-sectoral experience, knowledge exchange, research-to-teaching transfer, each with an evidencing output.</w:t>
            </w:r>
          </w:p>
        </w:tc>
      </w:tr>
    </w:tbl>
    <w:p w14:paraId="0A731A9E" w14:textId="77777777" w:rsidR="005A31FB" w:rsidRDefault="00000000">
      <w:pPr>
        <w:pStyle w:val="FWBody"/>
      </w:pPr>
      <w:r>
        <w:t>D1.2 pre-specifies branch-appropriate predictive performance, uncertainty and transfer metrics, reported before recalibration, with valid/abstained/misleading-output counts and denominators. Three scales are kept distinct: direct delivery (one crop/environment, two seasons, 12 treatment areas/season, up to 288 area-dates, one model/MVP/industrial evaluation); the translation channel, where AgroVIR reported in August 2025 that its software serves over 700,000 ha across Hungary and six other countries, an established distribution context that is neither FIELDWISE coverage nor irrigated-tomato area, adoption or water saving; and eligible uptake, the subset of that network with suitable crop, irrigation, field-size and data conditions, defined by M12 (including native-pixel geometry and user/data capability), with a source-labelled screening method by M24 applied only to an accessible subset during placement (denominator/date). Wider uptake remains unquantified without evidence; overlapping users or area-years are not summed as unique reach.</w:t>
      </w:r>
    </w:p>
    <w:p w14:paraId="7CD0DD49" w14:textId="77777777" w:rsidR="005A31FB" w:rsidRDefault="00000000">
      <w:pPr>
        <w:pStyle w:val="Cmsor2"/>
        <w:pageBreakBefore/>
        <w:spacing w:line="240" w:lineRule="auto"/>
        <w:rPr>
          <w:rFonts w:ascii="Times New Roman" w:hAnsi="Times New Roman"/>
          <w:lang w:val="en-GB"/>
        </w:rPr>
      </w:pPr>
      <w:r>
        <w:rPr>
          <w:rFonts w:ascii="Times New Roman" w:eastAsia="Times New Roman" w:hAnsi="Times New Roman"/>
          <w:sz w:val="22"/>
          <w:lang w:val="en-GB"/>
        </w:rPr>
        <w:lastRenderedPageBreak/>
        <w:t>3.</w:t>
      </w:r>
      <w:r>
        <w:rPr>
          <w:rFonts w:ascii="Times New Roman" w:eastAsia="Times New Roman" w:hAnsi="Times New Roman"/>
          <w:sz w:val="22"/>
        </w:rPr>
        <w:tab/>
      </w:r>
      <w:r>
        <w:rPr>
          <w:rFonts w:ascii="Times New Roman" w:eastAsia="Times New Roman" w:hAnsi="Times New Roman"/>
          <w:sz w:val="22"/>
          <w:lang w:val="en-GB"/>
        </w:rPr>
        <w:t xml:space="preserve">Quality and Efficiency of the Implementation </w:t>
      </w:r>
    </w:p>
    <w:p w14:paraId="73C63B11" w14:textId="77777777" w:rsidR="005A31FB" w:rsidRDefault="00000000">
      <w:pPr>
        <w:keepNext/>
        <w:spacing w:after="0" w:line="240" w:lineRule="auto"/>
        <w:contextualSpacing/>
        <w:jc w:val="both"/>
        <w:rPr>
          <w:rFonts w:ascii="Times New Roman" w:hAnsi="Times New Roman"/>
          <w:b/>
          <w:bCs/>
          <w:i/>
          <w:iCs/>
          <w:sz w:val="24"/>
          <w:szCs w:val="24"/>
          <w:lang w:val="en-GB"/>
        </w:rPr>
      </w:pPr>
      <w:r>
        <w:rPr>
          <w:rFonts w:ascii="Times New Roman" w:eastAsia="Times New Roman" w:hAnsi="Times New Roman"/>
          <w:b/>
          <w:bCs/>
          <w:i/>
          <w:iCs/>
          <w:szCs w:val="24"/>
          <w:lang w:val="en-GB"/>
        </w:rPr>
        <w:t>3.1</w:t>
      </w:r>
      <w:r>
        <w:rPr>
          <w:rFonts w:ascii="Times New Roman" w:eastAsia="Times New Roman" w:hAnsi="Times New Roman"/>
          <w:szCs w:val="24"/>
        </w:rPr>
        <w:tab/>
      </w:r>
      <w:r>
        <w:rPr>
          <w:rFonts w:ascii="Times New Roman" w:eastAsia="Times New Roman" w:hAnsi="Times New Roman"/>
          <w:b/>
          <w:bCs/>
          <w:i/>
          <w:iCs/>
          <w:szCs w:val="24"/>
          <w:lang w:val="en-GB"/>
        </w:rPr>
        <w:t>Quality and effectiveness of the work plan, assessment of risks and appropriateness of the effort assigned to work packages</w:t>
      </w:r>
    </w:p>
    <w:p w14:paraId="16D4FDA1" w14:textId="77777777" w:rsidR="005A31FB" w:rsidRDefault="00000000">
      <w:pPr>
        <w:pStyle w:val="FWBody"/>
      </w:pPr>
      <w:r>
        <w:t>The fellow leads science at sole beneficiary HUN-REN ATK for 24 months, then undertakes AgroVIR placement (M25–M30). Secondment locations (§1.3) are within fellow effort. MATE supports archive/irrigation science; the producer hosts trials; Krumatic provides remunerated engineering.</w:t>
      </w:r>
    </w:p>
    <w:p w14:paraId="0412C61C" w14:textId="77777777" w:rsidR="005A31FB" w:rsidRPr="00715493" w:rsidRDefault="00000000">
      <w:pPr>
        <w:pStyle w:val="FWSubheading"/>
      </w:pPr>
      <w:r w:rsidRPr="00715493">
        <w:t xml:space="preserve">WP1 — </w:t>
      </w:r>
      <w:r w:rsidR="00715493" w:rsidRPr="00715493">
        <w:t xml:space="preserve">Data </w:t>
      </w:r>
      <w:proofErr w:type="spellStart"/>
      <w:r w:rsidR="00715493" w:rsidRPr="00715493">
        <w:t>harmonisation</w:t>
      </w:r>
      <w:proofErr w:type="spellEnd"/>
      <w:r w:rsidR="00715493" w:rsidRPr="00715493">
        <w:t>, stress definition &amp; model development</w:t>
      </w:r>
      <w:r w:rsidRPr="00715493">
        <w:t xml:space="preserve"> | M1–M21 | 5.0 PM.</w:t>
      </w:r>
    </w:p>
    <w:p w14:paraId="5F46D19F" w14:textId="77777777" w:rsidR="005A31FB" w:rsidRDefault="00000000">
      <w:pPr>
        <w:pStyle w:val="FWBody"/>
      </w:pPr>
      <w:r>
        <w:t>Lead: fellow/ATK; MATE/ELTE support. T1.1 (M1–M2): access/adequacy gate and five-season audit (M1), D1.1/QC scaffold (M2). T1.2 (M1–M3): register reference, admissible branch, predictors, folds, metrics, sampling/recalibration rules before fitting; dry-run nested folds by M2. T1.3 (M2–M3): historical fitting/validation and freeze after lock. T1.4 (M10–M12; M16–M21): synthesise transfer without changing the model.</w:t>
      </w:r>
    </w:p>
    <w:p w14:paraId="3AE4BC78" w14:textId="77777777" w:rsidR="005A31FB" w:rsidRDefault="00000000">
      <w:pPr>
        <w:pStyle w:val="FWBody"/>
      </w:pPr>
      <w:r>
        <w:t>D1.1 archive/QC map (M2); D1.2 protocol and D1.3 model/card (M3); D1.4 transfer specification (M21). K1–K4: five seasons audited; one locked protocol; reproducible, branch-appropriate held-out-year results; one reusable/crop-specific transfer specification. Gates: MS1/MS3.</w:t>
      </w:r>
    </w:p>
    <w:p w14:paraId="741F1D29" w14:textId="77777777" w:rsidR="005A31FB" w:rsidRDefault="00000000">
      <w:pPr>
        <w:pStyle w:val="FWSubheading"/>
      </w:pPr>
      <w:r>
        <w:t>WP2 — Prospective field validation | M1–M21 | 9.0 PM.</w:t>
      </w:r>
    </w:p>
    <w:p w14:paraId="68AE985E" w14:textId="77777777" w:rsidR="005A31FB" w:rsidRDefault="00000000">
      <w:pPr>
        <w:pStyle w:val="FWBody"/>
      </w:pPr>
      <w:r>
        <w:t>Lead: fellow/ATK; producer/MATE/ELTE support. T2.1 (M1–M4): screen candidate field in M1; achieve MS1 readiness before planting/interventions; prepare monitoring. T2.2 (M4–M12)/T2.3 (M13–M20): seasons 1/2, unchanged model, actual Sentinel-2 and independent physiology; log irrigation/yield/quality. Pretest reporting on historical/synthetic data; rolling QC never tunes the model. T2.4 (M20–M21): locked primary analysis before separate recalibration.</w:t>
      </w:r>
    </w:p>
    <w:p w14:paraId="0D182C56" w14:textId="77777777" w:rsidR="005A31FB" w:rsidRDefault="00000000">
      <w:pPr>
        <w:pStyle w:val="FWBody"/>
      </w:pPr>
      <w:r>
        <w:t>D2.1 dataset/prediction log (M20); D2.2 transfer/uncertainty report (M21). K5: two seasons; scheduled versus valid observation opportunities and biological sample size reported. K6: season-level/pooled metrics of the registered branch (§1.2), with uncertainty/non-estimability. Lost seasons leave K5 unmet and restrict K6/MS3 claims. Gates: MS1–MS3.</w:t>
      </w:r>
    </w:p>
    <w:p w14:paraId="73699F14" w14:textId="77777777" w:rsidR="005A31FB" w:rsidRDefault="00000000">
      <w:pPr>
        <w:pStyle w:val="FWSubheading"/>
      </w:pPr>
      <w:r>
        <w:t xml:space="preserve">WP3 — </w:t>
      </w:r>
      <w:proofErr w:type="spellStart"/>
      <w:r>
        <w:t>DrR</w:t>
      </w:r>
      <w:proofErr w:type="spellEnd"/>
      <w:r>
        <w:t xml:space="preserve"> web MVP and readiness | M1–M24 | 6.0 PM.</w:t>
      </w:r>
    </w:p>
    <w:p w14:paraId="3608B92E" w14:textId="77777777" w:rsidR="005A31FB" w:rsidRDefault="00000000">
      <w:pPr>
        <w:pStyle w:val="FWBody"/>
      </w:pPr>
      <w:r>
        <w:t>Lead: fellow/ATK; Krumatic engineering; AgroVIR requirements. T3.1 (M1–M3): essential background/IP, workflow scope and acceptance criteria; defer discretionary UI. T3.2 (M4–M20): ingestion/provenance and research-only displays; M12 user feedback. T3.3 (M21–M24): MS3-supported functions, scientific/invalid-input tests and display feedback. T3.4 (M22–M24): release/placement protocol. The 6.0 fellow PM cover scientific specification, inference/provenance contracts and acceptance, distinct from paid implementation.</w:t>
      </w:r>
    </w:p>
    <w:p w14:paraId="07B4D761" w14:textId="77777777" w:rsidR="005A31FB" w:rsidRDefault="00000000">
      <w:pPr>
        <w:pStyle w:val="FWBody"/>
      </w:pPr>
      <w:r>
        <w:t>D3.1 web MVP and D3.2 readiness dossier (M24). K7: one MVP, all agreed critical tests pass and zero unresolved critical defects in the released scope. K8: source access, rights, evidence limits, guidance and evaluation scope documented. Gate: MS4.</w:t>
      </w:r>
    </w:p>
    <w:p w14:paraId="3FB76A85" w14:textId="77777777" w:rsidR="005A31FB" w:rsidRDefault="00000000">
      <w:pPr>
        <w:pStyle w:val="FWSubheading"/>
      </w:pPr>
      <w:r>
        <w:t xml:space="preserve">WP4 — </w:t>
      </w:r>
      <w:proofErr w:type="spellStart"/>
      <w:r>
        <w:t>AgroVIR</w:t>
      </w:r>
      <w:proofErr w:type="spellEnd"/>
      <w:r>
        <w:t xml:space="preserve"> placement | M25–M30 | 5.4 PM.</w:t>
      </w:r>
    </w:p>
    <w:p w14:paraId="7A7E58B0" w14:textId="77777777" w:rsidR="005A31FB" w:rsidRDefault="00000000">
      <w:pPr>
        <w:pStyle w:val="FWBody"/>
      </w:pPr>
      <w:r>
        <w:rPr>
          <w:b/>
          <w:bCs/>
        </w:rPr>
        <w:t>Lead:</w:t>
      </w:r>
      <w:r>
        <w:t xml:space="preserve"> fellow with </w:t>
      </w:r>
      <w:proofErr w:type="spellStart"/>
      <w:r>
        <w:t>AgroVIR</w:t>
      </w:r>
      <w:proofErr w:type="spellEnd"/>
      <w:r>
        <w:t xml:space="preserve"> operational supervision; ATK oversight. </w:t>
      </w:r>
      <w:r>
        <w:rPr>
          <w:b/>
          <w:bCs/>
        </w:rPr>
        <w:t>T4.1</w:t>
      </w:r>
      <w:r>
        <w:t xml:space="preserve"> (M25–M27): assess data requirements, output consistency, missing/out-of-domain </w:t>
      </w:r>
      <w:proofErr w:type="spellStart"/>
      <w:r>
        <w:t>behaviour</w:t>
      </w:r>
      <w:proofErr w:type="spellEnd"/>
      <w:r>
        <w:t xml:space="preserve">, usability, interoperability and decision relevance. </w:t>
      </w:r>
      <w:r>
        <w:rPr>
          <w:b/>
          <w:bCs/>
        </w:rPr>
        <w:t>T4.2</w:t>
      </w:r>
      <w:r>
        <w:t xml:space="preserve"> (M28–M30): retest priority issues and record limitations. </w:t>
      </w:r>
      <w:r>
        <w:rPr>
          <w:b/>
          <w:bCs/>
        </w:rPr>
        <w:t>T4.3</w:t>
      </w:r>
      <w:r>
        <w:t xml:space="preserve"> (M27–M30): define the post-MSCA integration/exploitation route using approved test/coded data.</w:t>
      </w:r>
    </w:p>
    <w:p w14:paraId="5C1D591D" w14:textId="77777777" w:rsidR="005A31FB" w:rsidRDefault="00000000">
      <w:pPr>
        <w:pStyle w:val="FWBody"/>
      </w:pPr>
      <w:r>
        <w:t>D4.1 external assessment and D4.2 roadmap (M30). K9: all six dimensions assessed and priority issues dispositioned. K10: roadmap states owners, IP/access, technical dependencies, actors, resources and decision gates. Gates: MS5/MS6.</w:t>
      </w:r>
    </w:p>
    <w:p w14:paraId="6CF08D11" w14:textId="77777777" w:rsidR="005A31FB" w:rsidRDefault="00000000">
      <w:pPr>
        <w:pStyle w:val="FWSubheading"/>
      </w:pPr>
      <w:r>
        <w:t>WP5 — Training, open science, dissemination and management | M1–M30 | 4.6 PM.</w:t>
      </w:r>
    </w:p>
    <w:p w14:paraId="6360B5B7" w14:textId="77777777" w:rsidR="005A31FB" w:rsidRDefault="00000000">
      <w:pPr>
        <w:pStyle w:val="FWBody"/>
      </w:pPr>
      <w:r>
        <w:rPr>
          <w:b/>
        </w:rPr>
        <w:t>T5.1 (lead fellow/ATK, supervisors/host support):</w:t>
      </w:r>
      <w:r>
        <w:t xml:space="preserve"> CDP, quarterly reviews, technical/transferable skills, knowledge exchange. </w:t>
      </w:r>
      <w:r>
        <w:rPr>
          <w:b/>
        </w:rPr>
        <w:t>T5.2:</w:t>
      </w:r>
      <w:r>
        <w:t xml:space="preserve"> data/access rules from M1; DMP. </w:t>
      </w:r>
      <w:r>
        <w:rPr>
          <w:b/>
        </w:rPr>
        <w:t>T5.3:</w:t>
      </w:r>
      <w:r>
        <w:t xml:space="preserve"> dissemination/communication/exploitation from M1; initial strategy at M3. </w:t>
      </w:r>
      <w:r>
        <w:rPr>
          <w:b/>
        </w:rPr>
        <w:t>T5.4:</w:t>
      </w:r>
      <w:r>
        <w:t xml:space="preserve"> monthly progress/risk monitoring, agreements and reporting (all M1–M30).</w:t>
      </w:r>
    </w:p>
    <w:p w14:paraId="10282718" w14:textId="77777777" w:rsidR="005A31FB" w:rsidRDefault="00000000">
      <w:pPr>
        <w:pStyle w:val="FWBody"/>
      </w:pPr>
      <w:r>
        <w:t>D5.1 CDP (M3); D5.2 DMP (M6; review M21/M30); D5.3 final dissemination/exploitation plan (M30; update M24). K11: CDP reviews, four technical competence strands and 12 secondment months evidenced. K12: all released assets have metadata and access decisions. K13: ≥2 manuscripts submitted, ≥2 conference presentations and ≥1 end-user workshop by M30. K14: each result family has an owner, audience, route and indicators.</w:t>
      </w:r>
    </w:p>
    <w:p w14:paraId="6F706FA0" w14:textId="77777777" w:rsidR="005A31FB" w:rsidRDefault="00000000">
      <w:pPr>
        <w:pStyle w:val="FWBody"/>
      </w:pPr>
      <w:r>
        <w:rPr>
          <w:b/>
        </w:rPr>
        <w:t>Decision gates and dependencies.</w:t>
      </w:r>
      <w:r>
        <w:t xml:space="preserve"> MS1 (M3): protocol lock precedes fitting and model freeze; pre-intervention field readiness/CDP agreed. MS2 (M12): season 1 QC and logistics review, retaining the primary model. MS3 (M21): transfer evidence/specification reviewed against the two-season target; branch/precision limits determine </w:t>
      </w:r>
      <w:r>
        <w:lastRenderedPageBreak/>
        <w:t xml:space="preserve">permitted MVP functions. MS4 (M24): critical tests and placement scope accepted. MS5 (M27): midpoint assessment/corrections agreed. MS6 (M30): external assessment and roadmaps completed. The fellow and ATK approve scientific gates with specialist input; </w:t>
      </w:r>
      <w:proofErr w:type="spellStart"/>
      <w:r>
        <w:t>AgroVIR</w:t>
      </w:r>
      <w:proofErr w:type="spellEnd"/>
      <w:r>
        <w:t xml:space="preserve"> co-reviews MS4–MS6.</w:t>
      </w:r>
    </w:p>
    <w:p w14:paraId="477737E6" w14:textId="77777777" w:rsidR="005A31FB" w:rsidRDefault="00000000">
      <w:pPr>
        <w:pStyle w:val="FWBody"/>
      </w:pPr>
      <w:r>
        <w:rPr>
          <w:b/>
        </w:rPr>
        <w:t>Critical path:</w:t>
      </w:r>
      <w:r>
        <w:t xml:space="preserve"> MS1 model freeze → WP2 prospective evidence → MS3 permitted functions → MS4 release → WP4 evaluation. The plan assumes a February start: MS1 in April (M3) precedes the first principal field observations in May (M4), and the second harvest falls by M20 (September). If the start slips, a feasible start is chosen within the permitted grant window before launch; field readiness is confirmed before interventions; a backup site is used only if genuinely available; if two complete seasons cannot fit, the action is formally rephased or the evidence claim narrowed, never another dataset relabelled as the primary test. WP effort totals 30.0 fellow PM: 24.0 in M1–M24 and 6.0 in M25–M30 (WP4 5.4; WP5 0.6). Pre-freeze WP1 effort is 2.2 PM of the 3.0 PM in M1–M3 (0.8 PM set up WP2/WP3/WP5); the remaining 2.8 PM are later transfer diagnostics and specification work (M10–M12, M16–M21), and standalone activities avoid peak field campaigns. Training within scientific tasks is counted once. Partner support is additional to these fellow PM.</w:t>
      </w:r>
    </w:p>
    <w:p w14:paraId="43A84640" w14:textId="77777777" w:rsidR="005A31FB" w:rsidRDefault="00000000">
      <w:pPr>
        <w:pStyle w:val="FWBody"/>
      </w:pPr>
      <w:r>
        <w:rPr>
          <w:b/>
        </w:rPr>
        <w:t>Risk control.</w:t>
      </w:r>
      <w:r>
        <w:t xml:space="preserve"> Monthly monitoring and gate reviews record triggers, owners and corrective decisions. Poor transfer is a reportable scientific result; it does not </w:t>
      </w:r>
      <w:proofErr w:type="spellStart"/>
      <w:r>
        <w:t>authorise</w:t>
      </w:r>
      <w:proofErr w:type="spellEnd"/>
      <w:r>
        <w:t xml:space="preserve"> unsupported advice.</w:t>
      </w:r>
    </w:p>
    <w:tbl>
      <w:tblPr>
        <w:tblW w:w="10091" w:type="dxa"/>
        <w:jc w:val="center"/>
        <w:tblLayout w:type="fixed"/>
        <w:tblCellMar>
          <w:top w:w="18" w:type="dxa"/>
          <w:left w:w="40" w:type="dxa"/>
          <w:bottom w:w="18" w:type="dxa"/>
          <w:right w:w="40" w:type="dxa"/>
        </w:tblCellMar>
        <w:tblLook w:val="0000" w:firstRow="0" w:lastRow="0" w:firstColumn="0" w:lastColumn="0" w:noHBand="0" w:noVBand="0"/>
      </w:tblPr>
      <w:tblGrid>
        <w:gridCol w:w="1928"/>
        <w:gridCol w:w="8163"/>
      </w:tblGrid>
      <w:tr w:rsidR="005A31FB" w14:paraId="48F2F0F2" w14:textId="77777777">
        <w:trPr>
          <w:cantSplit/>
          <w:tblHeader/>
          <w:jc w:val="center"/>
        </w:trPr>
        <w:tc>
          <w:tcPr>
            <w:tcW w:w="1928" w:type="dxa"/>
            <w:tcBorders>
              <w:top w:val="single" w:sz="4" w:space="0" w:color="A6A6A6"/>
              <w:left w:val="single" w:sz="4" w:space="0" w:color="A6A6A6"/>
              <w:bottom w:val="single" w:sz="4" w:space="0" w:color="A6A6A6"/>
              <w:right w:val="single" w:sz="4" w:space="0" w:color="A6A6A6"/>
            </w:tcBorders>
            <w:shd w:val="clear" w:color="auto" w:fill="F0F0F0"/>
            <w:vAlign w:val="center"/>
          </w:tcPr>
          <w:p w14:paraId="299BDAF8" w14:textId="77777777" w:rsidR="005A31FB" w:rsidRDefault="00000000">
            <w:pPr>
              <w:pStyle w:val="FWTable"/>
              <w:widowControl w:val="0"/>
            </w:pPr>
            <w:r>
              <w:rPr>
                <w:b/>
              </w:rPr>
              <w:t>Risk; likelihood/impact</w:t>
            </w:r>
          </w:p>
        </w:tc>
        <w:tc>
          <w:tcPr>
            <w:tcW w:w="8164" w:type="dxa"/>
            <w:tcBorders>
              <w:top w:val="single" w:sz="4" w:space="0" w:color="A6A6A6"/>
              <w:left w:val="single" w:sz="4" w:space="0" w:color="A6A6A6"/>
              <w:bottom w:val="single" w:sz="4" w:space="0" w:color="A6A6A6"/>
              <w:right w:val="single" w:sz="4" w:space="0" w:color="A6A6A6"/>
            </w:tcBorders>
            <w:shd w:val="clear" w:color="auto" w:fill="F0F0F0"/>
            <w:vAlign w:val="center"/>
          </w:tcPr>
          <w:p w14:paraId="5B2C2E24" w14:textId="77777777" w:rsidR="005A31FB" w:rsidRDefault="00000000">
            <w:pPr>
              <w:pStyle w:val="FWTable"/>
              <w:widowControl w:val="0"/>
            </w:pPr>
            <w:r>
              <w:rPr>
                <w:b/>
              </w:rPr>
              <w:t>Trigger response and responsible actors</w:t>
            </w:r>
          </w:p>
        </w:tc>
      </w:tr>
      <w:tr w:rsidR="005A31FB" w14:paraId="45280172" w14:textId="77777777">
        <w:trPr>
          <w:cantSplit/>
          <w:jc w:val="center"/>
        </w:trPr>
        <w:tc>
          <w:tcPr>
            <w:tcW w:w="1928" w:type="dxa"/>
            <w:tcBorders>
              <w:top w:val="single" w:sz="4" w:space="0" w:color="A6A6A6"/>
              <w:left w:val="single" w:sz="4" w:space="0" w:color="A6A6A6"/>
              <w:bottom w:val="single" w:sz="4" w:space="0" w:color="A6A6A6"/>
              <w:right w:val="single" w:sz="4" w:space="0" w:color="A6A6A6"/>
            </w:tcBorders>
            <w:vAlign w:val="center"/>
          </w:tcPr>
          <w:p w14:paraId="2B1253E6" w14:textId="77777777" w:rsidR="005A31FB" w:rsidRDefault="00000000">
            <w:pPr>
              <w:pStyle w:val="FWTable"/>
              <w:widowControl w:val="0"/>
            </w:pPr>
            <w:r>
              <w:t>R1 | WP1 | M/H</w:t>
            </w:r>
          </w:p>
        </w:tc>
        <w:tc>
          <w:tcPr>
            <w:tcW w:w="8164" w:type="dxa"/>
            <w:tcBorders>
              <w:top w:val="single" w:sz="4" w:space="0" w:color="A6A6A6"/>
              <w:left w:val="single" w:sz="4" w:space="0" w:color="A6A6A6"/>
              <w:bottom w:val="single" w:sz="4" w:space="0" w:color="A6A6A6"/>
              <w:right w:val="single" w:sz="4" w:space="0" w:color="A6A6A6"/>
            </w:tcBorders>
            <w:vAlign w:val="center"/>
          </w:tcPr>
          <w:p w14:paraId="79296C2D" w14:textId="77777777" w:rsidR="005A31FB" w:rsidRDefault="00000000">
            <w:pPr>
              <w:pStyle w:val="FWTable"/>
              <w:widowControl w:val="0"/>
            </w:pPr>
            <w:r>
              <w:t>M1 archive/access inadequate or M3 freeze threatened: use only an admissible, reproducibly ready historical branch; otherwise no primary launch pending re-scope. Never fit to prospective outcomes. Fellow/ATK/MATE.</w:t>
            </w:r>
          </w:p>
        </w:tc>
      </w:tr>
      <w:tr w:rsidR="005A31FB" w14:paraId="279D84E7" w14:textId="77777777">
        <w:trPr>
          <w:cantSplit/>
          <w:jc w:val="center"/>
        </w:trPr>
        <w:tc>
          <w:tcPr>
            <w:tcW w:w="1928" w:type="dxa"/>
            <w:tcBorders>
              <w:top w:val="single" w:sz="4" w:space="0" w:color="A6A6A6"/>
              <w:left w:val="single" w:sz="4" w:space="0" w:color="A6A6A6"/>
              <w:bottom w:val="single" w:sz="4" w:space="0" w:color="A6A6A6"/>
              <w:right w:val="single" w:sz="4" w:space="0" w:color="A6A6A6"/>
            </w:tcBorders>
            <w:vAlign w:val="center"/>
          </w:tcPr>
          <w:p w14:paraId="2ACC3913" w14:textId="77777777" w:rsidR="005A31FB" w:rsidRDefault="00000000">
            <w:pPr>
              <w:pStyle w:val="FWTable"/>
              <w:widowControl w:val="0"/>
            </w:pPr>
            <w:r>
              <w:t>R2 | WP2 | M/H</w:t>
            </w:r>
          </w:p>
        </w:tc>
        <w:tc>
          <w:tcPr>
            <w:tcW w:w="8164" w:type="dxa"/>
            <w:tcBorders>
              <w:top w:val="single" w:sz="4" w:space="0" w:color="A6A6A6"/>
              <w:left w:val="single" w:sz="4" w:space="0" w:color="A6A6A6"/>
              <w:bottom w:val="single" w:sz="4" w:space="0" w:color="A6A6A6"/>
              <w:right w:val="single" w:sz="4" w:space="0" w:color="A6A6A6"/>
            </w:tcBorders>
            <w:vAlign w:val="center"/>
          </w:tcPr>
          <w:p w14:paraId="77B64C64" w14:textId="77777777" w:rsidR="005A31FB" w:rsidRDefault="00000000">
            <w:pPr>
              <w:pStyle w:val="FWTable"/>
              <w:widowControl w:val="0"/>
            </w:pPr>
            <w:r>
              <w:t>Geometry, isolation, rotation/two-season suitability fail, or producer withdraws: MS1 terms; qualified backup only if available. Preserve accessible data, separate changed sites/seasons and rephase/narrow claims. Fellow/ATK/producer.</w:t>
            </w:r>
          </w:p>
        </w:tc>
      </w:tr>
      <w:tr w:rsidR="005A31FB" w14:paraId="61AFCB05" w14:textId="77777777">
        <w:trPr>
          <w:cantSplit/>
          <w:jc w:val="center"/>
        </w:trPr>
        <w:tc>
          <w:tcPr>
            <w:tcW w:w="1928" w:type="dxa"/>
            <w:tcBorders>
              <w:top w:val="single" w:sz="4" w:space="0" w:color="A6A6A6"/>
              <w:left w:val="single" w:sz="4" w:space="0" w:color="A6A6A6"/>
              <w:bottom w:val="single" w:sz="4" w:space="0" w:color="A6A6A6"/>
              <w:right w:val="single" w:sz="4" w:space="0" w:color="A6A6A6"/>
            </w:tcBorders>
            <w:vAlign w:val="center"/>
          </w:tcPr>
          <w:p w14:paraId="61004D09" w14:textId="77777777" w:rsidR="005A31FB" w:rsidRDefault="00000000">
            <w:pPr>
              <w:pStyle w:val="FWTable"/>
              <w:widowControl w:val="0"/>
            </w:pPr>
            <w:r>
              <w:t>R3 | WP2 | H/M</w:t>
            </w:r>
          </w:p>
        </w:tc>
        <w:tc>
          <w:tcPr>
            <w:tcW w:w="8164" w:type="dxa"/>
            <w:tcBorders>
              <w:top w:val="single" w:sz="4" w:space="0" w:color="A6A6A6"/>
              <w:left w:val="single" w:sz="4" w:space="0" w:color="A6A6A6"/>
              <w:bottom w:val="single" w:sz="4" w:space="0" w:color="A6A6A6"/>
              <w:right w:val="single" w:sz="4" w:space="0" w:color="A6A6A6"/>
            </w:tcBorders>
            <w:vAlign w:val="center"/>
          </w:tcPr>
          <w:p w14:paraId="6398382C" w14:textId="77777777" w:rsidR="005A31FB" w:rsidRDefault="00000000">
            <w:pPr>
              <w:pStyle w:val="FWTable"/>
              <w:widowControl w:val="0"/>
            </w:pPr>
            <w:r>
              <w:t>Clouds/sensor failure, insufficient pixels, wet-season low stress or heat/pest confounding: log missingness, prevalence and indeterminate labels; valid evidence only, no forced stress or relaxed labels. UAV supplementary. Fellow/ELTE/producer.</w:t>
            </w:r>
          </w:p>
        </w:tc>
      </w:tr>
      <w:tr w:rsidR="005A31FB" w14:paraId="05F707F8" w14:textId="77777777">
        <w:trPr>
          <w:cantSplit/>
          <w:jc w:val="center"/>
        </w:trPr>
        <w:tc>
          <w:tcPr>
            <w:tcW w:w="1928" w:type="dxa"/>
            <w:tcBorders>
              <w:top w:val="single" w:sz="4" w:space="0" w:color="A6A6A6"/>
              <w:left w:val="single" w:sz="4" w:space="0" w:color="A6A6A6"/>
              <w:bottom w:val="single" w:sz="4" w:space="0" w:color="A6A6A6"/>
              <w:right w:val="single" w:sz="4" w:space="0" w:color="A6A6A6"/>
            </w:tcBorders>
            <w:vAlign w:val="center"/>
          </w:tcPr>
          <w:p w14:paraId="300C7342" w14:textId="77777777" w:rsidR="005A31FB" w:rsidRDefault="00000000">
            <w:pPr>
              <w:pStyle w:val="FWTable"/>
              <w:widowControl w:val="0"/>
            </w:pPr>
            <w:r>
              <w:t>R4 | WP2–3 | M/H</w:t>
            </w:r>
          </w:p>
        </w:tc>
        <w:tc>
          <w:tcPr>
            <w:tcW w:w="8164" w:type="dxa"/>
            <w:tcBorders>
              <w:top w:val="single" w:sz="4" w:space="0" w:color="A6A6A6"/>
              <w:left w:val="single" w:sz="4" w:space="0" w:color="A6A6A6"/>
              <w:bottom w:val="single" w:sz="4" w:space="0" w:color="A6A6A6"/>
              <w:right w:val="single" w:sz="4" w:space="0" w:color="A6A6A6"/>
            </w:tcBorders>
            <w:vAlign w:val="center"/>
          </w:tcPr>
          <w:p w14:paraId="68AE68CA" w14:textId="77777777" w:rsidR="005A31FB" w:rsidRDefault="00000000">
            <w:pPr>
              <w:pStyle w:val="FWTable"/>
              <w:widowControl w:val="0"/>
            </w:pPr>
            <w:r>
              <w:t>Poor/imprecise transfer: unchanged primary results first; separate recalibration; restrict MVP/placement to supported functions or research-only evidence. Negative transfer fulfils reporting, not advisory validation. Fellow/ATK/AgroVIR.</w:t>
            </w:r>
          </w:p>
        </w:tc>
      </w:tr>
      <w:tr w:rsidR="005A31FB" w14:paraId="39E43079" w14:textId="77777777">
        <w:trPr>
          <w:cantSplit/>
          <w:jc w:val="center"/>
        </w:trPr>
        <w:tc>
          <w:tcPr>
            <w:tcW w:w="1928" w:type="dxa"/>
            <w:tcBorders>
              <w:top w:val="single" w:sz="4" w:space="0" w:color="A6A6A6"/>
              <w:left w:val="single" w:sz="4" w:space="0" w:color="A6A6A6"/>
              <w:bottom w:val="single" w:sz="4" w:space="0" w:color="A6A6A6"/>
              <w:right w:val="single" w:sz="4" w:space="0" w:color="A6A6A6"/>
            </w:tcBorders>
            <w:vAlign w:val="center"/>
          </w:tcPr>
          <w:p w14:paraId="70F96EDC" w14:textId="77777777" w:rsidR="005A31FB" w:rsidRDefault="00000000">
            <w:pPr>
              <w:pStyle w:val="FWTable"/>
              <w:widowControl w:val="0"/>
            </w:pPr>
            <w:r>
              <w:t>R5 | WP1–2 | L/H</w:t>
            </w:r>
          </w:p>
        </w:tc>
        <w:tc>
          <w:tcPr>
            <w:tcW w:w="8164" w:type="dxa"/>
            <w:tcBorders>
              <w:top w:val="single" w:sz="4" w:space="0" w:color="A6A6A6"/>
              <w:left w:val="single" w:sz="4" w:space="0" w:color="A6A6A6"/>
              <w:bottom w:val="single" w:sz="4" w:space="0" w:color="A6A6A6"/>
              <w:right w:val="single" w:sz="4" w:space="0" w:color="A6A6A6"/>
            </w:tcBorders>
            <w:vAlign w:val="center"/>
          </w:tcPr>
          <w:p w14:paraId="2C1EEFD9" w14:textId="77777777" w:rsidR="005A31FB" w:rsidRDefault="00000000">
            <w:pPr>
              <w:pStyle w:val="FWTable"/>
              <w:widowControl w:val="0"/>
            </w:pPr>
            <w:r>
              <w:t>Fellow/supervisor absence or essential operator/instrument access missed: ATK/ELTE arrange qualified cover/review before work; equivalent facilities only if accessible. Without cover, suspend affected work and assess seasonal loss.</w:t>
            </w:r>
          </w:p>
        </w:tc>
      </w:tr>
      <w:tr w:rsidR="005A31FB" w14:paraId="0A6F90B9" w14:textId="77777777">
        <w:trPr>
          <w:cantSplit/>
          <w:jc w:val="center"/>
        </w:trPr>
        <w:tc>
          <w:tcPr>
            <w:tcW w:w="1928" w:type="dxa"/>
            <w:tcBorders>
              <w:top w:val="single" w:sz="4" w:space="0" w:color="A6A6A6"/>
              <w:left w:val="single" w:sz="4" w:space="0" w:color="A6A6A6"/>
              <w:bottom w:val="single" w:sz="4" w:space="0" w:color="A6A6A6"/>
              <w:right w:val="single" w:sz="4" w:space="0" w:color="A6A6A6"/>
            </w:tcBorders>
            <w:vAlign w:val="center"/>
          </w:tcPr>
          <w:p w14:paraId="0224673B" w14:textId="77777777" w:rsidR="005A31FB" w:rsidRDefault="00000000">
            <w:pPr>
              <w:pStyle w:val="FWTable"/>
              <w:widowControl w:val="0"/>
            </w:pPr>
            <w:r>
              <w:t>R6 | WP3–5 | M/M</w:t>
            </w:r>
          </w:p>
        </w:tc>
        <w:tc>
          <w:tcPr>
            <w:tcW w:w="8164" w:type="dxa"/>
            <w:tcBorders>
              <w:top w:val="single" w:sz="4" w:space="0" w:color="A6A6A6"/>
              <w:left w:val="single" w:sz="4" w:space="0" w:color="A6A6A6"/>
              <w:bottom w:val="single" w:sz="4" w:space="0" w:color="A6A6A6"/>
              <w:right w:val="single" w:sz="4" w:space="0" w:color="A6A6A6"/>
            </w:tcBorders>
            <w:vAlign w:val="center"/>
          </w:tcPr>
          <w:p w14:paraId="4998EAAB" w14:textId="77777777" w:rsidR="005A31FB" w:rsidRDefault="00000000">
            <w:pPr>
              <w:pStyle w:val="FWTable"/>
              <w:widowControl w:val="0"/>
            </w:pPr>
            <w:r>
              <w:t>Engineering cost/IP/provider or placement failure; M20 backlog: pretest reporting; agree rights/scope before paid work; cut optional UI first. Replacement only if qualified/secured; placement change requires approval. Fellow/ATK/Krumatic/AgroVIR.</w:t>
            </w:r>
          </w:p>
        </w:tc>
      </w:tr>
    </w:tbl>
    <w:p w14:paraId="750FB137" w14:textId="77777777" w:rsidR="005A31FB" w:rsidRDefault="00000000">
      <w:pPr>
        <w:pStyle w:val="FWCaption"/>
      </w:pPr>
      <w:r>
        <w:rPr>
          <w:noProof/>
        </w:rPr>
        <w:drawing>
          <wp:inline distT="0" distB="0" distL="0" distR="0" wp14:anchorId="55EAA56C" wp14:editId="25D8F953">
            <wp:extent cx="6408000" cy="2376000"/>
            <wp:effectExtent l="0" t="0" r="0" b="0"/>
            <wp:docPr id="5" name="Image3" descr="FIELDWISE work plan with five work packages, twelve ELTE months, deliverables and six decision gates; MS1 includes model freeze and field read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8"/>
                    <a:stretch>
                      <a:fillRect/>
                    </a:stretch>
                  </pic:blipFill>
                  <pic:spPr bwMode="auto">
                    <a:xfrm>
                      <a:off x="0" y="0"/>
                      <a:ext cx="6408000" cy="2376000"/>
                    </a:xfrm>
                    <a:prstGeom prst="rect">
                      <a:avLst/>
                    </a:prstGeom>
                    <a:noFill/>
                  </pic:spPr>
                </pic:pic>
              </a:graphicData>
            </a:graphic>
          </wp:inline>
        </w:drawing>
      </w:r>
    </w:p>
    <w:p w14:paraId="760E8B08" w14:textId="77777777" w:rsidR="005A31FB" w:rsidRDefault="00000000">
      <w:pPr>
        <w:keepNext/>
        <w:pageBreakBefore/>
        <w:spacing w:after="0" w:line="240" w:lineRule="auto"/>
        <w:contextualSpacing/>
        <w:jc w:val="both"/>
        <w:rPr>
          <w:rFonts w:ascii="Times New Roman" w:hAnsi="Times New Roman"/>
          <w:sz w:val="24"/>
          <w:szCs w:val="24"/>
          <w:lang w:val="en-GB"/>
        </w:rPr>
      </w:pPr>
      <w:r>
        <w:rPr>
          <w:rFonts w:ascii="Times New Roman" w:eastAsia="Times New Roman" w:hAnsi="Times New Roman"/>
          <w:b/>
          <w:bCs/>
          <w:i/>
          <w:iCs/>
          <w:szCs w:val="24"/>
          <w:lang w:val="en-GB"/>
        </w:rPr>
        <w:lastRenderedPageBreak/>
        <w:t>3.2</w:t>
      </w:r>
      <w:r>
        <w:rPr>
          <w:rFonts w:ascii="Times New Roman" w:eastAsia="Times New Roman" w:hAnsi="Times New Roman"/>
          <w:szCs w:val="24"/>
        </w:rPr>
        <w:tab/>
      </w:r>
      <w:r>
        <w:rPr>
          <w:rFonts w:ascii="Times New Roman" w:eastAsia="Times New Roman" w:hAnsi="Times New Roman"/>
          <w:b/>
          <w:bCs/>
          <w:i/>
          <w:iCs/>
          <w:szCs w:val="24"/>
          <w:lang w:val="en-GB"/>
        </w:rPr>
        <w:t>Quality and capacity of the host institutions and participating organisations, including hosting arrangements</w:t>
      </w:r>
      <w:r>
        <w:rPr>
          <w:rFonts w:ascii="Times New Roman" w:eastAsia="Times New Roman" w:hAnsi="Times New Roman"/>
          <w:szCs w:val="24"/>
        </w:rPr>
        <w:t xml:space="preserve"> </w:t>
      </w:r>
    </w:p>
    <w:p w14:paraId="26F89C15" w14:textId="77777777" w:rsidR="005A31FB" w:rsidRDefault="00000000">
      <w:pPr>
        <w:pStyle w:val="FWBody"/>
      </w:pPr>
      <w:r>
        <w:t>The sole beneficiary and recruiting organisation is HUN-REN ATK (facilities: Part B-2 Section 5). Required data-use, service, secondment-access and field-operation arrangements are completed before the corresponding activity or access begins, and none is claimed as signed or held. Resources are prioritised in this order: independent physiological reference and replicated field design; soil-water, weather and irrigation monitoring; essential spectral/EO acquisition; the minimum scientifically valid web MVP; optional UAV work, interface polish, extra travel or events last.</w:t>
      </w:r>
    </w:p>
    <w:tbl>
      <w:tblPr>
        <w:tblW w:w="10091" w:type="dxa"/>
        <w:jc w:val="center"/>
        <w:tblLayout w:type="fixed"/>
        <w:tblCellMar>
          <w:top w:w="18" w:type="dxa"/>
          <w:left w:w="40" w:type="dxa"/>
          <w:bottom w:w="18" w:type="dxa"/>
          <w:right w:w="40" w:type="dxa"/>
        </w:tblCellMar>
        <w:tblLook w:val="0000" w:firstRow="0" w:lastRow="0" w:firstColumn="0" w:lastColumn="0" w:noHBand="0" w:noVBand="0"/>
      </w:tblPr>
      <w:tblGrid>
        <w:gridCol w:w="2211"/>
        <w:gridCol w:w="7880"/>
      </w:tblGrid>
      <w:tr w:rsidR="005A31FB" w14:paraId="25E4E46D" w14:textId="77777777">
        <w:trPr>
          <w:cantSplit/>
          <w:tblHeader/>
          <w:jc w:val="center"/>
        </w:trPr>
        <w:tc>
          <w:tcPr>
            <w:tcW w:w="2211" w:type="dxa"/>
            <w:tcBorders>
              <w:top w:val="single" w:sz="4" w:space="0" w:color="000000"/>
              <w:left w:val="single" w:sz="4" w:space="0" w:color="000000"/>
              <w:bottom w:val="single" w:sz="4" w:space="0" w:color="000000"/>
              <w:right w:val="single" w:sz="4" w:space="0" w:color="000000"/>
            </w:tcBorders>
            <w:vAlign w:val="center"/>
          </w:tcPr>
          <w:p w14:paraId="2A8893F1" w14:textId="77777777" w:rsidR="005A31FB" w:rsidRDefault="00000000">
            <w:pPr>
              <w:pStyle w:val="FWTable"/>
              <w:widowControl w:val="0"/>
              <w:rPr>
                <w:b/>
                <w:bCs/>
                <w:szCs w:val="24"/>
              </w:rPr>
            </w:pPr>
            <w:proofErr w:type="spellStart"/>
            <w:r>
              <w:rPr>
                <w:b/>
                <w:bCs/>
                <w:szCs w:val="24"/>
              </w:rPr>
              <w:t>Organisation</w:t>
            </w:r>
            <w:proofErr w:type="spellEnd"/>
            <w:r>
              <w:rPr>
                <w:b/>
                <w:bCs/>
                <w:szCs w:val="24"/>
              </w:rPr>
              <w:t xml:space="preserve"> </w:t>
            </w:r>
          </w:p>
        </w:tc>
        <w:tc>
          <w:tcPr>
            <w:tcW w:w="7880" w:type="dxa"/>
            <w:tcBorders>
              <w:top w:val="single" w:sz="4" w:space="0" w:color="000000"/>
              <w:left w:val="single" w:sz="4" w:space="0" w:color="000000"/>
              <w:bottom w:val="single" w:sz="4" w:space="0" w:color="000000"/>
              <w:right w:val="single" w:sz="4" w:space="0" w:color="000000"/>
            </w:tcBorders>
            <w:vAlign w:val="center"/>
          </w:tcPr>
          <w:p w14:paraId="54A054DF" w14:textId="77777777" w:rsidR="005A31FB" w:rsidRDefault="00000000">
            <w:pPr>
              <w:pStyle w:val="FWTable"/>
              <w:widowControl w:val="0"/>
              <w:rPr>
                <w:b/>
                <w:bCs/>
                <w:szCs w:val="24"/>
              </w:rPr>
            </w:pPr>
            <w:r>
              <w:rPr>
                <w:b/>
                <w:bCs/>
                <w:szCs w:val="24"/>
              </w:rPr>
              <w:t>Capacity and arrangements</w:t>
            </w:r>
          </w:p>
        </w:tc>
      </w:tr>
      <w:tr w:rsidR="005A31FB" w14:paraId="51F0C27A" w14:textId="77777777">
        <w:trPr>
          <w:cantSplit/>
          <w:jc w:val="center"/>
        </w:trPr>
        <w:tc>
          <w:tcPr>
            <w:tcW w:w="2211" w:type="dxa"/>
            <w:tcBorders>
              <w:top w:val="single" w:sz="4" w:space="0" w:color="000000"/>
              <w:left w:val="single" w:sz="4" w:space="0" w:color="000000"/>
              <w:bottom w:val="single" w:sz="4" w:space="0" w:color="000000"/>
              <w:right w:val="single" w:sz="4" w:space="0" w:color="000000"/>
            </w:tcBorders>
            <w:vAlign w:val="center"/>
          </w:tcPr>
          <w:p w14:paraId="591BF546" w14:textId="77777777" w:rsidR="005A31FB" w:rsidRDefault="00000000">
            <w:pPr>
              <w:pStyle w:val="FWTable"/>
              <w:widowControl w:val="0"/>
              <w:rPr>
                <w:szCs w:val="24"/>
              </w:rPr>
            </w:pPr>
            <w:r>
              <w:rPr>
                <w:b/>
                <w:bCs/>
                <w:szCs w:val="24"/>
              </w:rPr>
              <w:t xml:space="preserve">HUN-REN ATK – beneficiary, recruiting </w:t>
            </w:r>
            <w:proofErr w:type="spellStart"/>
            <w:r>
              <w:rPr>
                <w:b/>
                <w:bCs/>
                <w:szCs w:val="24"/>
              </w:rPr>
              <w:t>organisation</w:t>
            </w:r>
            <w:proofErr w:type="spellEnd"/>
            <w:r>
              <w:rPr>
                <w:b/>
                <w:bCs/>
                <w:szCs w:val="24"/>
              </w:rPr>
              <w:t xml:space="preserve"> and academic host</w:t>
            </w:r>
          </w:p>
        </w:tc>
        <w:tc>
          <w:tcPr>
            <w:tcW w:w="7880" w:type="dxa"/>
            <w:tcBorders>
              <w:top w:val="single" w:sz="4" w:space="0" w:color="000000"/>
              <w:left w:val="single" w:sz="4" w:space="0" w:color="000000"/>
              <w:bottom w:val="single" w:sz="4" w:space="0" w:color="000000"/>
              <w:right w:val="single" w:sz="4" w:space="0" w:color="000000"/>
            </w:tcBorders>
            <w:vAlign w:val="center"/>
          </w:tcPr>
          <w:p w14:paraId="209D69CE" w14:textId="77777777" w:rsidR="005A31FB" w:rsidRDefault="00000000">
            <w:pPr>
              <w:pStyle w:val="FWTable"/>
              <w:widowControl w:val="0"/>
              <w:rPr>
                <w:szCs w:val="24"/>
              </w:rPr>
            </w:pPr>
            <w:r>
              <w:t>HUN-REN organisation in Martonvásár; fellowship anchored in the Agricultural Institute. Hosting plan: employment in Plant Physiology and Metabolomics; M1 induction covers workspace, laboratory/instrument access, workstation, secure versioned storage and remote EO access during ATK months; HR, reimbursement, data/IP and grants support before first use. ATK approves permitted resources for reference, monitoring, field operations and engineering before commitment.</w:t>
            </w:r>
          </w:p>
        </w:tc>
      </w:tr>
      <w:tr w:rsidR="005A31FB" w14:paraId="4171FE60" w14:textId="77777777">
        <w:trPr>
          <w:cantSplit/>
          <w:jc w:val="center"/>
        </w:trPr>
        <w:tc>
          <w:tcPr>
            <w:tcW w:w="2211" w:type="dxa"/>
            <w:tcBorders>
              <w:top w:val="single" w:sz="4" w:space="0" w:color="000000"/>
              <w:left w:val="single" w:sz="4" w:space="0" w:color="000000"/>
              <w:bottom w:val="single" w:sz="4" w:space="0" w:color="000000"/>
              <w:right w:val="single" w:sz="4" w:space="0" w:color="000000"/>
            </w:tcBorders>
            <w:vAlign w:val="center"/>
          </w:tcPr>
          <w:p w14:paraId="1C619678" w14:textId="77777777" w:rsidR="005A31FB" w:rsidRDefault="00000000">
            <w:pPr>
              <w:pStyle w:val="FWTable"/>
              <w:widowControl w:val="0"/>
              <w:rPr>
                <w:szCs w:val="24"/>
              </w:rPr>
            </w:pPr>
            <w:r>
              <w:rPr>
                <w:b/>
                <w:bCs/>
                <w:szCs w:val="24"/>
              </w:rPr>
              <w:t>ELTE – 12-month research secondment host</w:t>
            </w:r>
          </w:p>
        </w:tc>
        <w:tc>
          <w:tcPr>
            <w:tcW w:w="7880" w:type="dxa"/>
            <w:tcBorders>
              <w:top w:val="single" w:sz="4" w:space="0" w:color="000000"/>
              <w:left w:val="single" w:sz="4" w:space="0" w:color="000000"/>
              <w:bottom w:val="single" w:sz="4" w:space="0" w:color="000000"/>
              <w:right w:val="single" w:sz="4" w:space="0" w:color="000000"/>
            </w:tcBorders>
            <w:vAlign w:val="center"/>
          </w:tcPr>
          <w:p w14:paraId="66D62C65" w14:textId="77777777" w:rsidR="005A31FB" w:rsidRDefault="00000000">
            <w:pPr>
              <w:pStyle w:val="FWTable"/>
              <w:widowControl w:val="0"/>
              <w:rPr>
                <w:szCs w:val="24"/>
              </w:rPr>
            </w:pPr>
            <w:r>
              <w:t>Institute of Cartography and Geoinformatics, with Prof. András Jung as co-supervisor/secondment supervisor; expertise and block outputs in §1.3. Instrument/operator access and field travel are arranged before each block. Dr Zsófia Varga supports targeted UAV work where required/feasible; it remains supplementary and never replaces Sentinel-2 in primary transfer testing.</w:t>
            </w:r>
          </w:p>
        </w:tc>
      </w:tr>
      <w:tr w:rsidR="005A31FB" w14:paraId="60E9C612" w14:textId="77777777">
        <w:trPr>
          <w:cantSplit/>
          <w:jc w:val="center"/>
        </w:trPr>
        <w:tc>
          <w:tcPr>
            <w:tcW w:w="2211" w:type="dxa"/>
            <w:tcBorders>
              <w:top w:val="single" w:sz="4" w:space="0" w:color="000000"/>
              <w:left w:val="single" w:sz="4" w:space="0" w:color="000000"/>
              <w:bottom w:val="single" w:sz="4" w:space="0" w:color="000000"/>
              <w:right w:val="single" w:sz="4" w:space="0" w:color="000000"/>
            </w:tcBorders>
            <w:vAlign w:val="center"/>
          </w:tcPr>
          <w:p w14:paraId="4D3880FD" w14:textId="77777777" w:rsidR="005A31FB" w:rsidRDefault="00000000">
            <w:pPr>
              <w:pStyle w:val="FWTable"/>
              <w:widowControl w:val="0"/>
              <w:rPr>
                <w:szCs w:val="24"/>
              </w:rPr>
            </w:pPr>
            <w:r>
              <w:rPr>
                <w:b/>
                <w:bCs/>
                <w:szCs w:val="24"/>
              </w:rPr>
              <w:t>MATE – historical-data and irrigation-science contributor</w:t>
            </w:r>
          </w:p>
        </w:tc>
        <w:tc>
          <w:tcPr>
            <w:tcW w:w="7880" w:type="dxa"/>
            <w:tcBorders>
              <w:top w:val="single" w:sz="4" w:space="0" w:color="000000"/>
              <w:left w:val="single" w:sz="4" w:space="0" w:color="000000"/>
              <w:bottom w:val="single" w:sz="4" w:space="0" w:color="000000"/>
              <w:right w:val="single" w:sz="4" w:space="0" w:color="000000"/>
            </w:tcBorders>
            <w:vAlign w:val="center"/>
          </w:tcPr>
          <w:p w14:paraId="0BB95B21" w14:textId="77777777" w:rsidR="005A31FB" w:rsidRDefault="00000000">
            <w:pPr>
              <w:pStyle w:val="FWTable"/>
              <w:widowControl w:val="0"/>
              <w:rPr>
                <w:szCs w:val="24"/>
              </w:rPr>
            </w:pPr>
            <w:r>
              <w:t>The 2022–2026 tomato archive covers physiological, spectral, soil-water, weather and agronomic observations. Dr Sándor Takács contributes irrigation/AquaCrop expertise; Prof. Gábor Milics precision agriculture. M1 access/adequacy audit (§1.2) defines eligible records and permitted uses; redistribution/commercial reuse is not assumed.</w:t>
            </w:r>
          </w:p>
        </w:tc>
      </w:tr>
      <w:tr w:rsidR="005A31FB" w14:paraId="28DD5994" w14:textId="77777777">
        <w:trPr>
          <w:cantSplit/>
          <w:jc w:val="center"/>
        </w:trPr>
        <w:tc>
          <w:tcPr>
            <w:tcW w:w="2211" w:type="dxa"/>
            <w:tcBorders>
              <w:top w:val="single" w:sz="4" w:space="0" w:color="000000"/>
              <w:left w:val="single" w:sz="4" w:space="0" w:color="000000"/>
              <w:bottom w:val="single" w:sz="4" w:space="0" w:color="000000"/>
              <w:right w:val="single" w:sz="4" w:space="0" w:color="000000"/>
            </w:tcBorders>
            <w:vAlign w:val="center"/>
          </w:tcPr>
          <w:p w14:paraId="03608C84" w14:textId="77777777" w:rsidR="005A31FB" w:rsidRDefault="00000000">
            <w:pPr>
              <w:pStyle w:val="FWTable"/>
              <w:widowControl w:val="0"/>
              <w:rPr>
                <w:sz w:val="24"/>
                <w:szCs w:val="24"/>
              </w:rPr>
            </w:pPr>
            <w:proofErr w:type="spellStart"/>
            <w:r>
              <w:rPr>
                <w:b/>
                <w:bCs/>
                <w:szCs w:val="24"/>
              </w:rPr>
              <w:t>Krumatic</w:t>
            </w:r>
            <w:proofErr w:type="spellEnd"/>
            <w:r>
              <w:rPr>
                <w:b/>
                <w:bCs/>
                <w:szCs w:val="24"/>
              </w:rPr>
              <w:t xml:space="preserve"> EOOD – remunerated software-engineering support</w:t>
            </w:r>
          </w:p>
        </w:tc>
        <w:tc>
          <w:tcPr>
            <w:tcW w:w="7880" w:type="dxa"/>
            <w:tcBorders>
              <w:top w:val="single" w:sz="4" w:space="0" w:color="000000"/>
              <w:left w:val="single" w:sz="4" w:space="0" w:color="000000"/>
              <w:bottom w:val="single" w:sz="4" w:space="0" w:color="000000"/>
              <w:right w:val="single" w:sz="4" w:space="0" w:color="000000"/>
            </w:tcBorders>
            <w:vAlign w:val="center"/>
          </w:tcPr>
          <w:p w14:paraId="29FB4D9D" w14:textId="77777777" w:rsidR="005A31FB" w:rsidRDefault="00000000">
            <w:pPr>
              <w:pStyle w:val="FWTable"/>
              <w:widowControl w:val="0"/>
              <w:rPr>
                <w:szCs w:val="24"/>
              </w:rPr>
            </w:pPr>
            <w:r>
              <w:t>Paid engineering extends the DrR desktop prototype; science, validation and interpretation remain with fellow/ATK. Before paid work ATK checks capability/affordability and contracts ingestion, provenance, frozen inference, uncertainty, acceptance tests, source delivery and rights. Lean MVP defers dashboards/production integration, preserving reproducible inference and invalid-input handling.</w:t>
            </w:r>
          </w:p>
        </w:tc>
      </w:tr>
      <w:tr w:rsidR="005A31FB" w14:paraId="1725BC2B" w14:textId="77777777">
        <w:trPr>
          <w:cantSplit/>
          <w:jc w:val="center"/>
        </w:trPr>
        <w:tc>
          <w:tcPr>
            <w:tcW w:w="2211" w:type="dxa"/>
            <w:tcBorders>
              <w:top w:val="single" w:sz="4" w:space="0" w:color="000000"/>
              <w:left w:val="single" w:sz="4" w:space="0" w:color="000000"/>
              <w:bottom w:val="single" w:sz="4" w:space="0" w:color="000000"/>
              <w:right w:val="single" w:sz="4" w:space="0" w:color="000000"/>
            </w:tcBorders>
            <w:vAlign w:val="center"/>
          </w:tcPr>
          <w:p w14:paraId="4EC23890" w14:textId="77777777" w:rsidR="005A31FB" w:rsidRDefault="00000000">
            <w:pPr>
              <w:pStyle w:val="FWTable"/>
              <w:widowControl w:val="0"/>
              <w:rPr>
                <w:sz w:val="24"/>
                <w:szCs w:val="24"/>
              </w:rPr>
            </w:pPr>
            <w:proofErr w:type="spellStart"/>
            <w:r>
              <w:rPr>
                <w:b/>
                <w:bCs/>
                <w:szCs w:val="24"/>
              </w:rPr>
              <w:t>AgroVIR</w:t>
            </w:r>
            <w:proofErr w:type="spellEnd"/>
            <w:r>
              <w:rPr>
                <w:b/>
                <w:bCs/>
                <w:szCs w:val="24"/>
              </w:rPr>
              <w:t xml:space="preserve"> Kft. – non-academic placement host</w:t>
            </w:r>
          </w:p>
        </w:tc>
        <w:tc>
          <w:tcPr>
            <w:tcW w:w="7880" w:type="dxa"/>
            <w:tcBorders>
              <w:top w:val="single" w:sz="4" w:space="0" w:color="000000"/>
              <w:left w:val="single" w:sz="4" w:space="0" w:color="000000"/>
              <w:bottom w:val="single" w:sz="4" w:space="0" w:color="000000"/>
              <w:right w:val="single" w:sz="4" w:space="0" w:color="000000"/>
            </w:tcBorders>
            <w:vAlign w:val="center"/>
          </w:tcPr>
          <w:p w14:paraId="0C00D631" w14:textId="77777777" w:rsidR="005A31FB" w:rsidRDefault="00000000">
            <w:pPr>
              <w:pStyle w:val="FWTable"/>
              <w:widowControl w:val="0"/>
              <w:rPr>
                <w:szCs w:val="24"/>
              </w:rPr>
            </w:pPr>
            <w:r>
              <w:t>Hungarian FMIS company providing requirements/feedback and M25–M30 placement for evidence-gated MVP assessment of usability, decisions, data and interoperability. An operational supervisor/contact and evaluation/supervision plan are agreed before placement. Proprietary customer-data access is not a project dependency.</w:t>
            </w:r>
          </w:p>
        </w:tc>
      </w:tr>
      <w:tr w:rsidR="005A31FB" w14:paraId="4783CE81" w14:textId="77777777">
        <w:trPr>
          <w:cantSplit/>
          <w:jc w:val="center"/>
        </w:trPr>
        <w:tc>
          <w:tcPr>
            <w:tcW w:w="2211" w:type="dxa"/>
            <w:tcBorders>
              <w:top w:val="single" w:sz="4" w:space="0" w:color="000000"/>
              <w:left w:val="single" w:sz="4" w:space="0" w:color="000000"/>
              <w:bottom w:val="single" w:sz="4" w:space="0" w:color="000000"/>
              <w:right w:val="single" w:sz="4" w:space="0" w:color="000000"/>
            </w:tcBorders>
            <w:vAlign w:val="center"/>
          </w:tcPr>
          <w:p w14:paraId="1DB07119" w14:textId="77777777" w:rsidR="005A31FB" w:rsidRDefault="00000000">
            <w:pPr>
              <w:pStyle w:val="FWTable"/>
              <w:widowControl w:val="0"/>
              <w:rPr>
                <w:szCs w:val="24"/>
              </w:rPr>
            </w:pPr>
            <w:r>
              <w:rPr>
                <w:b/>
                <w:bCs/>
                <w:szCs w:val="24"/>
              </w:rPr>
              <w:t>Commercial farmer/producer – prospective field-trial host and validation environment</w:t>
            </w:r>
          </w:p>
        </w:tc>
        <w:tc>
          <w:tcPr>
            <w:tcW w:w="7880" w:type="dxa"/>
            <w:tcBorders>
              <w:top w:val="single" w:sz="4" w:space="0" w:color="000000"/>
              <w:left w:val="single" w:sz="4" w:space="0" w:color="000000"/>
              <w:bottom w:val="single" w:sz="4" w:space="0" w:color="000000"/>
              <w:right w:val="single" w:sz="4" w:space="0" w:color="000000"/>
            </w:tcBorders>
            <w:vAlign w:val="center"/>
          </w:tcPr>
          <w:p w14:paraId="14EF9DC2" w14:textId="77777777" w:rsidR="005A31FB" w:rsidRDefault="00000000">
            <w:pPr>
              <w:pStyle w:val="FWTable"/>
              <w:widowControl w:val="0"/>
              <w:rPr>
                <w:szCs w:val="24"/>
              </w:rPr>
            </w:pPr>
            <w:r>
              <w:t>MS1, before planting/interventions, requires identified polygons, irrigation isolation, reference controls, soil/crop history and agronomic review of two-season rotation suitability. A producer contact and host-approved terms cover land, management restrictions, irrigation labour, produce/data rights, withdrawal, costs and crop-loss risk; any necessary compensation requires approved funding. ATK/fellow coordinate operators, timed circuit, calibration and per-area monitoring (§1.2). No site or backup is secured by this plan; absent essentials, do not launch and seek approved rephase/re-scope. Science and interpretation remain with fellow/ATK.</w:t>
            </w:r>
          </w:p>
        </w:tc>
      </w:tr>
      <w:tr w:rsidR="005A31FB" w14:paraId="24C10527" w14:textId="77777777">
        <w:trPr>
          <w:cantSplit/>
          <w:jc w:val="center"/>
        </w:trPr>
        <w:tc>
          <w:tcPr>
            <w:tcW w:w="2211" w:type="dxa"/>
            <w:tcBorders>
              <w:top w:val="single" w:sz="4" w:space="0" w:color="000000"/>
              <w:left w:val="single" w:sz="4" w:space="0" w:color="000000"/>
              <w:bottom w:val="single" w:sz="4" w:space="0" w:color="000000"/>
              <w:right w:val="single" w:sz="4" w:space="0" w:color="000000"/>
            </w:tcBorders>
            <w:vAlign w:val="center"/>
          </w:tcPr>
          <w:p w14:paraId="2695F917" w14:textId="77777777" w:rsidR="005A31FB" w:rsidRDefault="00000000">
            <w:pPr>
              <w:pStyle w:val="FWTable"/>
              <w:widowControl w:val="0"/>
              <w:rPr>
                <w:szCs w:val="24"/>
              </w:rPr>
            </w:pPr>
            <w:r>
              <w:rPr>
                <w:b/>
                <w:bCs/>
                <w:szCs w:val="24"/>
              </w:rPr>
              <w:t>MVCRI, Plovdiv – post-MSCA continuation route</w:t>
            </w:r>
          </w:p>
        </w:tc>
        <w:tc>
          <w:tcPr>
            <w:tcW w:w="7880" w:type="dxa"/>
            <w:tcBorders>
              <w:top w:val="single" w:sz="4" w:space="0" w:color="000000"/>
              <w:left w:val="single" w:sz="4" w:space="0" w:color="000000"/>
              <w:bottom w:val="single" w:sz="4" w:space="0" w:color="000000"/>
              <w:right w:val="single" w:sz="4" w:space="0" w:color="000000"/>
            </w:tcBorders>
            <w:vAlign w:val="center"/>
          </w:tcPr>
          <w:p w14:paraId="6281B31B" w14:textId="77777777" w:rsidR="005A31FB" w:rsidRDefault="00000000">
            <w:pPr>
              <w:pStyle w:val="FWTable"/>
              <w:widowControl w:val="0"/>
              <w:rPr>
                <w:szCs w:val="24"/>
              </w:rPr>
            </w:pPr>
            <w:r>
              <w:rPr>
                <w:b/>
              </w:rPr>
              <w:t>Prof. Ganeva</w:t>
            </w:r>
            <w:r>
              <w:t xml:space="preserve"> supports a potential post-MSCA continuation route at MVCRI for crop-specific recalibration and transfer to Bulgarian production conditions; it is not a guaranteed position, funded activity or multi-crop validation programme. </w:t>
            </w:r>
            <w:r>
              <w:rPr>
                <w:b/>
              </w:rPr>
              <w:t>MVCRI has no core in-action validation role during the project.</w:t>
            </w:r>
          </w:p>
        </w:tc>
      </w:tr>
    </w:tbl>
    <w:p w14:paraId="1BEF63B1" w14:textId="77777777" w:rsidR="00D81E6D" w:rsidRDefault="00D81E6D">
      <w:pPr>
        <w:spacing w:after="0" w:line="240" w:lineRule="auto"/>
      </w:pPr>
    </w:p>
    <w:sectPr w:rsidR="00D81E6D">
      <w:headerReference w:type="default" r:id="rId9"/>
      <w:footerReference w:type="even" r:id="rId10"/>
      <w:footerReference w:type="default" r:id="rId11"/>
      <w:headerReference w:type="first" r:id="rId12"/>
      <w:footerReference w:type="first" r:id="rId13"/>
      <w:pgSz w:w="11906" w:h="16838"/>
      <w:pgMar w:top="851" w:right="851" w:bottom="851" w:left="851" w:header="708" w:footer="708" w:gutter="0"/>
      <w:pgNumType w:start="1"/>
      <w:cols w:space="708"/>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C46E4" w14:textId="77777777" w:rsidR="003F34CF" w:rsidRDefault="003F34CF">
      <w:pPr>
        <w:spacing w:after="0" w:line="240" w:lineRule="auto"/>
      </w:pPr>
      <w:r>
        <w:separator/>
      </w:r>
    </w:p>
  </w:endnote>
  <w:endnote w:type="continuationSeparator" w:id="0">
    <w:p w14:paraId="20B5CF36" w14:textId="77777777" w:rsidR="003F34CF" w:rsidRDefault="003F3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C0374" w14:textId="77777777" w:rsidR="005A31FB" w:rsidRDefault="005A31FB">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2D99E" w14:textId="77777777" w:rsidR="005A31FB" w:rsidRDefault="00000000">
    <w:r>
      <w:rPr>
        <w:noProof/>
      </w:rPr>
      <w:drawing>
        <wp:inline distT="0" distB="0" distL="0" distR="0" wp14:anchorId="3056A2FB" wp14:editId="06B73441">
          <wp:extent cx="5785485" cy="267335"/>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
                  <a:srcRect t="-59015" b="59015"/>
                  <a:stretch>
                    <a:fillRect/>
                  </a:stretch>
                </pic:blipFill>
                <pic:spPr bwMode="auto">
                  <a:xfrm>
                    <a:off x="0" y="0"/>
                    <a:ext cx="5785485" cy="267335"/>
                  </a:xfrm>
                  <a:prstGeom prst="rect">
                    <a:avLst/>
                  </a:prstGeom>
                  <a:noFill/>
                </pic:spPr>
              </pic:pic>
            </a:graphicData>
          </a:graphic>
        </wp:inline>
      </w:drawing>
    </w:r>
    <w:r>
      <w:rPr>
        <w:noProof/>
      </w:rPr>
      <w:pict w14:anchorId="7D24B8A0">
        <v:shapetype id="_x0000_t202" coordsize="21600,21600" o:spt="202" path="m,l,21600r21600,l21600,xe">
          <v:stroke joinstyle="miter"/>
          <v:path gradientshapeok="t" o:connecttype="rect"/>
        </v:shapetype>
        <v:shape id="Frame2" o:spid="_x0000_s1026" type="#_x0000_t202" style="position:absolute;margin-left:0;margin-top:.05pt;width:455.55pt;height:21.05pt;z-index:251657216;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" fillcolor="#d8d8d8">
          <v:textbox>
            <w:txbxContent>
              <w:p w14:paraId="37593961" w14:textId="77777777" w:rsidR="005A31FB" w:rsidRDefault="00000000">
                <w:pPr>
                  <w:jc w:val="center"/>
                </w:pPr>
                <w:r>
                  <w:rPr>
                    <w:rFonts w:ascii="Arial" w:eastAsia="Times New Roman" w:hAnsi="Arial"/>
                    <w:color w:val="231F20"/>
                    <w:sz w:val="17"/>
                  </w:rPr>
                  <w:t xml:space="preserve">Part B - Page </w:t>
                </w:r>
                <w:r>
                  <w:rPr>
                    <w:rFonts w:ascii="Arial" w:eastAsia="Times New Roman" w:hAnsi="Arial"/>
                    <w:color w:val="231F20"/>
                    <w:sz w:val="17"/>
                  </w:rPr>
                  <w:fldChar w:fldCharType="begin"/>
                </w:r>
                <w:r>
                  <w:rPr>
                    <w:rFonts w:ascii="Arial" w:eastAsia="Times New Roman" w:hAnsi="Arial"/>
                    <w:color w:val="231F20"/>
                    <w:sz w:val="17"/>
                  </w:rPr>
                  <w:instrText xml:space="preserve"> PAGE </w:instrText>
                </w:r>
                <w:r>
                  <w:rPr>
                    <w:rFonts w:ascii="Arial" w:eastAsia="Times New Roman" w:hAnsi="Arial"/>
                    <w:color w:val="231F20"/>
                    <w:sz w:val="17"/>
                  </w:rPr>
                  <w:fldChar w:fldCharType="separate"/>
                </w:r>
                <w:r>
                  <w:rPr>
                    <w:rFonts w:ascii="Arial" w:eastAsia="Times New Roman" w:hAnsi="Arial"/>
                    <w:color w:val="231F20"/>
                    <w:sz w:val="17"/>
                  </w:rPr>
                  <w:t>11</w:t>
                </w:r>
                <w:r>
                  <w:rPr>
                    <w:rFonts w:ascii="Arial" w:eastAsia="Times New Roman" w:hAnsi="Arial"/>
                    <w:color w:val="231F20"/>
                    <w:sz w:val="17"/>
                  </w:rPr>
                  <w:fldChar w:fldCharType="end"/>
                </w:r>
                <w:r>
                  <w:rPr>
                    <w:rFonts w:ascii="Arial" w:eastAsia="Times New Roman" w:hAnsi="Arial"/>
                    <w:color w:val="231F20"/>
                    <w:sz w:val="17"/>
                  </w:rPr>
                  <w:t xml:space="preserve"> of 10</w:t>
                </w:r>
              </w:p>
            </w:txbxContent>
          </v:textbox>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E89F" w14:textId="77777777" w:rsidR="005A31FB" w:rsidRDefault="00000000">
    <w:r>
      <w:rPr>
        <w:noProof/>
      </w:rPr>
      <w:drawing>
        <wp:inline distT="0" distB="0" distL="0" distR="0" wp14:anchorId="4C8832DB" wp14:editId="2013D0E7">
          <wp:extent cx="5785485" cy="267335"/>
          <wp:effectExtent l="0" t="0" r="0" b="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1"/>
                  <a:srcRect t="-59015" b="59015"/>
                  <a:stretch>
                    <a:fillRect/>
                  </a:stretch>
                </pic:blipFill>
                <pic:spPr bwMode="auto">
                  <a:xfrm>
                    <a:off x="0" y="0"/>
                    <a:ext cx="5785485" cy="267335"/>
                  </a:xfrm>
                  <a:prstGeom prst="rect">
                    <a:avLst/>
                  </a:prstGeom>
                  <a:noFill/>
                </pic:spPr>
              </pic:pic>
            </a:graphicData>
          </a:graphic>
        </wp:inline>
      </w:drawing>
    </w:r>
    <w:r>
      <w:rPr>
        <w:noProof/>
      </w:rPr>
      <w:pict w14:anchorId="4393B260">
        <v:shapetype id="_x0000_t202" coordsize="21600,21600" o:spt="202" path="m,l,21600r21600,l21600,xe">
          <v:stroke joinstyle="miter"/>
          <v:path gradientshapeok="t" o:connecttype="rect"/>
        </v:shapetype>
        <v:shape id="_x0000_s1025" type="#_x0000_t202" style="position:absolute;margin-left:0;margin-top:.05pt;width:455.55pt;height:21.05pt;z-index:251658240;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" fillcolor="#d8d8d8">
          <v:textbox>
            <w:txbxContent>
              <w:p w14:paraId="5CE94AB1" w14:textId="77777777" w:rsidR="005A31FB" w:rsidRDefault="00000000">
                <w:pPr>
                  <w:jc w:val="center"/>
                </w:pPr>
                <w:r>
                  <w:rPr>
                    <w:rFonts w:ascii="Arial" w:eastAsia="Times New Roman" w:hAnsi="Arial"/>
                    <w:color w:val="231F20"/>
                    <w:sz w:val="17"/>
                  </w:rPr>
                  <w:t xml:space="preserve">Part B - Page </w:t>
                </w:r>
                <w:r>
                  <w:rPr>
                    <w:rFonts w:ascii="Arial" w:eastAsia="Times New Roman" w:hAnsi="Arial"/>
                    <w:color w:val="231F20"/>
                    <w:sz w:val="17"/>
                  </w:rPr>
                  <w:fldChar w:fldCharType="begin"/>
                </w:r>
                <w:r>
                  <w:rPr>
                    <w:rFonts w:ascii="Arial" w:eastAsia="Times New Roman" w:hAnsi="Arial"/>
                    <w:color w:val="231F20"/>
                    <w:sz w:val="17"/>
                  </w:rPr>
                  <w:instrText xml:space="preserve"> PAGE </w:instrText>
                </w:r>
                <w:r>
                  <w:rPr>
                    <w:rFonts w:ascii="Arial" w:eastAsia="Times New Roman" w:hAnsi="Arial"/>
                    <w:color w:val="231F20"/>
                    <w:sz w:val="17"/>
                  </w:rPr>
                  <w:fldChar w:fldCharType="separate"/>
                </w:r>
                <w:r>
                  <w:rPr>
                    <w:rFonts w:ascii="Arial" w:eastAsia="Times New Roman" w:hAnsi="Arial"/>
                    <w:color w:val="231F20"/>
                    <w:sz w:val="17"/>
                  </w:rPr>
                  <w:t>11</w:t>
                </w:r>
                <w:r>
                  <w:rPr>
                    <w:rFonts w:ascii="Arial" w:eastAsia="Times New Roman" w:hAnsi="Arial"/>
                    <w:color w:val="231F20"/>
                    <w:sz w:val="17"/>
                  </w:rPr>
                  <w:fldChar w:fldCharType="end"/>
                </w:r>
                <w:r>
                  <w:rPr>
                    <w:rFonts w:ascii="Arial" w:eastAsia="Times New Roman" w:hAnsi="Arial"/>
                    <w:color w:val="231F20"/>
                    <w:sz w:val="17"/>
                  </w:rPr>
                  <w:t xml:space="preserve"> of 10</w:t>
                </w:r>
              </w:p>
            </w:txbxContent>
          </v:textbox>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8076F" w14:textId="77777777" w:rsidR="003F34CF" w:rsidRDefault="003F34CF">
      <w:pPr>
        <w:rPr>
          <w:sz w:val="12"/>
        </w:rPr>
      </w:pPr>
      <w:r>
        <w:rPr>
          <w:rFonts w:ascii="Times New Roman" w:eastAsia="Times New Roman" w:hAnsi="Times New Roman"/>
          <w:sz w:val="18"/>
          <w:szCs w:val="18"/>
        </w:rPr>
        <w:separator/>
      </w:r>
    </w:p>
  </w:footnote>
  <w:footnote w:type="continuationSeparator" w:id="0">
    <w:p w14:paraId="1B7DD795" w14:textId="77777777" w:rsidR="003F34CF" w:rsidRDefault="003F34CF">
      <w:pPr>
        <w:rPr>
          <w:sz w:val="12"/>
        </w:rPr>
      </w:pPr>
      <w:r>
        <w:rPr>
          <w:rFonts w:ascii="Times New Roman" w:eastAsia="Times New Roman" w:hAnsi="Times New Roman"/>
          <w:sz w:val="18"/>
          <w:szCs w:val="18"/>
        </w:rPr>
        <w:continuationSeparator/>
      </w:r>
    </w:p>
  </w:footnote>
  <w:footnote w:id="1">
    <w:p w14:paraId="086B6F2A" w14:textId="77777777" w:rsidR="005A31FB" w:rsidRDefault="00000000">
      <w:pPr>
        <w:pStyle w:val="Lbjegyzetszveg"/>
        <w:spacing w:after="20" w:line="240" w:lineRule="auto"/>
      </w:pPr>
      <w:r>
        <w:rPr>
          <w:rStyle w:val="FootnoteCharacters"/>
          <w:rFonts w:ascii="Times New Roman" w:eastAsia="Times New Roman" w:hAnsi="Times New Roman"/>
          <w:sz w:val="18"/>
          <w:szCs w:val="18"/>
        </w:rPr>
        <w:footnoteRef/>
      </w:r>
      <w:r>
        <w:rPr>
          <w:rFonts w:ascii="Times New Roman" w:eastAsia="Times New Roman" w:hAnsi="Times New Roman"/>
          <w:sz w:val="18"/>
          <w:szCs w:val="18"/>
        </w:rPr>
        <w:t xml:space="preserve"> EEA (2025), Water scarcity conditions in Europe, indicator, 28 Nov. 2025, www.eea.europa.eu/en/analysis/indicators/use-of-freshwater-resources-in-europe-1</w:t>
      </w:r>
    </w:p>
  </w:footnote>
  <w:footnote w:id="2">
    <w:p w14:paraId="1C94497F" w14:textId="77777777" w:rsidR="005A31FB" w:rsidRDefault="00000000">
      <w:pPr>
        <w:pStyle w:val="Lbjegyzetszveg"/>
        <w:spacing w:after="20" w:line="240" w:lineRule="auto"/>
      </w:pPr>
      <w:r>
        <w:rPr>
          <w:rStyle w:val="FootnoteCharacters"/>
          <w:rFonts w:ascii="Times New Roman" w:eastAsia="Times New Roman" w:hAnsi="Times New Roman"/>
          <w:sz w:val="18"/>
          <w:szCs w:val="18"/>
        </w:rPr>
        <w:footnoteRef/>
      </w:r>
      <w:r>
        <w:rPr>
          <w:rFonts w:ascii="Times New Roman" w:eastAsia="Times New Roman" w:hAnsi="Times New Roman"/>
          <w:sz w:val="18"/>
          <w:szCs w:val="18"/>
        </w:rPr>
        <w:t xml:space="preserve"> Gerhards M. et al. (2019), Challenges and Future Perspectives of Multi-/Hyperspectral Thermal Infrared Remote Sensing for Crop Water-Stress Detection: A Review, Remote Sensing 11, 1240.</w:t>
      </w:r>
    </w:p>
  </w:footnote>
  <w:footnote w:id="3">
    <w:p w14:paraId="7FD4502F" w14:textId="77777777" w:rsidR="00BB17BB" w:rsidRDefault="00000000">
      <w:pPr>
        <w:pStyle w:val="Lbjegyzetszveg"/>
        <w:spacing w:after="20" w:line="240" w:lineRule="auto"/>
      </w:pPr>
      <w:r>
        <w:rPr>
          <w:rStyle w:val="FootnoteCharacters"/>
          <w:rFonts w:ascii="Times New Roman" w:eastAsia="Times New Roman" w:hAnsi="Times New Roman"/>
          <w:sz w:val="18"/>
          <w:szCs w:val="18"/>
        </w:rPr>
        <w:footnoteRef/>
      </w:r>
      <w:r>
        <w:rPr>
          <w:rFonts w:ascii="Times New Roman" w:eastAsia="Times New Roman" w:hAnsi="Times New Roman"/>
          <w:sz w:val="18"/>
          <w:szCs w:val="18"/>
        </w:rPr>
        <w:t xml:space="preserve"> </w:t>
      </w:r>
      <w:proofErr w:type="spellStart"/>
      <w:r>
        <w:rPr>
          <w:rFonts w:ascii="Times New Roman" w:eastAsia="Times New Roman" w:hAnsi="Times New Roman"/>
          <w:sz w:val="18"/>
          <w:szCs w:val="18"/>
        </w:rPr>
        <w:t>Alordzinu</w:t>
      </w:r>
      <w:proofErr w:type="spellEnd"/>
      <w:r>
        <w:rPr>
          <w:rFonts w:ascii="Times New Roman" w:eastAsia="Times New Roman" w:hAnsi="Times New Roman"/>
          <w:sz w:val="18"/>
          <w:szCs w:val="18"/>
        </w:rPr>
        <w:t>, K.E., Li, J., Lan, Y. et al. (2021), Rapid Estimation of Crop Water Stress Index on Tomato Growth, Sensors 21, 5142. doi:10.3390/s21155142</w:t>
      </w:r>
    </w:p>
  </w:footnote>
  <w:footnote w:id="4">
    <w:p w14:paraId="0F1521D6" w14:textId="77777777" w:rsidR="00BB17BB" w:rsidRDefault="00000000">
      <w:pPr>
        <w:pStyle w:val="Lbjegyzetszveg"/>
        <w:spacing w:after="20" w:line="240" w:lineRule="auto"/>
      </w:pPr>
      <w:r>
        <w:rPr>
          <w:rStyle w:val="FootnoteCharacters"/>
          <w:rFonts w:ascii="Times New Roman" w:eastAsia="Times New Roman" w:hAnsi="Times New Roman"/>
          <w:sz w:val="18"/>
          <w:szCs w:val="18"/>
        </w:rPr>
        <w:footnoteRef/>
      </w:r>
      <w:r>
        <w:rPr>
          <w:rFonts w:ascii="Times New Roman" w:eastAsia="Times New Roman" w:hAnsi="Times New Roman"/>
          <w:sz w:val="18"/>
          <w:szCs w:val="18"/>
        </w:rPr>
        <w:t xml:space="preserve"> Allen, R.G. et al. (1998), Crop Evapotranspiration, FAO Irrigation and Drainage Paper 56, FAO, Rome.</w:t>
      </w:r>
    </w:p>
  </w:footnote>
  <w:footnote w:id="5">
    <w:p w14:paraId="38BFC943" w14:textId="77777777" w:rsidR="00BB17BB" w:rsidRDefault="00000000">
      <w:pPr>
        <w:pStyle w:val="Lbjegyzetszveg"/>
        <w:spacing w:after="20" w:line="240" w:lineRule="auto"/>
      </w:pPr>
      <w:r>
        <w:rPr>
          <w:rStyle w:val="FootnoteCharacters"/>
          <w:rFonts w:ascii="Times New Roman" w:eastAsia="Times New Roman" w:hAnsi="Times New Roman"/>
          <w:sz w:val="18"/>
          <w:szCs w:val="18"/>
        </w:rPr>
        <w:footnoteRef/>
      </w:r>
      <w:r>
        <w:rPr>
          <w:rFonts w:ascii="Times New Roman" w:eastAsia="Times New Roman" w:hAnsi="Times New Roman"/>
          <w:sz w:val="18"/>
          <w:szCs w:val="18"/>
        </w:rPr>
        <w:t xml:space="preserve"> Martelli, A. et al. (2025), Smart irrigation for management of processing tomato: a machine learning approach, Irrigation Science 43, 1407–1424. doi:10.1007/s00271-024-00993-9</w:t>
      </w:r>
    </w:p>
  </w:footnote>
  <w:footnote w:id="6">
    <w:p w14:paraId="3098E3DC" w14:textId="77777777" w:rsidR="00BB17BB" w:rsidRPr="00486723" w:rsidRDefault="00000000" w:rsidP="00486723">
      <w:pPr>
        <w:spacing w:after="0"/>
      </w:pPr>
      <w:r>
        <w:rPr>
          <w:rFonts w:ascii="Times New Roman" w:eastAsia="Times New Roman" w:hAnsi="Times New Roman"/>
          <w:sz w:val="18"/>
          <w:szCs w:val="18"/>
        </w:rPr>
        <w:footnoteRef/>
      </w:r>
      <w:r>
        <w:rPr>
          <w:rFonts w:ascii="Times New Roman" w:eastAsia="Times New Roman" w:hAnsi="Times New Roman"/>
          <w:sz w:val="18"/>
          <w:szCs w:val="18"/>
        </w:rPr>
        <w:t xml:space="preserve"> Dalla Marta, A. et al. (2019), Integrating Sentinel-2 Imagery with </w:t>
      </w:r>
      <w:proofErr w:type="spellStart"/>
      <w:r>
        <w:rPr>
          <w:rFonts w:ascii="Times New Roman" w:eastAsia="Times New Roman" w:hAnsi="Times New Roman"/>
          <w:sz w:val="18"/>
          <w:szCs w:val="18"/>
        </w:rPr>
        <w:t>AquaCrop</w:t>
      </w:r>
      <w:proofErr w:type="spellEnd"/>
      <w:r>
        <w:rPr>
          <w:rFonts w:ascii="Times New Roman" w:eastAsia="Times New Roman" w:hAnsi="Times New Roman"/>
          <w:sz w:val="18"/>
          <w:szCs w:val="18"/>
        </w:rPr>
        <w:t xml:space="preserve"> for Dynamic Assessment of Tomato Water Requirements in </w:t>
      </w:r>
      <w:r w:rsidRPr="00486723">
        <w:rPr>
          <w:rFonts w:ascii="Times New Roman" w:eastAsia="Times New Roman" w:hAnsi="Times New Roman"/>
          <w:sz w:val="18"/>
          <w:szCs w:val="18"/>
        </w:rPr>
        <w:t>Southern Italy, Agronomy 9, 404. doi:10.3390/agronomy9070404</w:t>
      </w:r>
    </w:p>
  </w:footnote>
  <w:footnote w:id="7">
    <w:p w14:paraId="6D81CC5C" w14:textId="5A5E646B" w:rsidR="00486723" w:rsidRPr="00486723" w:rsidRDefault="00486723" w:rsidP="00486723">
      <w:pPr>
        <w:pStyle w:val="Lbjegyzetszveg"/>
        <w:spacing w:after="0"/>
        <w:rPr>
          <w:sz w:val="18"/>
          <w:szCs w:val="18"/>
          <w:lang w:val="hu-HU"/>
        </w:rPr>
      </w:pPr>
      <w:r w:rsidRPr="00486723">
        <w:rPr>
          <w:rStyle w:val="Lbjegyzet-hivatkozs"/>
          <w:sz w:val="18"/>
          <w:szCs w:val="18"/>
        </w:rPr>
        <w:footnoteRef/>
      </w:r>
      <w:r w:rsidRPr="00486723">
        <w:rPr>
          <w:sz w:val="18"/>
          <w:szCs w:val="18"/>
        </w:rPr>
        <w:t xml:space="preserve"> </w:t>
      </w:r>
      <w:r w:rsidRPr="00486723">
        <w:rPr>
          <w:sz w:val="18"/>
          <w:szCs w:val="18"/>
        </w:rPr>
        <w:t>Hungarian University of Agriculture and Life Sciences</w:t>
      </w:r>
    </w:p>
  </w:footnote>
  <w:footnote w:id="8">
    <w:p w14:paraId="746A4490" w14:textId="77777777" w:rsidR="005A31FB" w:rsidRPr="00486723" w:rsidRDefault="00000000" w:rsidP="00486723">
      <w:pPr>
        <w:pStyle w:val="Lbjegyzetszveg"/>
        <w:spacing w:after="0" w:line="240" w:lineRule="auto"/>
      </w:pPr>
      <w:r w:rsidRPr="00486723">
        <w:rPr>
          <w:rStyle w:val="FootnoteCharacters"/>
          <w:rFonts w:ascii="Times New Roman" w:eastAsia="Times New Roman" w:hAnsi="Times New Roman"/>
          <w:sz w:val="18"/>
          <w:szCs w:val="18"/>
        </w:rPr>
        <w:footnoteRef/>
      </w:r>
      <w:r w:rsidRPr="00486723">
        <w:rPr>
          <w:rFonts w:ascii="Times New Roman" w:eastAsia="Times New Roman" w:hAnsi="Times New Roman"/>
          <w:sz w:val="18"/>
          <w:szCs w:val="18"/>
        </w:rPr>
        <w:t xml:space="preserve"> Takács S. et al. (2020), Influence of Water Stress Levels on the Yield and Lycopene Content of Tomato, Water 12, 2165.</w:t>
      </w:r>
    </w:p>
  </w:footnote>
  <w:footnote w:id="9">
    <w:p w14:paraId="2BD539C1" w14:textId="77777777" w:rsidR="005A31FB" w:rsidRDefault="00000000">
      <w:pPr>
        <w:pStyle w:val="Lbjegyzetszveg"/>
        <w:spacing w:after="20" w:line="240" w:lineRule="auto"/>
      </w:pPr>
      <w:r>
        <w:rPr>
          <w:rStyle w:val="FootnoteCharacters"/>
          <w:rFonts w:ascii="Times New Roman" w:eastAsia="Times New Roman" w:hAnsi="Times New Roman"/>
          <w:sz w:val="18"/>
          <w:szCs w:val="18"/>
        </w:rPr>
        <w:footnoteRef/>
      </w:r>
      <w:r>
        <w:rPr>
          <w:rFonts w:ascii="Times New Roman" w:eastAsia="Times New Roman" w:hAnsi="Times New Roman"/>
          <w:sz w:val="18"/>
          <w:szCs w:val="18"/>
        </w:rPr>
        <w:t xml:space="preserve"> Takács S. et al. (2021), Performance Evaluation of </w:t>
      </w:r>
      <w:proofErr w:type="spellStart"/>
      <w:r>
        <w:rPr>
          <w:rFonts w:ascii="Times New Roman" w:eastAsia="Times New Roman" w:hAnsi="Times New Roman"/>
          <w:sz w:val="18"/>
          <w:szCs w:val="18"/>
        </w:rPr>
        <w:t>AquaCrop</w:t>
      </w:r>
      <w:proofErr w:type="spellEnd"/>
      <w:r>
        <w:rPr>
          <w:rFonts w:ascii="Times New Roman" w:eastAsia="Times New Roman" w:hAnsi="Times New Roman"/>
          <w:sz w:val="18"/>
          <w:szCs w:val="18"/>
        </w:rPr>
        <w:t xml:space="preserve"> Model in Processing Tomato Biomass, Fruit Yield and Water Stress Indicator Modelling, Water 13, 3587.</w:t>
      </w:r>
    </w:p>
  </w:footnote>
  <w:footnote w:id="10">
    <w:p w14:paraId="2E157B41" w14:textId="77777777" w:rsidR="005A31FB" w:rsidRDefault="00000000">
      <w:pPr>
        <w:pStyle w:val="Lbjegyzetszveg"/>
        <w:spacing w:after="20" w:line="240" w:lineRule="auto"/>
      </w:pPr>
      <w:r>
        <w:rPr>
          <w:rStyle w:val="FootnoteCharacters"/>
          <w:rFonts w:ascii="Times New Roman" w:eastAsia="Times New Roman" w:hAnsi="Times New Roman"/>
          <w:sz w:val="18"/>
          <w:szCs w:val="18"/>
        </w:rPr>
        <w:footnoteRef/>
      </w:r>
      <w:r>
        <w:rPr>
          <w:rFonts w:ascii="Times New Roman" w:eastAsia="Times New Roman" w:hAnsi="Times New Roman"/>
          <w:sz w:val="18"/>
          <w:szCs w:val="18"/>
        </w:rPr>
        <w:t xml:space="preserve"> Hollós R. et al. (2026), Meta-modelling of carbon fluxes from crop and grassland multi-model outputs, Geoscientific Model Development 19, 4385–4438.</w:t>
      </w:r>
    </w:p>
  </w:footnote>
  <w:footnote w:id="11">
    <w:p w14:paraId="092633CD" w14:textId="77777777" w:rsidR="005A31FB" w:rsidRDefault="00000000">
      <w:pPr>
        <w:pStyle w:val="Lbjegyzetszveg"/>
        <w:spacing w:after="20" w:line="240" w:lineRule="auto"/>
      </w:pPr>
      <w:r>
        <w:rPr>
          <w:rStyle w:val="FootnoteCharacters"/>
          <w:rFonts w:ascii="Times New Roman" w:eastAsia="Times New Roman" w:hAnsi="Times New Roman"/>
          <w:sz w:val="18"/>
          <w:szCs w:val="18"/>
        </w:rPr>
        <w:footnoteRef/>
      </w:r>
      <w:r>
        <w:rPr>
          <w:rFonts w:ascii="Times New Roman" w:eastAsia="Times New Roman" w:hAnsi="Times New Roman"/>
          <w:sz w:val="18"/>
          <w:szCs w:val="18"/>
        </w:rPr>
        <w:t xml:space="preserve"> Jung A. et al. (2010), White-reference based post-correction method for multi-source spectral libraries, PFG 2010(5), 363–369.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FE84A" w14:textId="77777777" w:rsidR="005A31FB" w:rsidRDefault="00000000">
    <w:pPr>
      <w:tabs>
        <w:tab w:val="center" w:pos="4536"/>
        <w:tab w:val="right" w:pos="9072"/>
      </w:tabs>
      <w:ind w:right="227"/>
      <w:jc w:val="both"/>
      <w:rPr>
        <w:rFonts w:cs="Arial"/>
        <w:sz w:val="16"/>
        <w:szCs w:val="20"/>
      </w:rPr>
    </w:pPr>
    <w:r>
      <w:rPr>
        <w:rFonts w:cs="Arial"/>
        <w:sz w:val="16"/>
        <w:szCs w:val="20"/>
      </w:rPr>
      <w:t xml:space="preserve">Call: </w:t>
    </w:r>
    <w:r>
      <w:rPr>
        <w:sz w:val="16"/>
      </w:rPr>
      <w:t>HORIZON-MSCA-2026-PF-01: MSCA Postdoctoral Fellowships 2026</w:t>
    </w:r>
  </w:p>
  <w:p w14:paraId="1FDF5965" w14:textId="77777777" w:rsidR="005A31FB" w:rsidRDefault="00000000">
    <w:pPr>
      <w:jc w:val="right"/>
      <w:rPr>
        <w:rFonts w:cs="Arial"/>
        <w:color w:val="808080"/>
        <w:sz w:val="16"/>
        <w:szCs w:val="20"/>
      </w:rPr>
    </w:pPr>
    <w:r>
      <w:rPr>
        <w:rFonts w:cs="Arial"/>
        <w:color w:val="808080"/>
        <w:sz w:val="16"/>
        <w:szCs w:val="20"/>
      </w:rPr>
      <w:t xml:space="preserve">EU Grants: Application form </w:t>
    </w:r>
    <w:r>
      <w:rPr>
        <w:rFonts w:cs="Arial"/>
        <w:color w:val="7F7F7F"/>
        <w:sz w:val="16"/>
        <w:szCs w:val="16"/>
      </w:rPr>
      <w:t>(HE MSCA PF)</w:t>
    </w:r>
    <w:r>
      <w:rPr>
        <w:rFonts w:cs="Arial"/>
        <w:color w:val="7F7F7F"/>
        <w:sz w:val="16"/>
        <w:szCs w:val="20"/>
      </w:rPr>
      <w:t xml:space="preserve">: </w:t>
    </w:r>
    <w:r>
      <w:rPr>
        <w:rFonts w:cs="Arial"/>
        <w:color w:val="808080"/>
        <w:sz w:val="16"/>
        <w:szCs w:val="20"/>
      </w:rPr>
      <w:t>V5.0 – 27.03.2026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A25A8" w14:textId="77777777" w:rsidR="005A31FB" w:rsidRDefault="005A31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_x0000_i1025" style="width:9.75pt;height:9.75pt" coordsize="" o:spt="100" o:bullet="t" adj="0,,0" path="" stroked="f">
        <v:stroke joinstyle="miter"/>
        <v:imagedata r:id="rId1" o:title=""/>
        <v:formulas/>
        <v:path o:connecttype="segments"/>
      </v:shape>
    </w:pict>
  </w:numPicBullet>
  <w:numPicBullet w:numPicBulletId="1">
    <w:pict>
      <v:shape id="_x0000_i1026" style="width:12.75pt;height:12.75pt" coordsize="" o:spt="100" o:bullet="t" adj="0,,0" path="" stroked="f">
        <v:stroke joinstyle="miter"/>
        <v:imagedata r:id="rId2" o:title=""/>
        <v:formulas/>
        <v:path o:connecttype="segments"/>
      </v:shape>
    </w:pict>
  </w:numPicBullet>
  <w:abstractNum w:abstractNumId="0" w15:restartNumberingAfterBreak="0">
    <w:nsid w:val="1FCF7B06"/>
    <w:multiLevelType w:val="multilevel"/>
    <w:tmpl w:val="E4C4D12C"/>
    <w:lvl w:ilvl="0">
      <w:start w:val="1"/>
      <w:numFmt w:val="decimal"/>
      <w:lvlText w:val="%1"/>
      <w:lvlJc w:val="left"/>
      <w:pPr>
        <w:tabs>
          <w:tab w:val="num" w:pos="0"/>
        </w:tabs>
        <w:ind w:left="706" w:hanging="706"/>
      </w:pPr>
      <w:rPr>
        <w:rFonts w:cs="Times New Roman"/>
      </w:rPr>
    </w:lvl>
    <w:lvl w:ilvl="1">
      <w:start w:val="1"/>
      <w:numFmt w:val="decimal"/>
      <w:lvlText w:val="%1.%2"/>
      <w:lvlJc w:val="left"/>
      <w:pPr>
        <w:tabs>
          <w:tab w:val="num" w:pos="0"/>
        </w:tabs>
        <w:ind w:left="706" w:hanging="706"/>
      </w:pPr>
      <w:rPr>
        <w:rFonts w:cs="Times New Roman"/>
      </w:rPr>
    </w:lvl>
    <w:lvl w:ilvl="2">
      <w:start w:val="1"/>
      <w:numFmt w:val="decimal"/>
      <w:lvlText w:val="%1.%2.%3"/>
      <w:lvlJc w:val="left"/>
      <w:pPr>
        <w:tabs>
          <w:tab w:val="num" w:pos="0"/>
        </w:tabs>
        <w:ind w:left="720" w:hanging="720"/>
      </w:pPr>
      <w:rPr>
        <w:rFonts w:cs="Times New Roman"/>
      </w:rPr>
    </w:lvl>
    <w:lvl w:ilvl="3">
      <w:start w:val="1"/>
      <w:numFmt w:val="decimal"/>
      <w:lvlText w:val="%1.%2.%3.%4"/>
      <w:lvlJc w:val="left"/>
      <w:pPr>
        <w:tabs>
          <w:tab w:val="num" w:pos="0"/>
        </w:tabs>
        <w:ind w:left="720" w:hanging="720"/>
      </w:pPr>
      <w:rPr>
        <w:rFonts w:cs="Times New Roman"/>
      </w:rPr>
    </w:lvl>
    <w:lvl w:ilvl="4">
      <w:start w:val="1"/>
      <w:numFmt w:val="decimal"/>
      <w:lvlText w:val="%1.%2.%3.%4.%5"/>
      <w:lvlJc w:val="left"/>
      <w:pPr>
        <w:tabs>
          <w:tab w:val="num" w:pos="0"/>
        </w:tabs>
        <w:ind w:left="1080" w:hanging="1080"/>
      </w:pPr>
      <w:rPr>
        <w:rFonts w:cs="Times New Roman"/>
      </w:rPr>
    </w:lvl>
    <w:lvl w:ilvl="5">
      <w:start w:val="1"/>
      <w:numFmt w:val="decimal"/>
      <w:lvlText w:val="%1.%2.%3.%4.%5.%6"/>
      <w:lvlJc w:val="left"/>
      <w:pPr>
        <w:tabs>
          <w:tab w:val="num" w:pos="0"/>
        </w:tabs>
        <w:ind w:left="1080" w:hanging="1080"/>
      </w:pPr>
      <w:rPr>
        <w:rFonts w:cs="Times New Roman"/>
      </w:rPr>
    </w:lvl>
    <w:lvl w:ilvl="6">
      <w:start w:val="1"/>
      <w:numFmt w:val="decimal"/>
      <w:lvlText w:val="%1.%2.%3.%4.%5.%6.%7"/>
      <w:lvlJc w:val="left"/>
      <w:pPr>
        <w:tabs>
          <w:tab w:val="num" w:pos="0"/>
        </w:tabs>
        <w:ind w:left="1440" w:hanging="1440"/>
      </w:pPr>
      <w:rPr>
        <w:rFonts w:cs="Times New Roman"/>
      </w:rPr>
    </w:lvl>
    <w:lvl w:ilvl="7">
      <w:start w:val="1"/>
      <w:numFmt w:val="decimal"/>
      <w:lvlText w:val="%1.%2.%3.%4.%5.%6.%7.%8"/>
      <w:lvlJc w:val="left"/>
      <w:pPr>
        <w:tabs>
          <w:tab w:val="num" w:pos="0"/>
        </w:tabs>
        <w:ind w:left="1440" w:hanging="1440"/>
      </w:pPr>
      <w:rPr>
        <w:rFonts w:cs="Times New Roman"/>
      </w:rPr>
    </w:lvl>
    <w:lvl w:ilvl="8">
      <w:start w:val="1"/>
      <w:numFmt w:val="decimal"/>
      <w:lvlText w:val="%1.%2.%3.%4.%5.%6.%7.%8.%9"/>
      <w:lvlJc w:val="left"/>
      <w:pPr>
        <w:tabs>
          <w:tab w:val="num" w:pos="0"/>
        </w:tabs>
        <w:ind w:left="1800" w:hanging="1800"/>
      </w:pPr>
      <w:rPr>
        <w:rFonts w:cs="Times New Roman"/>
      </w:rPr>
    </w:lvl>
  </w:abstractNum>
  <w:abstractNum w:abstractNumId="1" w15:restartNumberingAfterBreak="0">
    <w:nsid w:val="6F986A80"/>
    <w:multiLevelType w:val="multilevel"/>
    <w:tmpl w:val="DED070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60474447">
    <w:abstractNumId w:val="0"/>
  </w:num>
  <w:num w:numId="2" w16cid:durableId="1892811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LW_DocType" w:val="NORMAL"/>
  </w:docVars>
  <w:rsids>
    <w:rsidRoot w:val="005A31FB"/>
    <w:rsid w:val="003F34CF"/>
    <w:rsid w:val="00424C61"/>
    <w:rsid w:val="00473933"/>
    <w:rsid w:val="00486723"/>
    <w:rsid w:val="005A31FB"/>
    <w:rsid w:val="00715493"/>
    <w:rsid w:val="00814721"/>
    <w:rsid w:val="00BB17BB"/>
    <w:rsid w:val="00D81E6D"/>
    <w:rsid w:val="00DD270D"/>
    <w:rsid w:val="00EF5F5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220925"/>
  <w15:docId w15:val="{1000963E-64CE-400C-A586-2008F0239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Noto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spacing w:after="160" w:line="259" w:lineRule="auto"/>
    </w:pPr>
    <w:rPr>
      <w:rFonts w:ascii="Calibri" w:eastAsia="Courier New" w:hAnsi="Calibri" w:cs="Times New Roman"/>
      <w:sz w:val="22"/>
      <w:szCs w:val="22"/>
      <w:lang w:eastAsia="en-US" w:bidi="ar-SA"/>
    </w:rPr>
  </w:style>
  <w:style w:type="paragraph" w:styleId="Cmsor2">
    <w:name w:val="heading 2"/>
    <w:basedOn w:val="Norml"/>
    <w:next w:val="Norml"/>
    <w:uiPriority w:val="9"/>
    <w:unhideWhenUsed/>
    <w:qFormat/>
    <w:pPr>
      <w:keepNext/>
      <w:keepLines/>
      <w:spacing w:before="40" w:after="0"/>
      <w:outlineLvl w:val="1"/>
    </w:pPr>
    <w:rPr>
      <w:b/>
      <w:bCs/>
      <w:iCs/>
      <w:sz w:val="28"/>
      <w:szCs w:val="24"/>
    </w:rPr>
  </w:style>
  <w:style w:type="paragraph" w:styleId="Cmsor3">
    <w:name w:val="heading 3"/>
    <w:basedOn w:val="Norml"/>
    <w:next w:val="Norml"/>
    <w:uiPriority w:val="9"/>
    <w:semiHidden/>
    <w:unhideWhenUsed/>
    <w:qFormat/>
    <w:pPr>
      <w:keepNext/>
      <w:keepLines/>
      <w:spacing w:before="40" w:after="0"/>
      <w:outlineLvl w:val="2"/>
    </w:pPr>
    <w:rPr>
      <w:rFonts w:ascii="Calibri Light" w:eastAsia="Times New Roman" w:hAnsi="Calibri Light"/>
      <w:color w:val="1F4D78"/>
      <w:sz w:val="24"/>
      <w:szCs w:val="24"/>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basedOn w:val="Bekezdsalapbettpusa"/>
    <w:qFormat/>
    <w:rPr>
      <w:rFonts w:ascii="Times New Roman" w:hAnsi="Times New Roman" w:cs="Times New Roman"/>
      <w:b/>
      <w:bCs/>
      <w:iCs/>
      <w:sz w:val="24"/>
      <w:szCs w:val="24"/>
      <w:lang w:val="en-US" w:eastAsia="en-US"/>
    </w:rPr>
  </w:style>
  <w:style w:type="character" w:customStyle="1" w:styleId="Cmsor3Char">
    <w:name w:val="Címsor 3 Char"/>
    <w:basedOn w:val="Bekezdsalapbettpusa"/>
    <w:qFormat/>
    <w:rPr>
      <w:rFonts w:ascii="Calibri Light" w:eastAsia="Times New Roman" w:hAnsi="Calibri Light" w:cs="Times New Roman"/>
      <w:color w:val="1F4D78"/>
      <w:sz w:val="24"/>
      <w:szCs w:val="24"/>
      <w:lang w:val="en-US" w:eastAsia="en-US"/>
    </w:rPr>
  </w:style>
  <w:style w:type="character" w:customStyle="1" w:styleId="footnotereferenceFootnotesymbolTimes10PointExposant3PointFootnotereferencenumberRefdenotaalpienoteTESISUPERSENFootnotetextENFootnoteReferenceFootnoteReferenceLVL6FootnoteReferenceLVL61Footnotenumberf1fr">
    <w:name w:val="footnote reference;Footnote symbol;Times 10 Point;Exposant 3 Point;Footnote reference number;Ref;de nota al pie;note TESI;SUPERS;EN Footnote text;EN Footnote Reference;Footnote Reference_LVL6;Footnote Reference_LVL61;Footnote number;f1;fr"/>
    <w:basedOn w:val="Bekezdsalapbettpusa"/>
    <w:qFormat/>
    <w:rPr>
      <w:rFonts w:cs="Times New Roman"/>
      <w:vertAlign w:val="superscript"/>
    </w:rPr>
  </w:style>
  <w:style w:type="character" w:customStyle="1" w:styleId="LbjegyzetszvegChar1LbjegyzetszvegCharCharSchriftart9ptCharCharSchriftart10ptCharCharSchriftart8ptCharCharWB-FunotentextCharCharfnCharCharFootnotesCharCharFootnoteakCharCharFoodNoteCharCharftCharChar">
    <w:name w:val="Lábjegyzetszöveg Char1;Lábjegyzetszöveg Char Char;Schriftart: 9 pt Char Char;Schriftart: 10 pt Char Char;Schriftart: 8 pt Char Char;WB-Fußnotentext Char Char;fn Char Char;Footnotes Char Char;Footnote ak Char Char;FoodNote Char Char;ft Char Char"/>
    <w:basedOn w:val="Bekezdsalapbettpusa"/>
    <w:qFormat/>
    <w:rPr>
      <w:rFonts w:cs="Times New Roman"/>
      <w:sz w:val="20"/>
      <w:szCs w:val="20"/>
    </w:rPr>
  </w:style>
  <w:style w:type="character" w:customStyle="1" w:styleId="LbjegyzetszvegCharSchriftart9ptCharSchriftart10ptCharSchriftart8ptCharWB-FunotentextCharfnCharFootnotesCharFootnoteakCharFoodNoteCharftCharFootnoteChar1FootnoteTextChar1CharCharChar1FootnoteTextChar1CharChar1">
    <w:name w:val="Lábjegyzetszöveg Char;Schriftart: 9 pt Char;Schriftart: 10 pt Char;Schriftart: 8 pt Char;WB-Fußnotentext Char;fn Char;Footnotes Char;Footnote ak Char;FoodNote Char;ft Char;Footnote Char1;Footnote Text Char1 Char Char Char1;Footnote Text Char1 Char Char1"/>
    <w:basedOn w:val="Bekezdsalapbettpusa"/>
    <w:qFormat/>
    <w:rPr>
      <w:rFonts w:cs="Times New Roman"/>
      <w:sz w:val="20"/>
      <w:szCs w:val="20"/>
      <w:lang w:val="en-US" w:eastAsia="en-US"/>
    </w:rPr>
  </w:style>
  <w:style w:type="character" w:customStyle="1" w:styleId="FootnoteTextChar1Schriftart9ptChar2Schriftart10ptChar2Schriftart8ptChar2WB-FunotentextChar2fnChar2FootnotesChar2FootnoteakChar2FootnoteTextCharCharFoodNoteChar2ftChar2FootnoteChar11fChar">
    <w:name w:val="Footnote Text Char1;Schriftart: 9 pt Char2;Schriftart: 10 pt Char2;Schriftart: 8 pt Char2;WB-Fußnotentext Char2;fn Char2;Footnotes Char2;Footnote ak Char2;Footnote Text Char Char;FoodNote Char2;ft Char2;Footnote Char11;f Char"/>
    <w:basedOn w:val="Bekezdsalapbettpusa"/>
    <w:qFormat/>
    <w:rPr>
      <w:rFonts w:cs="Times New Roman"/>
      <w:sz w:val="20"/>
      <w:szCs w:val="20"/>
      <w:lang w:val="en-US" w:eastAsia="en-US"/>
    </w:rPr>
  </w:style>
  <w:style w:type="character" w:customStyle="1" w:styleId="JegyzetszvegChar">
    <w:name w:val="Jegyzetszöveg Char"/>
    <w:basedOn w:val="Bekezdsalapbettpusa"/>
    <w:qFormat/>
    <w:rPr>
      <w:rFonts w:cs="Times New Roman"/>
      <w:sz w:val="20"/>
      <w:szCs w:val="20"/>
      <w:lang w:val="en-US" w:eastAsia="en-US"/>
    </w:rPr>
  </w:style>
  <w:style w:type="character" w:styleId="Jegyzethivatkozs">
    <w:name w:val="annotation reference"/>
    <w:basedOn w:val="Bekezdsalapbettpusa"/>
    <w:qFormat/>
    <w:rPr>
      <w:rFonts w:cs="Times New Roman"/>
      <w:sz w:val="16"/>
      <w:szCs w:val="16"/>
    </w:rPr>
  </w:style>
  <w:style w:type="character" w:customStyle="1" w:styleId="BuborkszvegChar">
    <w:name w:val="Buborékszöveg Char"/>
    <w:basedOn w:val="Bekezdsalapbettpusa"/>
    <w:qFormat/>
    <w:rPr>
      <w:rFonts w:ascii="Segoe UI" w:hAnsi="Segoe UI" w:cs="Segoe UI"/>
      <w:sz w:val="18"/>
      <w:szCs w:val="18"/>
      <w:lang w:val="en-US" w:eastAsia="en-US"/>
    </w:rPr>
  </w:style>
  <w:style w:type="character" w:styleId="Hiperhivatkozs">
    <w:name w:val="Hyperlink"/>
    <w:basedOn w:val="Bekezdsalapbettpusa"/>
    <w:rPr>
      <w:rFonts w:cs="Times New Roman"/>
      <w:color w:val="0563C1"/>
      <w:u w:val="single"/>
    </w:rPr>
  </w:style>
  <w:style w:type="character" w:customStyle="1" w:styleId="lfejChar1">
    <w:name w:val="Élőfej Char1"/>
    <w:basedOn w:val="Bekezdsalapbettpusa"/>
    <w:qFormat/>
    <w:rPr>
      <w:rFonts w:cs="Times New Roman"/>
    </w:rPr>
  </w:style>
  <w:style w:type="character" w:customStyle="1" w:styleId="lfejChar">
    <w:name w:val="Élőfej Char"/>
    <w:basedOn w:val="Bekezdsalapbettpusa"/>
    <w:qFormat/>
    <w:rPr>
      <w:rFonts w:cs="Times New Roman"/>
      <w:lang w:val="en-US" w:eastAsia="en-US"/>
    </w:rPr>
  </w:style>
  <w:style w:type="character" w:customStyle="1" w:styleId="lfejChar2">
    <w:name w:val="Élőfej Char2"/>
    <w:basedOn w:val="Bekezdsalapbettpusa"/>
    <w:qFormat/>
    <w:rPr>
      <w:rFonts w:cs="Times New Roman"/>
      <w:lang w:val="en-US" w:eastAsia="en-US"/>
    </w:rPr>
  </w:style>
  <w:style w:type="character" w:customStyle="1" w:styleId="llbChar1">
    <w:name w:val="Élőláb Char1"/>
    <w:basedOn w:val="Bekezdsalapbettpusa"/>
    <w:qFormat/>
    <w:rPr>
      <w:rFonts w:cs="Times New Roman"/>
    </w:rPr>
  </w:style>
  <w:style w:type="character" w:customStyle="1" w:styleId="llbChar">
    <w:name w:val="Élőláb Char"/>
    <w:basedOn w:val="Bekezdsalapbettpusa"/>
    <w:qFormat/>
    <w:rPr>
      <w:rFonts w:cs="Times New Roman"/>
      <w:lang w:val="en-US" w:eastAsia="en-US"/>
    </w:rPr>
  </w:style>
  <w:style w:type="character" w:customStyle="1" w:styleId="llbChar2">
    <w:name w:val="Élőláb Char2"/>
    <w:basedOn w:val="Bekezdsalapbettpusa"/>
    <w:qFormat/>
    <w:rPr>
      <w:rFonts w:cs="Times New Roman"/>
      <w:lang w:val="en-US" w:eastAsia="en-US"/>
    </w:rPr>
  </w:style>
  <w:style w:type="character" w:customStyle="1" w:styleId="MegjegyzstrgyaChar">
    <w:name w:val="Megjegyzés tárgya Char"/>
    <w:basedOn w:val="JegyzetszvegChar"/>
    <w:qFormat/>
    <w:rPr>
      <w:rFonts w:cs="Times New Roman"/>
      <w:b/>
      <w:bCs/>
      <w:sz w:val="20"/>
      <w:szCs w:val="20"/>
      <w:lang w:val="en-US" w:eastAsia="en-US"/>
    </w:rPr>
  </w:style>
  <w:style w:type="character" w:styleId="Mrltotthiperhivatkozs">
    <w:name w:val="FollowedHyperlink"/>
    <w:basedOn w:val="Bekezdsalapbettpusa"/>
    <w:rPr>
      <w:rFonts w:cs="Times New Roman"/>
      <w:color w:val="954F72"/>
      <w:u w:val="single"/>
    </w:rPr>
  </w:style>
  <w:style w:type="character" w:customStyle="1" w:styleId="ListaszerbekezdsChar">
    <w:name w:val="Listaszerű bekezdés Char"/>
    <w:basedOn w:val="Bekezdsalapbettpusa"/>
    <w:qFormat/>
    <w:rPr>
      <w:rFonts w:cs="Times New Roman"/>
      <w:lang w:val="en-US" w:eastAsia="en-US"/>
    </w:rPr>
  </w:style>
  <w:style w:type="character" w:customStyle="1" w:styleId="TagsChar">
    <w:name w:val="Tags Char"/>
    <w:basedOn w:val="Bekezdsalapbettpusa"/>
    <w:qFormat/>
    <w:rPr>
      <w:rFonts w:ascii="Arial" w:hAnsi="Arial" w:cs="Arial"/>
      <w:color w:val="B5B5B5"/>
      <w:sz w:val="16"/>
      <w:szCs w:val="16"/>
      <w:lang w:val="en-GB" w:eastAsia="en-US"/>
    </w:rPr>
  </w:style>
  <w:style w:type="character" w:styleId="Feloldatlanmegemlts">
    <w:name w:val="Unresolved Mention"/>
    <w:basedOn w:val="Bekezdsalapbettpusa"/>
    <w:qFormat/>
    <w:rPr>
      <w:rFonts w:cs="Times New Roman"/>
      <w:color w:val="605E5C"/>
      <w:shd w:val="clear" w:color="auto" w:fill="E1DFDD"/>
    </w:rPr>
  </w:style>
  <w:style w:type="character" w:customStyle="1" w:styleId="Lbjegyzet-hivatkozs1">
    <w:name w:val="Lábjegyzet-hivatkozás1"/>
    <w:qFormat/>
    <w:rPr>
      <w:rFonts w:ascii="Times New Roman" w:hAnsi="Times New Roman"/>
      <w:sz w:val="16"/>
    </w:rPr>
  </w:style>
  <w:style w:type="character" w:styleId="Kiemels2">
    <w:name w:val="Strong"/>
    <w:basedOn w:val="Bekezdsalapbettpusa"/>
    <w:qFormat/>
    <w:rPr>
      <w:rFonts w:cs="Times New Roman"/>
      <w:b/>
      <w:bCs/>
    </w:rPr>
  </w:style>
  <w:style w:type="character" w:customStyle="1" w:styleId="FootnoteCharacters">
    <w:name w:val="Footnote Characters"/>
    <w:qFormat/>
  </w:style>
  <w:style w:type="character" w:styleId="Lbjegyzet-hivatkozs">
    <w:name w:val="footnote reference"/>
    <w:rPr>
      <w:vertAlign w:val="superscript"/>
    </w:rPr>
  </w:style>
  <w:style w:type="character" w:styleId="Vgjegyzet-hivatkozs">
    <w:name w:val="endnote reference"/>
    <w:rPr>
      <w:vertAlign w:val="superscript"/>
    </w:rPr>
  </w:style>
  <w:style w:type="character" w:customStyle="1" w:styleId="EndnoteCharacters">
    <w:name w:val="Endnote Characters"/>
    <w:qFormat/>
  </w:style>
  <w:style w:type="paragraph" w:customStyle="1" w:styleId="Heading">
    <w:name w:val="Heading"/>
    <w:basedOn w:val="Norml"/>
    <w:next w:val="Szvegtrzs"/>
    <w:qFormat/>
    <w:pPr>
      <w:keepNext/>
      <w:spacing w:before="240" w:after="120"/>
    </w:pPr>
    <w:rPr>
      <w:rFonts w:ascii="Liberation Sans" w:eastAsia="Noto Sans" w:hAnsi="Liberation Sans" w:cs="Noto Sans"/>
      <w:sz w:val="28"/>
      <w:szCs w:val="28"/>
    </w:rPr>
  </w:style>
  <w:style w:type="paragraph" w:styleId="Szvegtrzs">
    <w:name w:val="Body Text"/>
    <w:basedOn w:val="Norml"/>
    <w:pPr>
      <w:spacing w:after="140" w:line="276" w:lineRule="auto"/>
    </w:pPr>
  </w:style>
  <w:style w:type="paragraph" w:styleId="Lista">
    <w:name w:val="List"/>
    <w:basedOn w:val="Szvegtrzs"/>
  </w:style>
  <w:style w:type="paragraph" w:styleId="Kpalrs">
    <w:name w:val="caption"/>
    <w:basedOn w:val="Norml"/>
    <w:qFormat/>
    <w:pPr>
      <w:suppressLineNumbers/>
      <w:spacing w:before="120" w:after="120"/>
    </w:pPr>
    <w:rPr>
      <w:i/>
      <w:iCs/>
      <w:sz w:val="24"/>
      <w:szCs w:val="24"/>
    </w:rPr>
  </w:style>
  <w:style w:type="paragraph" w:customStyle="1" w:styleId="Index">
    <w:name w:val="Index"/>
    <w:basedOn w:val="Norml"/>
    <w:qFormat/>
    <w:pPr>
      <w:suppressLineNumbers/>
    </w:pPr>
  </w:style>
  <w:style w:type="paragraph" w:customStyle="1" w:styleId="Normltblzat1">
    <w:name w:val="Normál táblázat1"/>
    <w:qFormat/>
    <w:pPr>
      <w:spacing w:after="160" w:line="259" w:lineRule="auto"/>
    </w:pPr>
    <w:rPr>
      <w:rFonts w:ascii="Calibri" w:eastAsia="Courier New" w:hAnsi="Calibri" w:cs="Calibri"/>
      <w:sz w:val="22"/>
      <w:szCs w:val="22"/>
      <w:lang w:val="fr-BE" w:eastAsia="en-US" w:bidi="ar-SA"/>
    </w:rPr>
  </w:style>
  <w:style w:type="paragraph" w:styleId="Listaszerbekezds">
    <w:name w:val="List Paragraph"/>
    <w:basedOn w:val="Norml"/>
    <w:qFormat/>
    <w:pPr>
      <w:ind w:left="720"/>
      <w:contextualSpacing/>
    </w:pPr>
  </w:style>
  <w:style w:type="paragraph" w:customStyle="1" w:styleId="Tblzategyszer11">
    <w:name w:val="Táblázat (egyszerű) 11"/>
    <w:basedOn w:val="Normltblzat1"/>
    <w:qFormat/>
    <w:pPr>
      <w:spacing w:after="0" w:line="240" w:lineRule="auto"/>
    </w:pPr>
    <w:rPr>
      <w:rFonts w:cs="Times New Roman"/>
      <w:lang w:val="en-US"/>
    </w:rPr>
  </w:style>
  <w:style w:type="paragraph" w:customStyle="1" w:styleId="footnotetextLbjegyzetszvegCharSchriftart9ptCharSchriftart10ptCharSchriftart8ptCharWB-FunotentextCharfnCharFootnotesCharFootnoteakCharFoodNoteCharftCharFootnoteChar1FootnoteTextChar1CharCharChar1">
    <w:name w:val="footnote text;Lábjegyzetszöveg Char;Schriftart: 9 pt Char;Schriftart: 10 pt Char;Schriftart: 8 pt Char;WB-Fußnotentext Char;fn Char;Footnotes Char;Footnote ak Char;FoodNote Char;ft Char;Footnote Char1;Footnote Text Char1 Char Char Char1"/>
    <w:basedOn w:val="Norml"/>
    <w:qFormat/>
    <w:pPr>
      <w:spacing w:after="0" w:line="240" w:lineRule="auto"/>
    </w:pPr>
    <w:rPr>
      <w:sz w:val="20"/>
      <w:szCs w:val="20"/>
      <w:lang w:val="fr-BE"/>
    </w:rPr>
  </w:style>
  <w:style w:type="paragraph" w:styleId="Jegyzetszveg">
    <w:name w:val="annotation text"/>
    <w:basedOn w:val="Norml"/>
    <w:pPr>
      <w:spacing w:line="240" w:lineRule="auto"/>
    </w:pPr>
    <w:rPr>
      <w:sz w:val="20"/>
      <w:szCs w:val="20"/>
    </w:rPr>
  </w:style>
  <w:style w:type="paragraph" w:styleId="Buborkszveg">
    <w:name w:val="Balloon Text"/>
    <w:basedOn w:val="Norml"/>
    <w:qFormat/>
    <w:pPr>
      <w:spacing w:after="0" w:line="240" w:lineRule="auto"/>
    </w:pPr>
    <w:rPr>
      <w:rFonts w:ascii="Segoe UI" w:hAnsi="Segoe UI" w:cs="Segoe UI"/>
      <w:sz w:val="18"/>
      <w:szCs w:val="18"/>
    </w:rPr>
  </w:style>
  <w:style w:type="paragraph" w:customStyle="1" w:styleId="Rcsostblzat1">
    <w:name w:val="Rácsos táblázat1"/>
    <w:basedOn w:val="Normltblzat1"/>
    <w:qFormat/>
    <w:pPr>
      <w:spacing w:after="0" w:line="240" w:lineRule="auto"/>
    </w:pPr>
    <w:rPr>
      <w:rFonts w:cs="Times New Roman"/>
    </w:rPr>
  </w:style>
  <w:style w:type="paragraph" w:customStyle="1" w:styleId="HeaderandFooter">
    <w:name w:val="Header and Footer"/>
    <w:basedOn w:val="Norml"/>
    <w:qFormat/>
  </w:style>
  <w:style w:type="paragraph" w:styleId="lfej">
    <w:name w:val="header"/>
    <w:basedOn w:val="Norml"/>
    <w:pPr>
      <w:tabs>
        <w:tab w:val="center" w:pos="4680"/>
        <w:tab w:val="right" w:pos="9360"/>
      </w:tabs>
      <w:spacing w:after="0" w:line="240" w:lineRule="auto"/>
    </w:pPr>
  </w:style>
  <w:style w:type="paragraph" w:styleId="llb">
    <w:name w:val="footer"/>
    <w:basedOn w:val="Norml"/>
    <w:pPr>
      <w:tabs>
        <w:tab w:val="center" w:pos="4680"/>
        <w:tab w:val="right" w:pos="9360"/>
      </w:tabs>
      <w:spacing w:after="0" w:line="240" w:lineRule="auto"/>
    </w:pPr>
  </w:style>
  <w:style w:type="paragraph" w:styleId="Megjegyzstrgya">
    <w:name w:val="annotation subject"/>
    <w:basedOn w:val="Jegyzetszveg"/>
    <w:next w:val="Jegyzetszveg"/>
    <w:qFormat/>
    <w:rPr>
      <w:b/>
      <w:bCs/>
    </w:rPr>
  </w:style>
  <w:style w:type="paragraph" w:customStyle="1" w:styleId="Default">
    <w:name w:val="Default"/>
    <w:basedOn w:val="Norml"/>
    <w:qFormat/>
    <w:pPr>
      <w:spacing w:after="0" w:line="240" w:lineRule="auto"/>
    </w:pPr>
    <w:rPr>
      <w:color w:val="000000"/>
      <w:sz w:val="24"/>
      <w:szCs w:val="24"/>
      <w:lang w:val="en-GB" w:eastAsia="en-GB"/>
    </w:rPr>
  </w:style>
  <w:style w:type="paragraph" w:styleId="NormlWeb">
    <w:name w:val="Normal (Web)"/>
    <w:basedOn w:val="Norml"/>
    <w:qFormat/>
    <w:pPr>
      <w:spacing w:beforeAutospacing="1" w:afterAutospacing="1" w:line="240" w:lineRule="auto"/>
    </w:pPr>
    <w:rPr>
      <w:color w:val="000000"/>
      <w:sz w:val="24"/>
      <w:szCs w:val="24"/>
    </w:rPr>
  </w:style>
  <w:style w:type="paragraph" w:customStyle="1" w:styleId="Tags">
    <w:name w:val="Tags"/>
    <w:basedOn w:val="Norml"/>
    <w:qFormat/>
    <w:pPr>
      <w:spacing w:after="200" w:line="240" w:lineRule="auto"/>
    </w:pPr>
    <w:rPr>
      <w:rFonts w:ascii="Arial" w:hAnsi="Arial" w:cs="Arial"/>
      <w:color w:val="B5B5B5"/>
      <w:sz w:val="16"/>
      <w:szCs w:val="16"/>
      <w:lang w:val="en-GB"/>
    </w:rPr>
  </w:style>
  <w:style w:type="paragraph" w:styleId="Vltozat">
    <w:name w:val="Revision"/>
    <w:qFormat/>
    <w:rPr>
      <w:rFonts w:ascii="Calibri" w:eastAsia="Courier New" w:hAnsi="Calibri" w:cs="Times New Roman"/>
      <w:sz w:val="22"/>
      <w:szCs w:val="22"/>
      <w:lang w:eastAsia="en-US" w:bidi="ar-SA"/>
    </w:rPr>
  </w:style>
  <w:style w:type="paragraph" w:customStyle="1" w:styleId="FWBody">
    <w:name w:val="FW Body"/>
    <w:qFormat/>
    <w:pPr>
      <w:spacing w:after="40"/>
    </w:pPr>
    <w:rPr>
      <w:rFonts w:ascii="Times New Roman" w:eastAsia="Times New Roman" w:hAnsi="Times New Roman" w:cs="Times New Roman"/>
      <w:color w:val="000000"/>
      <w:sz w:val="22"/>
      <w:szCs w:val="22"/>
      <w:lang w:eastAsia="en-US" w:bidi="ar-SA"/>
    </w:rPr>
  </w:style>
  <w:style w:type="paragraph" w:customStyle="1" w:styleId="Lbjegyzetszveg1">
    <w:name w:val="Lábjegyzetszöveg1"/>
    <w:qFormat/>
    <w:rPr>
      <w:rFonts w:ascii="Times New Roman" w:eastAsia="Times New Roman" w:hAnsi="Times New Roman" w:cs="Times New Roman"/>
      <w:sz w:val="16"/>
      <w:szCs w:val="22"/>
      <w:lang w:eastAsia="en-US" w:bidi="ar-SA"/>
    </w:rPr>
  </w:style>
  <w:style w:type="paragraph" w:customStyle="1" w:styleId="FWTable">
    <w:name w:val="FW Table"/>
    <w:qFormat/>
    <w:rPr>
      <w:rFonts w:ascii="Times New Roman" w:eastAsia="Times New Roman" w:hAnsi="Times New Roman" w:cs="Times New Roman"/>
      <w:color w:val="000000"/>
      <w:sz w:val="22"/>
      <w:szCs w:val="20"/>
      <w:lang w:eastAsia="en-US" w:bidi="ar-SA"/>
    </w:rPr>
  </w:style>
  <w:style w:type="paragraph" w:customStyle="1" w:styleId="FWSubheading">
    <w:name w:val="FW Subheading"/>
    <w:qFormat/>
    <w:pPr>
      <w:keepNext/>
      <w:spacing w:before="80" w:after="40"/>
    </w:pPr>
    <w:rPr>
      <w:rFonts w:ascii="Times New Roman" w:eastAsia="Times New Roman" w:hAnsi="Times New Roman" w:cs="Times New Roman"/>
      <w:b/>
      <w:color w:val="000000"/>
      <w:sz w:val="22"/>
      <w:szCs w:val="22"/>
      <w:lang w:eastAsia="en-US" w:bidi="ar-SA"/>
    </w:rPr>
  </w:style>
  <w:style w:type="paragraph" w:customStyle="1" w:styleId="FWCaption">
    <w:name w:val="FW Caption"/>
    <w:qFormat/>
    <w:pPr>
      <w:spacing w:before="40" w:after="40"/>
    </w:pPr>
    <w:rPr>
      <w:rFonts w:ascii="Times New Roman" w:eastAsia="Times New Roman" w:hAnsi="Times New Roman" w:cs="Times New Roman"/>
      <w:color w:val="000000"/>
      <w:sz w:val="17"/>
      <w:szCs w:val="22"/>
      <w:lang w:eastAsia="en-US" w:bidi="ar-SA"/>
    </w:rPr>
  </w:style>
  <w:style w:type="paragraph" w:customStyle="1" w:styleId="FrameContents">
    <w:name w:val="Frame Contents"/>
    <w:basedOn w:val="Norml"/>
    <w:qFormat/>
  </w:style>
  <w:style w:type="paragraph" w:styleId="Lbjegyzetszveg">
    <w:name w:val="footnote text"/>
    <w:basedOn w:val="Norm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wmf"/></Relationships>
</file>

<file path=word/_rels/footer3.xml.rels><?xml version="1.0" encoding="UTF-8" standalone="yes"?>
<Relationships xmlns="http://schemas.openxmlformats.org/package/2006/relationships"><Relationship Id="rId1" Type="http://schemas.openxmlformats.org/officeDocument/2006/relationships/image" Target="media/image4.wmf"/></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FAF362-F2AB-450D-B634-11D467B91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10</Pages>
  <Words>5831</Words>
  <Characters>40235</Characters>
  <Application>Microsoft Office Word</Application>
  <DocSecurity>0</DocSecurity>
  <Lines>335</Lines>
  <Paragraphs>91</Paragraphs>
  <ScaleCrop>false</ScaleCrop>
  <Company>European Commission</Company>
  <LinksUpToDate>false</LinksUpToDate>
  <CharactersWithSpaces>45975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WAELE Ilse (REA);"CIPOLLARO Antonio (REA)" &lt;Antonio.CIPOLLARO@ec.europa.eu&gt;;NEUMANN Doris (REA);FERNANDEZ CRUZ Manuel (REA)</dc:creator>
  <dc:description/>
  <cp:lastModifiedBy>József Kiss</cp:lastModifiedBy>
  <cp:revision>9</cp:revision>
  <dcterms:created xsi:type="dcterms:W3CDTF">2026-03-30T15:06:00Z</dcterms:created>
  <dcterms:modified xsi:type="dcterms:W3CDTF">2026-09-09T11:04:00Z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0x010100F5499B3551E8CF44A3ED2D232C646A60</vt:lpwstr>
  </property>
  <property fmtid="{D5CDD505-2E9C-101B-9397-08002B2CF9AE}" pid="3" name="DocPublDate">
    <vt:filetime>2022-07-07T00:00:00Z</vt:filetime>
  </property>
  <property fmtid="{D5CDD505-2E9C-101B-9397-08002B2CF9AE}" pid="4" name="DocPublversion">
    <vt:r8>2</vt:r8>
  </property>
  <property fmtid="{D5CDD505-2E9C-101B-9397-08002B2CF9AE}" pid="5" name="EC_Collab_DocumentLanguage">
    <vt:lpwstr>EN</vt:lpwstr>
  </property>
  <property fmtid="{D5CDD505-2E9C-101B-9397-08002B2CF9AE}" pid="6" name="EC_Collab_Status">
    <vt:lpwstr>Not Started</vt:lpwstr>
  </property>
  <property fmtid="{D5CDD505-2E9C-101B-9397-08002B2CF9AE}" pid="7" name="MSIP_Label_6bd9ddd1-4d20-43f6-abfa-fc3c07406f94_ActionId">
    <vt:lpwstr>804c6de7-4f35-4717-95c0-fbd8e240a3dc</vt:lpwstr>
  </property>
  <property fmtid="{D5CDD505-2E9C-101B-9397-08002B2CF9AE}" pid="8" name="MSIP_Label_6bd9ddd1-4d20-43f6-abfa-fc3c07406f94_ContentBits">
    <vt:lpwstr>0</vt:lpwstr>
  </property>
  <property fmtid="{D5CDD505-2E9C-101B-9397-08002B2CF9AE}" pid="9" name="MSIP_Label_6bd9ddd1-4d20-43f6-abfa-fc3c07406f94_Enabled">
    <vt:lpwstr>true</vt:lpwstr>
  </property>
  <property fmtid="{D5CDD505-2E9C-101B-9397-08002B2CF9AE}" pid="10" name="MSIP_Label_6bd9ddd1-4d20-43f6-abfa-fc3c07406f94_Method">
    <vt:lpwstr>Standard</vt:lpwstr>
  </property>
  <property fmtid="{D5CDD505-2E9C-101B-9397-08002B2CF9AE}" pid="11" name="MSIP_Label_6bd9ddd1-4d20-43f6-abfa-fc3c07406f94_Name">
    <vt:lpwstr>Commission Use</vt:lpwstr>
  </property>
  <property fmtid="{D5CDD505-2E9C-101B-9397-08002B2CF9AE}" pid="12" name="MSIP_Label_6bd9ddd1-4d20-43f6-abfa-fc3c07406f94_SetDate">
    <vt:lpwstr>2022-05-05T11:51:48Z</vt:lpwstr>
  </property>
  <property fmtid="{D5CDD505-2E9C-101B-9397-08002B2CF9AE}" pid="13" name="MSIP_Label_6bd9ddd1-4d20-43f6-abfa-fc3c07406f94_SiteId">
    <vt:lpwstr>b24c8b06-522c-46fe-9080-70926f8dddb1</vt:lpwstr>
  </property>
  <property fmtid="{D5CDD505-2E9C-101B-9397-08002B2CF9AE}" pid="14" name="MediaServiceImageTags">
    <vt:lpwstr/>
  </property>
  <property fmtid="{D5CDD505-2E9C-101B-9397-08002B2CF9AE}" pid="15" name="Operator">
    <vt:lpwstr>József Kiss</vt:lpwstr>
  </property>
  <property fmtid="{D5CDD505-2E9C-101B-9397-08002B2CF9AE}" pid="16" name="_activity">
    <vt:lpwstr/>
  </property>
</Properties>
</file>