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Beneficios del equipo de personas</w:t>
      </w:r>
    </w:p>
    <w:p>
      <w:r>
        <w:t>Contenido ficticio de Lumen Demo para pruebas de Documint. No es una política real.</w:t>
      </w:r>
    </w:p>
    <w:p>
      <w:pPr>
        <w:pStyle w:val="Heading1"/>
      </w:pPr>
      <w:r>
        <w:t>Descanso</w:t>
      </w:r>
    </w:p>
    <w:p>
      <w:r>
        <w:t>El equipo dispone de 20 días laborables de vacaciones al año.</w:t>
      </w:r>
    </w:p>
    <w:p>
      <w:pPr>
        <w:pStyle w:val="Heading1"/>
      </w:pPr>
      <w:r>
        <w:t>Bienestar</w:t>
      </w:r>
    </w:p>
    <w:p>
      <w:r>
        <w:t>El presupuesto anual de bienestar del equipo es de 600 PEN por persona.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Documint Demo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