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Recuperación de datos de ingeniería</w:t>
      </w:r>
    </w:p>
    <w:p>
      <w:r>
        <w:t>Contenido ficticio de Lumen Demo para pruebas de DocuMind AI. No es una política real.</w:t>
      </w:r>
    </w:p>
    <w:p>
      <w:pPr>
        <w:pStyle w:val="Heading1"/>
      </w:pPr>
      <w:r>
        <w:t>Objetivos</w:t>
      </w:r>
    </w:p>
    <w:p>
      <w:r>
        <w:t>El objetivo de recuperación RTO es de 45 minutos. El objetivo de pérdida de datos RPO es de 15 minutos.</w:t>
      </w:r>
    </w:p>
    <w:p>
      <w:pPr>
        <w:pStyle w:val="Heading1"/>
      </w:pPr>
      <w:r>
        <w:t>Procedimiento</w:t>
      </w:r>
    </w:p>
    <w:p>
      <w:r>
        <w:t>Para restaurar, validar la copia nocturna en staging y solicitar aprobación del responsable de guardia.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DocuMind Demo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