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TurAIsta: A Rule-Guarded Small AI Assistant for Offline Guest Communication by Philippine Farm-Tour Hosts</w:t>
      </w:r>
    </w:p>
    <w:p>
      <w:pPr>
        <w:spacing w:after="60"/>
        <w:jc w:val="center"/>
      </w:pPr>
      <w:r>
        <w:rPr>
          <w:rFonts w:ascii="Times New Roman" w:cs="Times New Roman" w:eastAsia="Times New Roman" w:hAnsi="Times New Roman"/>
          <w:sz w:val="24"/>
          <w:szCs w:val="24"/>
        </w:rPr>
        <w:t xml:space="preserve">Polytechnic University of the Philippines</w:t>
      </w:r>
    </w:p>
    <w:p>
      <w:pPr>
        <w:spacing w:after="60"/>
        <w:jc w:val="center"/>
      </w:pPr>
      <w:r>
        <w:rPr>
          <w:rFonts w:ascii="Times New Roman" w:cs="Times New Roman" w:eastAsia="Times New Roman" w:hAnsi="Times New Roman"/>
          <w:sz w:val="24"/>
          <w:szCs w:val="24"/>
        </w:rPr>
        <w:t xml:space="preserve">John Paul M. Curada and Marie Criz P. Zaragoza*</w:t>
      </w:r>
    </w:p>
    <w:p>
      <w:pPr>
        <w:spacing w:after="240"/>
        <w:jc w:val="center"/>
      </w:pPr>
      <w:hyperlink w:history="1" r:id="rIdyhhldpf6bdqgbgtpnmazx">
        <w:r>
          <w:rPr>
            <w:rStyle w:val="Hyperlink"/>
            <w:rFonts w:ascii="Times New Roman" w:cs="Times New Roman" w:eastAsia="Times New Roman" w:hAnsi="Times New Roman"/>
            <w:sz w:val="20"/>
            <w:szCs w:val="20"/>
          </w:rPr>
          <w:t xml:space="preserve">johnpaulmcurada@iskolarngbayan.pup.edu.ph</w:t>
        </w:r>
      </w:hyperlink>
      <w:r>
        <w:rPr>
          <w:rFonts w:ascii="Times New Roman" w:cs="Times New Roman" w:eastAsia="Times New Roman" w:hAnsi="Times New Roman"/>
          <w:sz w:val="20"/>
          <w:szCs w:val="20"/>
        </w:rPr>
        <w:t xml:space="preserve">, </w:t>
      </w:r>
      <w:hyperlink w:history="1" r:id="rIdujt8ykg31vt1etxeise6l">
        <w:r>
          <w:rPr>
            <w:rStyle w:val="Hyperlink"/>
            <w:rFonts w:ascii="Times New Roman" w:cs="Times New Roman" w:eastAsia="Times New Roman" w:hAnsi="Times New Roman"/>
            <w:sz w:val="20"/>
            <w:szCs w:val="20"/>
          </w:rPr>
          <w:t xml:space="preserve">mariecrizpzaragoza@iskolarngbayan.pup.edu.ph</w:t>
        </w:r>
      </w:hyperlink>
    </w:p>
    <w:p>
      <w:pPr>
        <w:spacing w:after="60"/>
        <w:jc w:val="center"/>
      </w:pPr>
      <w:r>
        <w:rPr>
          <w:rFonts w:ascii="Times New Roman" w:cs="Times New Roman" w:eastAsia="Times New Roman" w:hAnsi="Times New Roman"/>
          <w:sz w:val="24"/>
          <w:szCs w:val="24"/>
        </w:rPr>
        <w:t xml:space="preserve">*Corresponding author: Marie Criz P. Zaragoza</w:t>
      </w:r>
    </w:p>
    <w:p>
      <w:pPr>
        <w:keepNext/>
        <w:spacing w:before="240" w:after="120"/>
      </w:pPr>
      <w:r>
        <w:rPr>
          <w:rFonts w:ascii="Times New Roman" w:cs="Times New Roman" w:eastAsia="Times New Roman" w:hAnsi="Times New Roman"/>
          <w:b/>
          <w:bCs/>
          <w:sz w:val="28"/>
          <w:szCs w:val="28"/>
        </w:rPr>
        <w:t xml:space="preserve">Abstract</w:t>
      </w:r>
    </w:p>
    <w:p>
      <w:pPr>
        <w:spacing w:line="276" w:after="120"/>
        <w:jc w:val="both"/>
      </w:pPr>
      <w:r>
        <w:rPr>
          <w:rFonts w:ascii="Times New Roman" w:cs="Times New Roman" w:eastAsia="Times New Roman" w:hAnsi="Times New Roman"/>
          <w:sz w:val="24"/>
          <w:szCs w:val="24"/>
        </w:rPr>
        <w:t xml:space="preserve">Small farm-tour hosts in the Philippine highlands receive guest messages in Korean, Japanese, Chinese and English, often where there is no mobile signal. We examine whether offline small AI can help these hosts communicate with guests safely. We built TurAIsta, an offline Android assistant that explains each guest message in the host's language and drafts a reply using only facts the host has confirmed. The app never answers questions about food, allergies, health, children, accessibility or weather. The host sees a warning and a polite holding reply instead, and the host approves and sends every message. We tested open models that run offline. MMS speech recognition reached a word error rate of 13.1% for Tagalog and 14.4% for Cebuano on 100 FLEURS test utterances each. NLLB-200 (600M) scored chrF++ 52.4 to 57.5 from English into Tagalog, Cebuano and Ilocano, but 39.4 to 43.8 from Korean, Japanese and Chinese, on 100 FLORES+ sentences per direction. On farm-tour sentences, the same model turned "allergic to peanuts" into seeds, apples and vegetables. A Qwen2.5-0.5B model fine-tuned with LoRA classified guest intents with 96.0% accuracy on 250 messages from unseen templates. Adding a keyword safety rule raised accuracy to 98.4% and safety recall from 87.8% to 100%. Offline small AI can support guest communication, but general translation fails on safety-critical words. Safety must therefore be enforced by fixed rules outside the model and by the host.</w:t>
      </w:r>
    </w:p>
    <w:p>
      <w:pPr>
        <w:spacing w:line="276" w:after="1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small AI; offline translation; agritourism; low-resource languages; Tagalog; Cebuano; Ilocano; guardrails; human-in-the-loop; Philippines</w:t>
      </w:r>
    </w:p>
    <w:p>
      <w:pPr>
        <w:keepNext/>
        <w:spacing w:before="240" w:after="120"/>
      </w:pPr>
      <w:r>
        <w:rPr>
          <w:rFonts w:ascii="Times New Roman" w:cs="Times New Roman" w:eastAsia="Times New Roman" w:hAnsi="Times New Roman"/>
          <w:b/>
          <w:bCs/>
          <w:sz w:val="28"/>
          <w:szCs w:val="28"/>
        </w:rPr>
        <w:t xml:space="preserve">Introduction</w:t>
      </w:r>
    </w:p>
    <w:p>
      <w:pPr>
        <w:spacing w:line="276" w:after="120"/>
        <w:jc w:val="both"/>
      </w:pPr>
      <w:r>
        <w:rPr>
          <w:rFonts w:ascii="Times New Roman" w:cs="Times New Roman" w:eastAsia="Times New Roman" w:hAnsi="Times New Roman"/>
          <w:sz w:val="24"/>
          <w:szCs w:val="24"/>
        </w:rPr>
        <w:t xml:space="preserve">Small farm-tour hosts in the Philippine highlands welcome a few visitors a month, mostly through word of mouth. Many hosts speak Tagalog, Cebuano or Ilocano, while their guests write in Korean, Japanese, Chinese or English. Hosts often rely on a relative or a guide to translate, and many farms have no mobile signal. A Department of Tourism regional director said in 2018 that Filipinos miss tourism opportunities because they lack the skill to speak foreign languages, especially Chinese (Ignacio, 2018).</w:t>
      </w:r>
    </w:p>
    <w:p>
      <w:pPr>
        <w:spacing w:line="276" w:after="120"/>
        <w:jc w:val="both"/>
      </w:pPr>
      <w:r>
        <w:rPr>
          <w:rFonts w:ascii="Times New Roman" w:cs="Times New Roman" w:eastAsia="Times New Roman" w:hAnsi="Times New Roman"/>
          <w:sz w:val="24"/>
          <w:szCs w:val="24"/>
        </w:rPr>
        <w:t xml:space="preserve">General chatbots do not fit this setting. They need the internet, and they can state prices or answer safety questions without any verified source. A wrong answer about an allergy can harm a guest. The World Bank promotes "small AI": practical, affordable solutions that run on everyday devices where infrastructure and skills are limited (World Bank, 2026). TurAIsta applies this idea to tourism hosts.</w:t>
      </w:r>
    </w:p>
    <w:p>
      <w:pPr>
        <w:spacing w:line="276" w:after="120"/>
        <w:jc w:val="both"/>
      </w:pPr>
      <w:r>
        <w:rPr>
          <w:rFonts w:ascii="Times New Roman" w:cs="Times New Roman" w:eastAsia="Times New Roman" w:hAnsi="Times New Roman"/>
          <w:b/>
          <w:bCs/>
          <w:sz w:val="24"/>
          <w:szCs w:val="24"/>
        </w:rPr>
        <w:t xml:space="preserve">Terms.</w:t>
      </w:r>
      <w:r>
        <w:rPr>
          <w:rFonts w:ascii="Times New Roman" w:cs="Times New Roman" w:eastAsia="Times New Roman" w:hAnsi="Times New Roman"/>
          <w:sz w:val="24"/>
          <w:szCs w:val="24"/>
        </w:rPr>
        <w:t xml:space="preserve"> A </w:t>
      </w:r>
      <w:r>
        <w:rPr>
          <w:rFonts w:ascii="Times New Roman" w:cs="Times New Roman" w:eastAsia="Times New Roman" w:hAnsi="Times New Roman"/>
          <w:i/>
          <w:iCs/>
          <w:sz w:val="24"/>
          <w:szCs w:val="24"/>
        </w:rPr>
        <w:t xml:space="preserve">guest message</w:t>
      </w:r>
      <w:r>
        <w:rPr>
          <w:rFonts w:ascii="Times New Roman" w:cs="Times New Roman" w:eastAsia="Times New Roman" w:hAnsi="Times New Roman"/>
          <w:sz w:val="24"/>
          <w:szCs w:val="24"/>
        </w:rPr>
        <w:t xml:space="preserve"> is any text or speech a visitor sends to the host. A </w:t>
      </w:r>
      <w:r>
        <w:rPr>
          <w:rFonts w:ascii="Times New Roman" w:cs="Times New Roman" w:eastAsia="Times New Roman" w:hAnsi="Times New Roman"/>
          <w:i/>
          <w:iCs/>
          <w:sz w:val="24"/>
          <w:szCs w:val="24"/>
        </w:rPr>
        <w:t xml:space="preserve">draft</w:t>
      </w:r>
      <w:r>
        <w:rPr>
          <w:rFonts w:ascii="Times New Roman" w:cs="Times New Roman" w:eastAsia="Times New Roman" w:hAnsi="Times New Roman"/>
          <w:sz w:val="24"/>
          <w:szCs w:val="24"/>
        </w:rPr>
        <w:t xml:space="preserve"> is a reply the app proposes, built only from facts in the host's farm profile. A </w:t>
      </w:r>
      <w:r>
        <w:rPr>
          <w:rFonts w:ascii="Times New Roman" w:cs="Times New Roman" w:eastAsia="Times New Roman" w:hAnsi="Times New Roman"/>
          <w:i/>
          <w:iCs/>
          <w:sz w:val="24"/>
          <w:szCs w:val="24"/>
        </w:rPr>
        <w:t xml:space="preserve">block</w:t>
      </w:r>
      <w:r>
        <w:rPr>
          <w:rFonts w:ascii="Times New Roman" w:cs="Times New Roman" w:eastAsia="Times New Roman" w:hAnsi="Times New Roman"/>
          <w:sz w:val="24"/>
          <w:szCs w:val="24"/>
        </w:rPr>
        <w:t xml:space="preserve"> means the app writes no draft for a message. A </w:t>
      </w:r>
      <w:r>
        <w:rPr>
          <w:rFonts w:ascii="Times New Roman" w:cs="Times New Roman" w:eastAsia="Times New Roman" w:hAnsi="Times New Roman"/>
          <w:i/>
          <w:iCs/>
          <w:sz w:val="24"/>
          <w:szCs w:val="24"/>
        </w:rPr>
        <w:t xml:space="preserve">safety message</w:t>
      </w:r>
      <w:r>
        <w:rPr>
          <w:rFonts w:ascii="Times New Roman" w:cs="Times New Roman" w:eastAsia="Times New Roman" w:hAnsi="Times New Roman"/>
          <w:sz w:val="24"/>
          <w:szCs w:val="24"/>
        </w:rPr>
        <w:t xml:space="preserve"> is any message about food, allergies, health, children, accessibility or weather risk, and it is always blocked. </w:t>
      </w:r>
      <w:r>
        <w:rPr>
          <w:rFonts w:ascii="Times New Roman" w:cs="Times New Roman" w:eastAsia="Times New Roman" w:hAnsi="Times New Roman"/>
          <w:i/>
          <w:iCs/>
          <w:sz w:val="24"/>
          <w:szCs w:val="24"/>
        </w:rPr>
        <w:t xml:space="preserve">Host approval</w:t>
      </w:r>
      <w:r>
        <w:rPr>
          <w:rFonts w:ascii="Times New Roman" w:cs="Times New Roman" w:eastAsia="Times New Roman" w:hAnsi="Times New Roman"/>
          <w:sz w:val="24"/>
          <w:szCs w:val="24"/>
        </w:rPr>
        <w:t xml:space="preserve"> is the host's tap that copies or speaks a draft; nothing leaves the phone without it. A </w:t>
      </w:r>
      <w:r>
        <w:rPr>
          <w:rFonts w:ascii="Times New Roman" w:cs="Times New Roman" w:eastAsia="Times New Roman" w:hAnsi="Times New Roman"/>
          <w:i/>
          <w:iCs/>
          <w:sz w:val="24"/>
          <w:szCs w:val="24"/>
        </w:rPr>
        <w:t xml:space="preserve">keyword rule</w:t>
      </w:r>
      <w:r>
        <w:rPr>
          <w:rFonts w:ascii="Times New Roman" w:cs="Times New Roman" w:eastAsia="Times New Roman" w:hAnsi="Times New Roman"/>
          <w:sz w:val="24"/>
          <w:szCs w:val="24"/>
        </w:rPr>
        <w:t xml:space="preserve"> is a fixed list of safety words that forces a block whatever the model predicts.</w:t>
      </w:r>
    </w:p>
    <w:p>
      <w:pPr>
        <w:spacing w:line="276" w:after="120"/>
        <w:jc w:val="both"/>
      </w:pPr>
      <w:r>
        <w:rPr>
          <w:rFonts w:ascii="Times New Roman" w:cs="Times New Roman" w:eastAsia="Times New Roman" w:hAnsi="Times New Roman"/>
          <w:b/>
          <w:bCs/>
          <w:sz w:val="24"/>
          <w:szCs w:val="24"/>
        </w:rPr>
        <w:t xml:space="preserve">Research question.</w:t>
      </w:r>
      <w:r>
        <w:rPr>
          <w:rFonts w:ascii="Times New Roman" w:cs="Times New Roman" w:eastAsia="Times New Roman" w:hAnsi="Times New Roman"/>
          <w:sz w:val="24"/>
          <w:szCs w:val="24"/>
        </w:rPr>
        <w:t xml:space="preserve"> Can offline small AI support safe guest communication for Philippine farm-tour hosts? We ask three sub-questions:</w:t>
      </w:r>
    </w:p>
    <w:p>
      <w:pPr>
        <w:pStyle w:val="ListParagraph"/>
        <w:numPr>
          <w:ilvl w:val="0"/>
          <w:numId w:val="2"/>
        </w:numPr>
        <w:spacing w:line="276" w:after="120"/>
        <w:jc w:val="both"/>
      </w:pPr>
      <w:r>
        <w:rPr>
          <w:rFonts w:ascii="Times New Roman" w:cs="Times New Roman" w:eastAsia="Times New Roman" w:hAnsi="Times New Roman"/>
          <w:sz w:val="24"/>
          <w:szCs w:val="24"/>
        </w:rPr>
        <w:t xml:space="preserve">Which offline speech and translation models cover the host and guest languages, and how well do they perform on public benchmarks?</w:t>
      </w:r>
    </w:p>
    <w:p>
      <w:pPr>
        <w:pStyle w:val="ListParagraph"/>
        <w:numPr>
          <w:ilvl w:val="0"/>
          <w:numId w:val="2"/>
        </w:numPr>
        <w:spacing w:line="276" w:after="120"/>
        <w:jc w:val="both"/>
      </w:pPr>
      <w:r>
        <w:rPr>
          <w:rFonts w:ascii="Times New Roman" w:cs="Times New Roman" w:eastAsia="Times New Roman" w:hAnsi="Times New Roman"/>
          <w:sz w:val="24"/>
          <w:szCs w:val="24"/>
        </w:rPr>
        <w:t xml:space="preserve">Does offline machine translation keep safety-critical words, such as allergens, intact in farm-tour sentences?</w:t>
      </w:r>
    </w:p>
    <w:p>
      <w:pPr>
        <w:pStyle w:val="ListParagraph"/>
        <w:numPr>
          <w:ilvl w:val="0"/>
          <w:numId w:val="2"/>
        </w:numPr>
        <w:spacing w:line="276" w:after="120"/>
        <w:jc w:val="both"/>
      </w:pPr>
      <w:r>
        <w:rPr>
          <w:rFonts w:ascii="Times New Roman" w:cs="Times New Roman" w:eastAsia="Times New Roman" w:hAnsi="Times New Roman"/>
          <w:sz w:val="24"/>
          <w:szCs w:val="24"/>
        </w:rPr>
        <w:t xml:space="preserve">Can a small on-device model, combined with a keyword rule, sort guest messages by intent and catch every safety message?</w:t>
      </w:r>
    </w:p>
    <w:p>
      <w:pPr>
        <w:spacing w:line="276" w:after="120"/>
        <w:jc w:val="both"/>
      </w:pPr>
      <w:r>
        <w:rPr>
          <w:rFonts w:ascii="Times New Roman" w:cs="Times New Roman" w:eastAsia="Times New Roman" w:hAnsi="Times New Roman"/>
          <w:sz w:val="24"/>
          <w:szCs w:val="24"/>
        </w:rPr>
        <w:t xml:space="preserve">This is a feasibility and validation study. First, it benchmarks open offline models for speech recognition and translation in seven languages. Second, it examines how general translation handles farm-tour safety questions. Third, it fine-tunes a 0.5-billion-parameter intent model and measures what a fixed keyword rule adds to it. Fourth, it turns the results into a design in which the model labels messages, fixed rules block safety questions, and the host decides.</w:t>
      </w:r>
    </w:p>
    <w:p>
      <w:pPr>
        <w:keepNext/>
        <w:spacing w:before="240" w:after="120"/>
      </w:pPr>
      <w:r>
        <w:rPr>
          <w:rFonts w:ascii="Times New Roman" w:cs="Times New Roman" w:eastAsia="Times New Roman" w:hAnsi="Times New Roman"/>
          <w:b/>
          <w:bCs/>
          <w:sz w:val="28"/>
          <w:szCs w:val="28"/>
        </w:rPr>
        <w:t xml:space="preserve">Related Work</w:t>
      </w:r>
    </w:p>
    <w:p>
      <w:pPr>
        <w:spacing w:line="276" w:after="120"/>
        <w:jc w:val="both"/>
      </w:pPr>
      <w:r>
        <w:rPr>
          <w:rFonts w:ascii="Times New Roman" w:cs="Times New Roman" w:eastAsia="Times New Roman" w:hAnsi="Times New Roman"/>
          <w:b/>
          <w:bCs/>
          <w:sz w:val="24"/>
          <w:szCs w:val="24"/>
        </w:rPr>
        <w:t xml:space="preserve">Language barriers in tourism.</w:t>
      </w:r>
      <w:r>
        <w:rPr>
          <w:rFonts w:ascii="Times New Roman" w:cs="Times New Roman" w:eastAsia="Times New Roman" w:hAnsi="Times New Roman"/>
          <w:sz w:val="24"/>
          <w:szCs w:val="24"/>
        </w:rPr>
        <w:t xml:space="preserve"> Machine translation can help hospitality businesses bridge language barriers and reduce costs, but most experts interviewed by Carvalho (2024) felt it does not replace staff language skills. In the Philippines, the lack of foreign-language skills has been named as a barrier to tourism growth (Ignacio, 2018). We found no study of language support for Philippine farm-tour hosts.</w:t>
      </w:r>
    </w:p>
    <w:p>
      <w:pPr>
        <w:spacing w:line="276" w:after="120"/>
        <w:jc w:val="both"/>
      </w:pPr>
      <w:r>
        <w:rPr>
          <w:rFonts w:ascii="Times New Roman" w:cs="Times New Roman" w:eastAsia="Times New Roman" w:hAnsi="Times New Roman"/>
          <w:b/>
          <w:bCs/>
          <w:sz w:val="24"/>
          <w:szCs w:val="24"/>
        </w:rPr>
        <w:t xml:space="preserve">Translation errors in high-stakes messages.</w:t>
      </w:r>
      <w:r>
        <w:rPr>
          <w:rFonts w:ascii="Times New Roman" w:cs="Times New Roman" w:eastAsia="Times New Roman" w:hAnsi="Times New Roman"/>
          <w:sz w:val="24"/>
          <w:szCs w:val="24"/>
        </w:rPr>
        <w:t xml:space="preserve"> Google Translate rendered emergency-department discharge instructions with about 92% accuracy for Spanish and 81% for Chinese, and some errors could cause significant harm (Khoong et al., 2019). In a study with physicians, backtranslation helped them detect clinically harmful errors that quality estimation alone often missed (Mehandru et al., 2023). Numerical mistranslation is a general issue: major commercial systems and research models fail on many numerical test examples, for high- and low-resource languages (Wang et al., 2021).</w:t>
      </w:r>
    </w:p>
    <w:p>
      <w:pPr>
        <w:spacing w:line="276" w:after="120"/>
        <w:jc w:val="both"/>
      </w:pPr>
      <w:r>
        <w:rPr>
          <w:rFonts w:ascii="Times New Roman" w:cs="Times New Roman" w:eastAsia="Times New Roman" w:hAnsi="Times New Roman"/>
          <w:b/>
          <w:bCs/>
          <w:sz w:val="24"/>
          <w:szCs w:val="24"/>
        </w:rPr>
        <w:t xml:space="preserve">Low-resource Philippine languages.</w:t>
      </w:r>
      <w:r>
        <w:rPr>
          <w:rFonts w:ascii="Times New Roman" w:cs="Times New Roman" w:eastAsia="Times New Roman" w:hAnsi="Times New Roman"/>
          <w:sz w:val="24"/>
          <w:szCs w:val="24"/>
        </w:rPr>
        <w:t xml:space="preserve"> NLLB-200 translates 200 languages, including Tagalog, Cebuano and Ilocano (NLLB Team et al., 2022). MMS covers speech recognition and speech output for 1,107 languages (Pratap et al., 2023). FLEURS provides read-speech test sets for many of these languages (Conneau et al., 2022). FilBench evaluated 27 large language models on Filipino, Tagalog and Cebuano; the best model, GPT-4o, scored about 72% (Miranda et al., 2025). MASSIVE provides labelled virtual-assistant requests in 51 languages (FitzGerald et al., 2022).</w:t>
      </w:r>
    </w:p>
    <w:p>
      <w:pPr>
        <w:spacing w:line="276" w:after="120"/>
        <w:jc w:val="both"/>
      </w:pPr>
      <w:r>
        <w:rPr>
          <w:rFonts w:ascii="Times New Roman" w:cs="Times New Roman" w:eastAsia="Times New Roman" w:hAnsi="Times New Roman"/>
          <w:b/>
          <w:bCs/>
          <w:sz w:val="24"/>
          <w:szCs w:val="24"/>
        </w:rPr>
        <w:t xml:space="preserve">Small AI with a human in the loop.</w:t>
      </w:r>
      <w:r>
        <w:rPr>
          <w:rFonts w:ascii="Times New Roman" w:cs="Times New Roman" w:eastAsia="Times New Roman" w:hAnsi="Times New Roman"/>
          <w:sz w:val="24"/>
          <w:szCs w:val="24"/>
        </w:rPr>
        <w:t xml:space="preserve"> Pezego-HITL grounds a large language model in agricultural policy for extension services in Ghana and surveyed extension officers and smallholder farmers (Li et al., 2026). In AI-assisted replies, message-level suggestions made people faster and more satisfied, while sentence-level suggestions preserved more sense of agency (Fu et al., 2023). LoRA makes it practical to adapt small language models with few trainable parameters (Hu et al., 2021).</w:t>
      </w:r>
    </w:p>
    <w:p>
      <w:pPr>
        <w:spacing w:line="276" w:after="120"/>
        <w:jc w:val="both"/>
      </w:pPr>
      <w:r>
        <w:rPr>
          <w:rFonts w:ascii="Times New Roman" w:cs="Times New Roman" w:eastAsia="Times New Roman" w:hAnsi="Times New Roman"/>
          <w:b/>
          <w:bCs/>
          <w:sz w:val="24"/>
          <w:szCs w:val="24"/>
        </w:rPr>
        <w:t xml:space="preserve">Gap.</w:t>
      </w:r>
      <w:r>
        <w:rPr>
          <w:rFonts w:ascii="Times New Roman" w:cs="Times New Roman" w:eastAsia="Times New Roman" w:hAnsi="Times New Roman"/>
          <w:sz w:val="24"/>
          <w:szCs w:val="24"/>
        </w:rPr>
        <w:t xml:space="preserve"> Within our search, we found no study that evaluates offline speech and translation models for Philippine host languages in a tourism setting, and none that measures how a fixed safety rule changes what a small on-device intent model lets through. This is a statement about our search, not about the whole literature.</w:t>
      </w:r>
    </w:p>
    <w:p>
      <w:pPr>
        <w:keepNext/>
        <w:spacing w:before="240" w:after="120"/>
      </w:pPr>
      <w:r>
        <w:rPr>
          <w:rFonts w:ascii="Times New Roman" w:cs="Times New Roman" w:eastAsia="Times New Roman" w:hAnsi="Times New Roman"/>
          <w:b/>
          <w:bCs/>
          <w:sz w:val="28"/>
          <w:szCs w:val="28"/>
        </w:rPr>
        <w:t xml:space="preserve">Data</w:t>
      </w:r>
    </w:p>
    <w:p>
      <w:pPr>
        <w:spacing w:line="276" w:after="120"/>
        <w:jc w:val="both"/>
      </w:pPr>
      <w:r>
        <w:rPr>
          <w:rFonts w:ascii="Times New Roman" w:cs="Times New Roman" w:eastAsia="Times New Roman" w:hAnsi="Times New Roman"/>
          <w:sz w:val="24"/>
          <w:szCs w:val="24"/>
        </w:rPr>
        <w:t xml:space="preserve">TurAIsta's evaluation uses public benchmarks for speech and translation, and farm-tour messages generated from templates for the intent model. Benchmark test sets were used for evaluation only. All experiments ran on a single NVIDIA T4 GPU on Kaggle.</w:t>
      </w:r>
    </w:p>
    <w:p>
      <w:pPr>
        <w:keepNext/>
        <w:spacing w:before="120" w:after="60"/>
      </w:pPr>
      <w:r>
        <w:rPr>
          <w:rFonts w:ascii="Times New Roman" w:cs="Times New Roman" w:eastAsia="Times New Roman" w:hAnsi="Times New Roman"/>
          <w:i/>
          <w:iCs/>
          <w:sz w:val="20"/>
          <w:szCs w:val="20"/>
        </w:rPr>
        <w:t xml:space="preserve">Table 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7"/>
        <w:gridCol w:w="954"/>
        <w:gridCol w:w="2362"/>
        <w:gridCol w:w="1499"/>
        <w:gridCol w:w="2728"/>
      </w:tblGrid>
      <w:tr>
        <w:trPr>
          <w:cantSplit/>
          <w:tblHeader/>
        </w:trPr>
        <w:tc>
          <w:tcPr>
            <w:tcW w:type="dxa" w:w="1817"/>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Source</w:t>
            </w:r>
          </w:p>
        </w:tc>
        <w:tc>
          <w:tcPr>
            <w:tcW w:type="dxa" w:w="954"/>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Unit</w:t>
            </w:r>
          </w:p>
        </w:tc>
        <w:tc>
          <w:tcPr>
            <w:tcW w:type="dxa" w:w="2362"/>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Size</w:t>
            </w:r>
          </w:p>
        </w:tc>
        <w:tc>
          <w:tcPr>
            <w:tcW w:type="dxa" w:w="1499"/>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Measures</w:t>
            </w:r>
          </w:p>
        </w:tc>
        <w:tc>
          <w:tcPr>
            <w:tcW w:type="dxa" w:w="2728"/>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Known bias</w:t>
            </w:r>
          </w:p>
        </w:tc>
      </w:tr>
      <w:tr>
        <w:trPr>
          <w:cantSplit/>
          <w:tblHeader w:val="false"/>
        </w:trPr>
        <w:tc>
          <w:tcPr>
            <w:tcW w:type="dxa" w:w="18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FLEURS test (Conneau et al., 2022)</w:t>
            </w:r>
          </w:p>
        </w:tc>
        <w:tc>
          <w:tcPr>
            <w:tcW w:type="dxa" w:w="9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Read-speech utterance</w:t>
            </w:r>
          </w:p>
        </w:tc>
        <w:tc>
          <w:tcPr>
            <w:tcW w:type="dxa" w:w="23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100 per language (Tagalog, Cebuano)</w:t>
            </w:r>
          </w:p>
        </w:tc>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Word error rate</w:t>
            </w:r>
          </w:p>
        </w:tc>
        <w:tc>
          <w:tcPr>
            <w:tcW w:type="dxa" w:w="27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Read speech, not farm conversation; no Ilocano</w:t>
            </w:r>
          </w:p>
        </w:tc>
      </w:tr>
      <w:tr>
        <w:trPr>
          <w:cantSplit/>
          <w:tblHeader w:val="false"/>
        </w:trPr>
        <w:tc>
          <w:tcPr>
            <w:tcW w:type="dxa" w:w="18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FLORES+ devtest (NLLB Team et al., 2022)</w:t>
            </w:r>
          </w:p>
        </w:tc>
        <w:tc>
          <w:tcPr>
            <w:tcW w:type="dxa" w:w="9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Sentence</w:t>
            </w:r>
          </w:p>
        </w:tc>
        <w:tc>
          <w:tcPr>
            <w:tcW w:type="dxa" w:w="23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100 per direction, 15 directions</w:t>
            </w:r>
          </w:p>
        </w:tc>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chrF++</w:t>
            </w:r>
          </w:p>
        </w:tc>
        <w:tc>
          <w:tcPr>
            <w:tcW w:type="dxa" w:w="27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General-domain text, not guest messages</w:t>
            </w:r>
          </w:p>
        </w:tc>
      </w:tr>
      <w:tr>
        <w:trPr>
          <w:cantSplit/>
          <w:tblHeader w:val="false"/>
        </w:trPr>
        <w:tc>
          <w:tcPr>
            <w:tcW w:type="dxa" w:w="18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Farm-phrase check</w:t>
            </w:r>
          </w:p>
        </w:tc>
        <w:tc>
          <w:tcPr>
            <w:tcW w:type="dxa" w:w="9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English sentence</w:t>
            </w:r>
          </w:p>
        </w:tc>
        <w:tc>
          <w:tcPr>
            <w:tcW w:type="dxa" w:w="23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5 sentences into 3 host languages</w:t>
            </w:r>
          </w:p>
        </w:tc>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Output inspected for key words</w:t>
            </w:r>
          </w:p>
        </w:tc>
        <w:tc>
          <w:tcPr>
            <w:tcW w:type="dxa" w:w="27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Small; no reference translations</w:t>
            </w:r>
          </w:p>
        </w:tc>
      </w:tr>
      <w:tr>
        <w:trPr>
          <w:cantSplit/>
          <w:tblHeader w:val="false"/>
        </w:trPr>
        <w:tc>
          <w:tcPr>
            <w:tcW w:type="dxa" w:w="18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Template-generated farm-tour messages</w:t>
            </w:r>
          </w:p>
        </w:tc>
        <w:tc>
          <w:tcPr>
            <w:tcW w:type="dxa" w:w="9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Message</w:t>
            </w:r>
          </w:p>
        </w:tc>
        <w:tc>
          <w:tcPr>
            <w:tcW w:type="dxa" w:w="23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306 templates; 1,310 training and 250 test sentences</w:t>
            </w:r>
          </w:p>
        </w:tc>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Intent and slots</w:t>
            </w:r>
          </w:p>
        </w:tc>
        <w:tc>
          <w:tcPr>
            <w:tcW w:type="dxa" w:w="27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Written by the team; Tagalog, Korean, Japanese and Chinese not reviewed by native speakers</w:t>
            </w:r>
          </w:p>
        </w:tc>
      </w:tr>
      <w:tr>
        <w:trPr>
          <w:cantSplit/>
          <w:tblHeader w:val="false"/>
        </w:trPr>
        <w:tc>
          <w:tcPr>
            <w:tcW w:type="dxa" w:w="1817"/>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MASSIVE 1.1 (FitzGerald et al., 2022)</w:t>
            </w:r>
          </w:p>
        </w:tc>
        <w:tc>
          <w:tcPr>
            <w:tcW w:type="dxa" w:w="9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Assistant request</w:t>
            </w:r>
          </w:p>
        </w:tc>
        <w:tc>
          <w:tcPr>
            <w:tcW w:type="dxa" w:w="23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300 sentences, 60 per language</w:t>
            </w:r>
          </w:p>
        </w:tc>
        <w:tc>
          <w:tcPr>
            <w:tcW w:type="dxa" w:w="149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Extra OTHER examples for training</w:t>
            </w:r>
          </w:p>
        </w:tc>
        <w:tc>
          <w:tcPr>
            <w:tcW w:type="dxa" w:w="27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Virtual-assistant domain</w:t>
            </w:r>
          </w:p>
        </w:tc>
      </w:tr>
      <w:tr>
        <w:trPr>
          <w:cantSplit/>
          <w:tblHeader w:val="false"/>
        </w:trPr>
        <w:tc>
          <w:tcPr>
            <w:tcW w:type="dxa" w:w="1817"/>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Hand-written test messages</w:t>
            </w:r>
          </w:p>
        </w:tc>
        <w:tc>
          <w:tcPr>
            <w:tcW w:type="dxa" w:w="954"/>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Message</w:t>
            </w:r>
          </w:p>
        </w:tc>
        <w:tc>
          <w:tcPr>
            <w:tcW w:type="dxa" w:w="2362"/>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22 (4 or 5 per language)</w:t>
            </w:r>
          </w:p>
        </w:tc>
        <w:tc>
          <w:tcPr>
            <w:tcW w:type="dxa" w:w="1499"/>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Intent</w:t>
            </w:r>
          </w:p>
        </w:tc>
        <w:tc>
          <w:tcPr>
            <w:tcW w:type="dxa" w:w="2728"/>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Hand-written by the team; reused across model versions</w:t>
            </w:r>
          </w:p>
        </w:tc>
      </w:tr>
    </w:tbl>
    <w:p>
      <w:pPr>
        <w:spacing w:after="120"/>
      </w:pPr>
    </w:p>
    <w:p>
      <w:pPr>
        <w:spacing w:line="276" w:after="120"/>
        <w:jc w:val="both"/>
      </w:pPr>
      <w:r>
        <w:rPr>
          <w:rFonts w:ascii="Times New Roman" w:cs="Times New Roman" w:eastAsia="Times New Roman" w:hAnsi="Times New Roman"/>
          <w:sz w:val="24"/>
          <w:szCs w:val="24"/>
        </w:rPr>
        <w:t xml:space="preserve">We also audited which languages each model and test set supports, by loading the released checkpoints and dataset configurations directly.</w:t>
      </w:r>
    </w:p>
    <w:p>
      <w:pPr>
        <w:keepNext/>
        <w:spacing w:before="240" w:after="120"/>
      </w:pPr>
      <w:r>
        <w:rPr>
          <w:rFonts w:ascii="Times New Roman" w:cs="Times New Roman" w:eastAsia="Times New Roman" w:hAnsi="Times New Roman"/>
          <w:b/>
          <w:bCs/>
          <w:sz w:val="28"/>
          <w:szCs w:val="28"/>
        </w:rPr>
        <w:t xml:space="preserve">Method</w:t>
      </w:r>
    </w:p>
    <w:p>
      <w:pPr>
        <w:keepNext/>
        <w:spacing w:before="180" w:after="80"/>
      </w:pPr>
      <w:r>
        <w:rPr>
          <w:rFonts w:ascii="Times New Roman" w:cs="Times New Roman" w:eastAsia="Times New Roman" w:hAnsi="Times New Roman"/>
          <w:b/>
          <w:bCs/>
          <w:sz w:val="24"/>
          <w:szCs w:val="24"/>
        </w:rPr>
        <w:t xml:space="preserve">The TurAIsta app</w:t>
      </w:r>
    </w:p>
    <w:p>
      <w:pPr>
        <w:spacing w:line="276" w:after="120"/>
        <w:jc w:val="both"/>
      </w:pPr>
      <w:r>
        <w:rPr>
          <w:rFonts w:ascii="Times New Roman" w:cs="Times New Roman" w:eastAsia="Times New Roman" w:hAnsi="Times New Roman"/>
          <w:sz w:val="24"/>
          <w:szCs w:val="24"/>
        </w:rPr>
        <w:t xml:space="preserve">TurAIsta is a Flutter app for Android phones with about 3 GB of RAM. After a one-time language download on Wi-Fi, it runs fully offline. Figure 1 shows how one guest message is handled.</w:t>
      </w:r>
    </w:p>
    <w:p>
      <w:pPr>
        <w:keepNext/>
        <w:spacing w:before="120" w:after="60"/>
        <w:jc w:val="center"/>
      </w:pPr>
      <w:r>
        <w:drawing>
          <wp:inline distT="0" distB="0" distL="0" distR="0">
            <wp:extent cx="524827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48275" cy="4819650"/>
                    </a:xfrm>
                    <a:prstGeom prst="rect">
                      <a:avLst/>
                    </a:prstGeom>
                  </pic:spPr>
                </pic:pic>
              </a:graphicData>
            </a:graphic>
          </wp:inline>
        </w:drawing>
      </w:r>
    </w:p>
    <w:p>
      <w:pPr>
        <w:spacing w:after="200" w:line="240"/>
        <w:jc w:val="both"/>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Flowchart of how TurAIsta handles one guest message. A safety or unknown message is blocked before translation and goes to the host (highlighted path); any other message gets a draft built from the farm profile, which the host must approve.</w:t>
      </w:r>
    </w:p>
    <w:p>
      <w:pPr>
        <w:spacing w:line="276" w:after="120"/>
        <w:jc w:val="both"/>
      </w:pPr>
      <w:r>
        <w:rPr>
          <w:rFonts w:ascii="Times New Roman" w:cs="Times New Roman" w:eastAsia="Times New Roman" w:hAnsi="Times New Roman"/>
          <w:sz w:val="24"/>
          <w:szCs w:val="24"/>
        </w:rPr>
        <w:t xml:space="preserve">Facts such as prices, group size, activities and directions come only from the farm profile, never from a model. A translated draft must contain exactly the numbers in the English draft; otherwise the app falls back to English and tells the host. The intent model runs on the phone's CPU through llama.cpp with a 512-token context, 4 threads and greedy decoding, and a grammar forces valid JSON output. If the model is missing or takes longer than 3 seconds, the keyword rule decides alone.</w:t>
      </w:r>
    </w:p>
    <w:p>
      <w:pPr>
        <w:keepNext/>
        <w:spacing w:before="180" w:after="80"/>
      </w:pPr>
      <w:r>
        <w:rPr>
          <w:rFonts w:ascii="Times New Roman" w:cs="Times New Roman" w:eastAsia="Times New Roman" w:hAnsi="Times New Roman"/>
          <w:b/>
          <w:bCs/>
          <w:sz w:val="24"/>
          <w:szCs w:val="24"/>
        </w:rPr>
        <w:t xml:space="preserve">Templates and split</w:t>
      </w:r>
    </w:p>
    <w:p>
      <w:pPr>
        <w:spacing w:line="276" w:after="120"/>
        <w:jc w:val="both"/>
      </w:pPr>
      <w:r>
        <w:rPr>
          <w:rFonts w:ascii="Times New Roman" w:cs="Times New Roman" w:eastAsia="Times New Roman" w:hAnsi="Times New Roman"/>
          <w:sz w:val="24"/>
          <w:szCs w:val="24"/>
        </w:rPr>
        <w:t xml:space="preserve">No public dataset covers farm-tour guest intents, so training and test messages were generated from 306 message templates in English, Tagalog, Korean, Japanese and Chinese. These messages are a test instrument for this study, not a released dataset. There are five intents: BOOKING, PRICE, DIRECTIONS, DIETARY_SAFETY and OTHER. DIETARY_SAFETY covers food, allergies, health, children, accessibility and weather risk. Each language has 10 formal templates per intent, plus casual chat-style templates for BOOKING, PRICE, DIRECTIONS and OTHER (four each in English and Tagalog, two each in Korean, Japanese and Chinese). Slots for party size, date, time, place, item and allergen are filled from lists of farm-tour values.</w:t>
      </w:r>
    </w:p>
    <w:p>
      <w:pPr>
        <w:spacing w:line="276" w:after="120"/>
        <w:jc w:val="both"/>
      </w:pPr>
      <w:r>
        <w:rPr>
          <w:rFonts w:ascii="Times New Roman" w:cs="Times New Roman" w:eastAsia="Times New Roman" w:hAnsi="Times New Roman"/>
          <w:sz w:val="24"/>
          <w:szCs w:val="24"/>
        </w:rPr>
        <w:t xml:space="preserve">We split by template, not by sentence. For each language and intent, 20% of the templates go to the test set (random seed 13), so every test sentence comes from a template the model never saw. In training, about half of the sentences also get a chat-style variant: lowercase, no final punctuation and common abbreviations such as "pls" and "hm po". We added 300 OTHER sentences from MASSIVE, 60 per language, drawn only from eight harmless labels such as greetings and date questions, and only when they contained no price, booking, route or safety word. The final training set has 1,610 sentences. The test set has 250 sentences: BOOKING 109, DIETARY_SAFETY 49, PRICE 40, DIRECTIONS 40 and OTHER 12.</w:t>
      </w:r>
    </w:p>
    <w:p>
      <w:pPr>
        <w:keepNext/>
        <w:spacing w:before="180" w:after="80"/>
      </w:pPr>
      <w:r>
        <w:rPr>
          <w:rFonts w:ascii="Times New Roman" w:cs="Times New Roman" w:eastAsia="Times New Roman" w:hAnsi="Times New Roman"/>
          <w:b/>
          <w:bCs/>
          <w:sz w:val="24"/>
          <w:szCs w:val="24"/>
        </w:rPr>
        <w:t xml:space="preserve">LoRA fine-tuning</w:t>
      </w:r>
    </w:p>
    <w:p>
      <w:pPr>
        <w:spacing w:line="276" w:after="120"/>
        <w:jc w:val="both"/>
      </w:pPr>
      <w:r>
        <w:rPr>
          <w:rFonts w:ascii="Times New Roman" w:cs="Times New Roman" w:eastAsia="Times New Roman" w:hAnsi="Times New Roman"/>
          <w:sz w:val="24"/>
          <w:szCs w:val="24"/>
        </w:rPr>
        <w:t xml:space="preserve">The base model is Qwen2.5-0.5B-Instruct (Yang et al., 2024). We applied LoRA (Hu et al., 2021) with rank 16, alpha 32 and dropout 0.05 to all attention and MLP projections, which gives 8.8 million trainable parameters (1.75% of the model). We trained for three epochs with batch size 16 and a peak learning rate of 2 × 10⁻⁴ on a one-cycle schedule. The loss is computed only on the JSON answer. Mean training loss fell from 0.0950 in epoch 1 to 0.0013 in epoch 3. The merged model was converted to GGUF at q8_0 with llama.cpp, giving a 507 MB file that ships inside the app.</w:t>
      </w:r>
    </w:p>
    <w:p>
      <w:pPr>
        <w:keepNext/>
        <w:spacing w:before="180" w:after="80"/>
      </w:pPr>
      <w:r>
        <w:rPr>
          <w:rFonts w:ascii="Times New Roman" w:cs="Times New Roman" w:eastAsia="Times New Roman" w:hAnsi="Times New Roman"/>
          <w:b/>
          <w:bCs/>
          <w:sz w:val="24"/>
          <w:szCs w:val="24"/>
        </w:rPr>
        <w:t xml:space="preserve">Keyword safety rule</w:t>
      </w:r>
    </w:p>
    <w:p>
      <w:pPr>
        <w:spacing w:line="276" w:after="120"/>
        <w:jc w:val="both"/>
      </w:pPr>
      <w:r>
        <w:rPr>
          <w:rFonts w:ascii="Times New Roman" w:cs="Times New Roman" w:eastAsia="Times New Roman" w:hAnsi="Times New Roman"/>
          <w:sz w:val="24"/>
          <w:szCs w:val="24"/>
        </w:rPr>
        <w:t xml:space="preserve">The keyword rule is a fixed list of allergen, diet, health, child, accessibility and weather words in English, Tagalog (including Taglish), Korean, Japanese and Chinese. Any match forces the intent to DIETARY_SAFETY, whatever the model predicts. Short Korean words match only as whole words with particles, and Tagalog words only as whole words, so that "bata" (child) does not match "Batangas".</w:t>
      </w:r>
    </w:p>
    <w:p>
      <w:pPr>
        <w:keepNext/>
        <w:spacing w:before="180" w:after="80"/>
      </w:pPr>
      <w:r>
        <w:rPr>
          <w:rFonts w:ascii="Times New Roman" w:cs="Times New Roman" w:eastAsia="Times New Roman" w:hAnsi="Times New Roman"/>
          <w:b/>
          <w:bCs/>
          <w:sz w:val="24"/>
          <w:szCs w:val="24"/>
        </w:rPr>
        <w:t xml:space="preserve">Benchmark protocol</w:t>
      </w:r>
    </w:p>
    <w:p>
      <w:pPr>
        <w:spacing w:line="276" w:after="120"/>
        <w:jc w:val="both"/>
      </w:pPr>
      <w:r>
        <w:rPr>
          <w:rFonts w:ascii="Times New Roman" w:cs="Times New Roman" w:eastAsia="Times New Roman" w:hAnsi="Times New Roman"/>
          <w:sz w:val="24"/>
          <w:szCs w:val="24"/>
        </w:rPr>
        <w:t xml:space="preserve">Speech recognition used MMS-1B-all (Pratap et al., 2023) with its Tagalog and Cebuano adapters on the first 100 distinct FLEURS test sentences per language. Word error rate was computed after lowercasing and removing punctuation. Translation used NLLB-200 distilled 600M (NLLB Team et al., 2022) with beam size 4 on 100 FLORES+ devtest sentences aligned by sentence id, scored with chrF++ (Popović, 2017). We translated from each guest language into each host language, and from each host language into English. For the farm-phrase check, five farm-tour questions were translated from English into each host language and inspected for their key words.</w:t>
      </w:r>
    </w:p>
    <w:p>
      <w:pPr>
        <w:keepNext/>
        <w:spacing w:before="120" w:after="60"/>
      </w:pPr>
      <w:r>
        <w:rPr>
          <w:rFonts w:ascii="Times New Roman" w:cs="Times New Roman" w:eastAsia="Times New Roman" w:hAnsi="Times New Roman"/>
          <w:i/>
          <w:iCs/>
          <w:sz w:val="20"/>
          <w:szCs w:val="20"/>
        </w:rPr>
        <w:t xml:space="preserve">Table 2. What each component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6"/>
        <w:gridCol w:w="2933"/>
        <w:gridCol w:w="2305"/>
        <w:gridCol w:w="2306"/>
      </w:tblGrid>
      <w:tr>
        <w:trPr>
          <w:cantSplit/>
          <w:tblHeader/>
        </w:trPr>
        <w:tc>
          <w:tcPr>
            <w:tcW w:type="dxa" w:w="1816"/>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Component</w:t>
            </w:r>
          </w:p>
        </w:tc>
        <w:tc>
          <w:tcPr>
            <w:tcW w:type="dxa" w:w="2933"/>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Role</w:t>
            </w:r>
          </w:p>
        </w:tc>
        <w:tc>
          <w:tcPr>
            <w:tcW w:type="dxa" w:w="2305"/>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Measured by</w:t>
            </w:r>
          </w:p>
        </w:tc>
        <w:tc>
          <w:tcPr>
            <w:tcW w:type="dxa" w:w="2306"/>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Use in the app</w:t>
            </w:r>
          </w:p>
        </w:tc>
      </w:tr>
      <w:tr>
        <w:trPr>
          <w:cantSplit/>
          <w:tblHeader w:val="false"/>
        </w:trPr>
        <w:tc>
          <w:tcPr>
            <w:tcW w:type="dxa" w:w="18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Intent model</w:t>
            </w:r>
          </w:p>
        </w:tc>
        <w:tc>
          <w:tcPr>
            <w:tcW w:type="dxa" w:w="2933"/>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Labels intent and copies slots</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Accuracy, recall, valid JSON</w:t>
            </w:r>
          </w:p>
        </w:tc>
        <w:tc>
          <w:tcPr>
            <w:tcW w:type="dxa" w:w="2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Suggests the intent</w:t>
            </w:r>
          </w:p>
        </w:tc>
      </w:tr>
      <w:tr>
        <w:trPr>
          <w:cantSplit/>
          <w:tblHeader w:val="false"/>
        </w:trPr>
        <w:tc>
          <w:tcPr>
            <w:tcW w:type="dxa" w:w="18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Keyword rule</w:t>
            </w:r>
          </w:p>
        </w:tc>
        <w:tc>
          <w:tcPr>
            <w:tcW w:type="dxa" w:w="2933"/>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Forces DIETARY_SAFETY on any safety word</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Safety recall with and without it</w:t>
            </w:r>
          </w:p>
        </w:tc>
        <w:tc>
          <w:tcPr>
            <w:tcW w:type="dxa" w:w="2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Can block; cannot unlock</w:t>
            </w:r>
          </w:p>
        </w:tc>
      </w:tr>
      <w:tr>
        <w:trPr>
          <w:cantSplit/>
          <w:tblHeader w:val="false"/>
        </w:trPr>
        <w:tc>
          <w:tcPr>
            <w:tcW w:type="dxa" w:w="18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Guardrail</w:t>
            </w:r>
          </w:p>
        </w:tc>
        <w:tc>
          <w:tcPr>
            <w:tcW w:type="dxa" w:w="2933"/>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Blocks DIETARY_SAFETY and OTHER</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Unit tests</w:t>
            </w:r>
          </w:p>
        </w:tc>
        <w:tc>
          <w:tcPr>
            <w:tcW w:type="dxa" w:w="2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Decides draft or block</w:t>
            </w:r>
          </w:p>
        </w:tc>
      </w:tr>
      <w:tr>
        <w:trPr>
          <w:cantSplit/>
          <w:tblHeader w:val="false"/>
        </w:trPr>
        <w:tc>
          <w:tcPr>
            <w:tcW w:type="dxa" w:w="18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Reply templates</w:t>
            </w:r>
          </w:p>
        </w:tc>
        <w:tc>
          <w:tcPr>
            <w:tcW w:type="dxa" w:w="2933"/>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Build drafts from the farm profile</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Unit tests on every number</w:t>
            </w:r>
          </w:p>
        </w:tc>
        <w:tc>
          <w:tcPr>
            <w:tcW w:type="dxa" w:w="2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Only source of facts</w:t>
            </w:r>
          </w:p>
        </w:tc>
      </w:tr>
      <w:tr>
        <w:trPr>
          <w:cantSplit/>
          <w:tblHeader w:val="false"/>
        </w:trPr>
        <w:tc>
          <w:tcPr>
            <w:tcW w:type="dxa" w:w="181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Translation + number check</w:t>
            </w:r>
          </w:p>
        </w:tc>
        <w:tc>
          <w:tcPr>
            <w:tcW w:type="dxa" w:w="2933"/>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Translates the draft; checks numbers match</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chrF++ (benchmark)</w:t>
            </w:r>
          </w:p>
        </w:tc>
        <w:tc>
          <w:tcPr>
            <w:tcW w:type="dxa" w:w="2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Falls back to English on mismatch</w:t>
            </w:r>
          </w:p>
        </w:tc>
      </w:tr>
      <w:tr>
        <w:trPr>
          <w:cantSplit/>
          <w:tblHeader w:val="false"/>
        </w:trPr>
        <w:tc>
          <w:tcPr>
            <w:tcW w:type="dxa" w:w="1816"/>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Host approval</w:t>
            </w:r>
          </w:p>
        </w:tc>
        <w:tc>
          <w:tcPr>
            <w:tcW w:type="dxa" w:w="2933"/>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Copies or speaks the reply</w:t>
            </w:r>
          </w:p>
        </w:tc>
        <w:tc>
          <w:tcPr>
            <w:tcW w:type="dxa" w:w="2305"/>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Not yet measured</w:t>
            </w:r>
          </w:p>
        </w:tc>
        <w:tc>
          <w:tcPr>
            <w:tcW w:type="dxa" w:w="2306"/>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Nothing is sent without it</w:t>
            </w:r>
          </w:p>
        </w:tc>
      </w:tr>
    </w:tbl>
    <w:p>
      <w:pPr>
        <w:spacing w:after="120"/>
      </w:pPr>
    </w:p>
    <w:p>
      <w:pPr>
        <w:keepNext/>
        <w:spacing w:before="180" w:after="80"/>
      </w:pPr>
      <w:r>
        <w:rPr>
          <w:rFonts w:ascii="Times New Roman" w:cs="Times New Roman" w:eastAsia="Times New Roman" w:hAnsi="Times New Roman"/>
          <w:b/>
          <w:bCs/>
          <w:sz w:val="24"/>
          <w:szCs w:val="24"/>
        </w:rPr>
        <w:t xml:space="preserve">Validity tests</w:t>
      </w:r>
    </w:p>
    <w:p>
      <w:pPr>
        <w:spacing w:line="276" w:after="120"/>
        <w:jc w:val="both"/>
      </w:pPr>
      <w:r>
        <w:rPr>
          <w:rFonts w:ascii="Times New Roman" w:cs="Times New Roman" w:eastAsia="Times New Roman" w:hAnsi="Times New Roman"/>
          <w:sz w:val="24"/>
          <w:szCs w:val="24"/>
        </w:rPr>
        <w:t xml:space="preserve">We separate four kinds of validity. </w:t>
      </w:r>
      <w:r>
        <w:rPr>
          <w:rFonts w:ascii="Times New Roman" w:cs="Times New Roman" w:eastAsia="Times New Roman" w:hAnsi="Times New Roman"/>
          <w:i/>
          <w:iCs/>
          <w:sz w:val="24"/>
          <w:szCs w:val="24"/>
        </w:rPr>
        <w:t xml:space="preserve">Benchmark validity</w:t>
      </w:r>
      <w:r>
        <w:rPr>
          <w:rFonts w:ascii="Times New Roman" w:cs="Times New Roman" w:eastAsia="Times New Roman" w:hAnsi="Times New Roman"/>
          <w:sz w:val="24"/>
          <w:szCs w:val="24"/>
        </w:rPr>
        <w:t xml:space="preserve">: the models perform acceptably on public test sets. </w:t>
      </w:r>
      <w:r>
        <w:rPr>
          <w:rFonts w:ascii="Times New Roman" w:cs="Times New Roman" w:eastAsia="Times New Roman" w:hAnsi="Times New Roman"/>
          <w:i/>
          <w:iCs/>
          <w:sz w:val="24"/>
          <w:szCs w:val="24"/>
        </w:rPr>
        <w:t xml:space="preserve">Safety validity</w:t>
      </w:r>
      <w:r>
        <w:rPr>
          <w:rFonts w:ascii="Times New Roman" w:cs="Times New Roman" w:eastAsia="Times New Roman" w:hAnsi="Times New Roman"/>
          <w:sz w:val="24"/>
          <w:szCs w:val="24"/>
        </w:rPr>
        <w:t xml:space="preserve">: every safety message is blocked. </w:t>
      </w:r>
      <w:r>
        <w:rPr>
          <w:rFonts w:ascii="Times New Roman" w:cs="Times New Roman" w:eastAsia="Times New Roman" w:hAnsi="Times New Roman"/>
          <w:i/>
          <w:iCs/>
          <w:sz w:val="24"/>
          <w:szCs w:val="24"/>
        </w:rPr>
        <w:t xml:space="preserve">Operational validity</w:t>
      </w:r>
      <w:r>
        <w:rPr>
          <w:rFonts w:ascii="Times New Roman" w:cs="Times New Roman" w:eastAsia="Times New Roman" w:hAnsi="Times New Roman"/>
          <w:sz w:val="24"/>
          <w:szCs w:val="24"/>
        </w:rPr>
        <w:t xml:space="preserve">: the app runs within the phone's time and memory limits. </w:t>
      </w:r>
      <w:r>
        <w:rPr>
          <w:rFonts w:ascii="Times New Roman" w:cs="Times New Roman" w:eastAsia="Times New Roman" w:hAnsi="Times New Roman"/>
          <w:i/>
          <w:iCs/>
          <w:sz w:val="24"/>
          <w:szCs w:val="24"/>
        </w:rPr>
        <w:t xml:space="preserve">Field validity</w:t>
      </w:r>
      <w:r>
        <w:rPr>
          <w:rFonts w:ascii="Times New Roman" w:cs="Times New Roman" w:eastAsia="Times New Roman" w:hAnsi="Times New Roman"/>
          <w:sz w:val="24"/>
          <w:szCs w:val="24"/>
        </w:rPr>
        <w:t xml:space="preserve">: hosts and guests can use it and trust it. This study tests benchmark validity (sub-questions 1 and 2) and safety validity on our templates (sub-question 3). Operational and field validity are not yet measured.</w:t>
      </w:r>
    </w:p>
    <w:p>
      <w:pPr>
        <w:keepNext/>
        <w:spacing w:before="240" w:after="120"/>
      </w:pPr>
      <w:r>
        <w:rPr>
          <w:rFonts w:ascii="Times New Roman" w:cs="Times New Roman" w:eastAsia="Times New Roman" w:hAnsi="Times New Roman"/>
          <w:b/>
          <w:bCs/>
          <w:sz w:val="28"/>
          <w:szCs w:val="28"/>
        </w:rPr>
        <w:t xml:space="preserve">Results</w:t>
      </w:r>
    </w:p>
    <w:p>
      <w:pPr>
        <w:keepNext/>
        <w:spacing w:before="180" w:after="80"/>
      </w:pPr>
      <w:r>
        <w:rPr>
          <w:rFonts w:ascii="Times New Roman" w:cs="Times New Roman" w:eastAsia="Times New Roman" w:hAnsi="Times New Roman"/>
          <w:b/>
          <w:bCs/>
          <w:sz w:val="24"/>
          <w:szCs w:val="24"/>
        </w:rPr>
        <w:t xml:space="preserve">Offline coverage and benchmark scores (sub-question 1)</w:t>
      </w:r>
    </w:p>
    <w:p>
      <w:pPr>
        <w:spacing w:line="276" w:after="120"/>
        <w:jc w:val="both"/>
      </w:pPr>
      <w:r>
        <w:rPr>
          <w:rFonts w:ascii="Times New Roman" w:cs="Times New Roman" w:eastAsia="Times New Roman" w:hAnsi="Times New Roman"/>
          <w:sz w:val="24"/>
          <w:szCs w:val="24"/>
        </w:rPr>
        <w:t xml:space="preserve">Every language has an offline speech recognition model and a translation model, but three gaps remain in speech (Figure 2). FLEURS has no Ilocano test set, and MMS has no Japanese or Chinese speech-output model.</w:t>
      </w:r>
    </w:p>
    <w:p>
      <w:pPr>
        <w:keepNext/>
        <w:spacing w:before="120"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6576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Offline model and test-set coverage for the three host and four guest languages. All seven languages have speech recognition and translation; Ilocano lacks a speech test set, and Japanese and Chinese lack MMS speech output.</w:t>
      </w:r>
    </w:p>
    <w:p>
      <w:pPr>
        <w:spacing w:line="276" w:after="120"/>
        <w:jc w:val="both"/>
      </w:pPr>
      <w:r>
        <w:rPr>
          <w:rFonts w:ascii="Times New Roman" w:cs="Times New Roman" w:eastAsia="Times New Roman" w:hAnsi="Times New Roman"/>
          <w:sz w:val="24"/>
          <w:szCs w:val="24"/>
        </w:rPr>
        <w:t xml:space="preserve">MMS-1B-all reached a word error rate of 13.1% on Tagalog and 14.4% on Cebuano (Figure 3).</w:t>
      </w:r>
    </w:p>
    <w:p>
      <w:pPr>
        <w:keepNext/>
        <w:spacing w:before="120" w:after="60"/>
        <w:jc w:val="center"/>
      </w:pPr>
      <w:r>
        <w:drawing>
          <wp:inline distT="0" distB="0" distL="0" distR="0">
            <wp:extent cx="33242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2905125"/>
                    </a:xfrm>
                    <a:prstGeom prst="rect">
                      <a:avLst/>
                    </a:prstGeom>
                  </pic:spPr>
                </pic:pic>
              </a:graphicData>
            </a:graphic>
          </wp:inline>
        </w:drawing>
      </w:r>
    </w:p>
    <w:p>
      <w:pPr>
        <w:spacing w:after="200" w:line="240"/>
        <w:jc w:val="both"/>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Word error rate of MMS-1B-all on 100 FLEURS test utterances per language. About one word in seven is recognized wrongly.</w:t>
      </w:r>
    </w:p>
    <w:p>
      <w:pPr>
        <w:spacing w:line="276" w:after="120"/>
        <w:jc w:val="both"/>
      </w:pPr>
      <w:r>
        <w:rPr>
          <w:rFonts w:ascii="Times New Roman" w:cs="Times New Roman" w:eastAsia="Times New Roman" w:hAnsi="Times New Roman"/>
          <w:sz w:val="24"/>
          <w:szCs w:val="24"/>
        </w:rPr>
        <w:t xml:space="preserve">Translation from English into the host languages scored 12 to 15 chrF++ points higher than direct translation from Korean, Japanese or Chinese (Figure 4). Ilocano was the weakest target from every source language. Into English, Tagalog scored 65.6, Cebuano 64.7 and Ilocano 60.1.</w:t>
      </w:r>
    </w:p>
    <w:p>
      <w:pPr>
        <w:keepNext/>
        <w:spacing w:before="120" w:after="60"/>
        <w:jc w:val="center"/>
      </w:pPr>
      <w:r>
        <w:drawing>
          <wp:inline distT="0" distB="0" distL="0" distR="0">
            <wp:extent cx="49339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1146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chrF++ of NLLB-200 (600M) from each guest language into each host language, 100 FLORES+ devtest sentences per direction. English translates best into all three host languages; Ilocano is the weakest target.</w:t>
      </w:r>
    </w:p>
    <w:p>
      <w:pPr>
        <w:keepNext/>
        <w:spacing w:before="180" w:after="80"/>
      </w:pPr>
      <w:r>
        <w:rPr>
          <w:rFonts w:ascii="Times New Roman" w:cs="Times New Roman" w:eastAsia="Times New Roman" w:hAnsi="Times New Roman"/>
          <w:b/>
          <w:bCs/>
          <w:sz w:val="24"/>
          <w:szCs w:val="24"/>
        </w:rPr>
        <w:t xml:space="preserve">Safety-critical translation errors (sub-question 2)</w:t>
      </w:r>
    </w:p>
    <w:p>
      <w:pPr>
        <w:spacing w:line="276" w:after="120"/>
        <w:jc w:val="both"/>
      </w:pPr>
      <w:r>
        <w:rPr>
          <w:rFonts w:ascii="Times New Roman" w:cs="Times New Roman" w:eastAsia="Times New Roman" w:hAnsi="Times New Roman"/>
          <w:sz w:val="24"/>
          <w:szCs w:val="24"/>
        </w:rPr>
        <w:t xml:space="preserve">In the booking, price and directions questions, the key words survived translation: the price question, "four people", "Saturday" and "bus terminal". The allergy question failed in all three host languages, and the trail-safety question failed in Cebuano (Table 3).</w:t>
      </w:r>
    </w:p>
    <w:p>
      <w:pPr>
        <w:keepNext/>
        <w:spacing w:before="120" w:after="60"/>
      </w:pPr>
      <w:r>
        <w:rPr>
          <w:rFonts w:ascii="Times New Roman" w:cs="Times New Roman" w:eastAsia="Times New Roman" w:hAnsi="Times New Roman"/>
          <w:i/>
          <w:iCs/>
          <w:sz w:val="20"/>
          <w:szCs w:val="20"/>
        </w:rPr>
        <w:t xml:space="preserve">Table 3. NLLB-200 output for two farm-tour safety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1"/>
        <w:gridCol w:w="1058"/>
        <w:gridCol w:w="4069"/>
        <w:gridCol w:w="1792"/>
      </w:tblGrid>
      <w:tr>
        <w:trPr>
          <w:cantSplit/>
          <w:tblHeader/>
        </w:trPr>
        <w:tc>
          <w:tcPr>
            <w:tcW w:type="dxa" w:w="2441"/>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English source</w:t>
            </w:r>
          </w:p>
        </w:tc>
        <w:tc>
          <w:tcPr>
            <w:tcW w:type="dxa" w:w="1058"/>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Host language</w:t>
            </w:r>
          </w:p>
        </w:tc>
        <w:tc>
          <w:tcPr>
            <w:tcW w:type="dxa" w:w="4069"/>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NLLB-200 output</w:t>
            </w:r>
          </w:p>
        </w:tc>
        <w:tc>
          <w:tcPr>
            <w:tcW w:type="dxa" w:w="1792"/>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bCs/>
                <w:sz w:val="20"/>
                <w:szCs w:val="20"/>
              </w:rPr>
              <w:t xml:space="preserve">Meaning of the error</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My son is allergic to peanuts.</w:t>
            </w:r>
          </w:p>
        </w:tc>
        <w:tc>
          <w:tcPr>
            <w:tcW w:type="dxa" w:w="10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Tagalog</w:t>
            </w:r>
          </w:p>
        </w:tc>
        <w:tc>
          <w:tcPr>
            <w:tcW w:type="dxa" w:w="406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Ang aking anak ay allergic sa mga buto.</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allergic to seeds</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My son is allergic to peanuts.</w:t>
            </w:r>
          </w:p>
        </w:tc>
        <w:tc>
          <w:tcPr>
            <w:tcW w:type="dxa" w:w="10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Cebuano</w:t>
            </w:r>
          </w:p>
        </w:tc>
        <w:tc>
          <w:tcPr>
            <w:tcW w:type="dxa" w:w="406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Ang akong anak nga lalaki alergik sa mga mansanas.</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allergic to apples</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My son is allergic to peanuts.</w:t>
            </w:r>
          </w:p>
        </w:tc>
        <w:tc>
          <w:tcPr>
            <w:tcW w:type="dxa" w:w="10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Ilocano</w:t>
            </w:r>
          </w:p>
        </w:tc>
        <w:tc>
          <w:tcPr>
            <w:tcW w:type="dxa" w:w="4069"/>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Ti anakko ket alergiko kadagiti natnateng.</w:t>
            </w:r>
          </w:p>
        </w:tc>
        <w:tc>
          <w:tcPr>
            <w:tcW w:type="dxa" w:w="17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line="240"/>
            </w:pPr>
            <w:r>
              <w:rPr>
                <w:rFonts w:ascii="Times New Roman" w:cs="Times New Roman" w:eastAsia="Times New Roman" w:hAnsi="Times New Roman"/>
                <w:b w:val="false"/>
                <w:bCs w:val="false"/>
                <w:sz w:val="20"/>
                <w:szCs w:val="20"/>
              </w:rPr>
              <w:t xml:space="preserve">allergic to vegetables</w:t>
            </w:r>
          </w:p>
        </w:tc>
      </w:tr>
      <w:tr>
        <w:trPr>
          <w:cantSplit/>
          <w:tblHeader w:val="false"/>
        </w:trPr>
        <w:tc>
          <w:tcPr>
            <w:tcW w:type="dxa" w:w="2441"/>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Is the trail safe if it rains?</w:t>
            </w:r>
          </w:p>
        </w:tc>
        <w:tc>
          <w:tcPr>
            <w:tcW w:type="dxa" w:w="1058"/>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Cebuano</w:t>
            </w:r>
          </w:p>
        </w:tc>
        <w:tc>
          <w:tcPr>
            <w:tcW w:type="dxa" w:w="4069"/>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Malipayon ba ang dalan kon mouran?</w:t>
            </w:r>
          </w:p>
        </w:tc>
        <w:tc>
          <w:tcPr>
            <w:tcW w:type="dxa" w:w="1792"/>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val="false"/>
              <w:spacing w:after="0" w:line="240"/>
            </w:pPr>
            <w:r>
              <w:rPr>
                <w:rFonts w:ascii="Times New Roman" w:cs="Times New Roman" w:eastAsia="Times New Roman" w:hAnsi="Times New Roman"/>
                <w:b w:val="false"/>
                <w:bCs w:val="false"/>
                <w:sz w:val="20"/>
                <w:szCs w:val="20"/>
              </w:rPr>
              <w:t xml:space="preserve">is the trail happy</w:t>
            </w:r>
          </w:p>
        </w:tc>
      </w:tr>
    </w:tbl>
    <w:p>
      <w:pPr>
        <w:spacing w:after="120"/>
      </w:pPr>
    </w:p>
    <w:p>
      <w:pPr>
        <w:spacing w:line="276" w:after="120"/>
        <w:jc w:val="both"/>
      </w:pPr>
      <w:r>
        <w:rPr>
          <w:rFonts w:ascii="Times New Roman" w:cs="Times New Roman" w:eastAsia="Times New Roman" w:hAnsi="Times New Roman"/>
          <w:sz w:val="24"/>
          <w:szCs w:val="24"/>
        </w:rPr>
        <w:t xml:space="preserve">The word for peanut is "mani" in all three host languages. A host reading these outputs could tell a guest that the food is safe when it is not. These errors appeared in a model that scores 52 to 58 chrF++ from English, so a good benchmark score did not protect the one word that mattered.</w:t>
      </w:r>
    </w:p>
    <w:p>
      <w:pPr>
        <w:keepNext/>
        <w:spacing w:before="180" w:after="80"/>
      </w:pPr>
      <w:r>
        <w:rPr>
          <w:rFonts w:ascii="Times New Roman" w:cs="Times New Roman" w:eastAsia="Times New Roman" w:hAnsi="Times New Roman"/>
          <w:b/>
          <w:bCs/>
          <w:sz w:val="24"/>
          <w:szCs w:val="24"/>
        </w:rPr>
        <w:t xml:space="preserve">Intent model with and without the keyword rule (sub-question 3)</w:t>
      </w:r>
    </w:p>
    <w:p>
      <w:pPr>
        <w:spacing w:line="276" w:after="120"/>
        <w:jc w:val="both"/>
      </w:pPr>
      <w:r>
        <w:rPr>
          <w:rFonts w:ascii="Times New Roman" w:cs="Times New Roman" w:eastAsia="Times New Roman" w:hAnsi="Times New Roman"/>
          <w:sz w:val="24"/>
          <w:szCs w:val="24"/>
        </w:rPr>
        <w:t xml:space="preserve">The fine-tuned model alone missed 6 of the 49 safety messages in the template test; with the keyword rule, it missed none (Figure 5). Accuracy rose from 96.0% to 98.4%. Every output was valid JSON, and 75.6% of outputs had exactly the right slots.</w:t>
      </w:r>
    </w:p>
    <w:p>
      <w:pPr>
        <w:keepNext/>
        <w:spacing w:before="120" w:after="60"/>
        <w:jc w:val="center"/>
      </w:pPr>
      <w:r>
        <w:drawing>
          <wp:inline distT="0" distB="0" distL="0" distR="0">
            <wp:extent cx="43910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33147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Intent classification on 250 template-test messages from unseen templates, with and without the keyword rule. The rule raises safety recall from 87.8% to 100% and overall accuracy from 96.0% to 98.4%.</w:t>
      </w:r>
    </w:p>
    <w:p>
      <w:pPr>
        <w:spacing w:line="276" w:after="120"/>
        <w:jc w:val="both"/>
      </w:pPr>
      <w:r>
        <w:rPr>
          <w:rFonts w:ascii="Times New Roman" w:cs="Times New Roman" w:eastAsia="Times New Roman" w:hAnsi="Times New Roman"/>
          <w:sz w:val="24"/>
          <w:szCs w:val="24"/>
        </w:rPr>
        <w:t xml:space="preserve">With the keyword rule, template-test accuracy was 100% for English, Korean and Chinese, 97.6% for Japanese and 96.2% for Tagalog. On the 22 wild messages, both the model alone and the model with the rule scored 100%.</w:t>
      </w:r>
    </w:p>
    <w:p>
      <w:pPr>
        <w:spacing w:line="276" w:after="120"/>
        <w:jc w:val="both"/>
      </w:pPr>
      <w:r>
        <w:rPr>
          <w:rFonts w:ascii="Times New Roman" w:cs="Times New Roman" w:eastAsia="Times New Roman" w:hAnsi="Times New Roman"/>
          <w:sz w:val="24"/>
          <w:szCs w:val="24"/>
        </w:rPr>
        <w:t xml:space="preserve">The first version of the model scored 98.1% on its template test but only 81.8% on the wild messages. It missed "Bawal po ako sa gatas" ("I can't have milk") because the keyword list had no Tagalog, and it labelled casual price and directions questions as OTHER. The second version added Tagalog and Taglish keywords and casual templates. One error remains in our examples: "Salamat po sa masarap na lunch!" ("Thank you for the delicious lunch!") was labelled PRICE. The error is harmless, because a PRICE draft uses only profile facts and the host reads it before sending.</w:t>
      </w:r>
    </w:p>
    <w:p>
      <w:pPr>
        <w:keepNext/>
        <w:spacing w:before="240" w:after="120"/>
      </w:pPr>
      <w:r>
        <w:rPr>
          <w:rFonts w:ascii="Times New Roman" w:cs="Times New Roman" w:eastAsia="Times New Roman" w:hAnsi="Times New Roman"/>
          <w:b/>
          <w:bCs/>
          <w:sz w:val="28"/>
          <w:szCs w:val="28"/>
        </w:rPr>
        <w:t xml:space="preserve">Answers</w:t>
      </w:r>
    </w:p>
    <w:p>
      <w:pPr>
        <w:spacing w:line="276" w:after="120"/>
        <w:jc w:val="both"/>
      </w:pPr>
      <w:r>
        <w:rPr>
          <w:rFonts w:ascii="Times New Roman" w:cs="Times New Roman" w:eastAsia="Times New Roman" w:hAnsi="Times New Roman"/>
          <w:sz w:val="24"/>
          <w:szCs w:val="24"/>
        </w:rPr>
        <w:t xml:space="preserve">(1) Yes, with gaps. Offline models cover all seven languages for speech recognition and translation. Speech recognition errs on about one word in seven, and translation is clearly stronger from English than from Korean, Japanese or Chinese. Ilocano has no speech test set. (2) No. General translation lost the allergen in all three host languages and turned "safe" into "happy" in Cebuano. (3) Yes, but only with the keyword rule. The model alone missed 12.2% of safety messages; the rule caught all of them.</w:t>
      </w:r>
    </w:p>
    <w:p>
      <w:pPr>
        <w:keepNext/>
        <w:spacing w:before="240" w:after="120"/>
      </w:pPr>
      <w:r>
        <w:rPr>
          <w:rFonts w:ascii="Times New Roman" w:cs="Times New Roman" w:eastAsia="Times New Roman" w:hAnsi="Times New Roman"/>
          <w:b/>
          <w:bCs/>
          <w:sz w:val="28"/>
          <w:szCs w:val="28"/>
        </w:rPr>
        <w:t xml:space="preserve">App Prototype</w:t>
      </w:r>
    </w:p>
    <w:p>
      <w:pPr>
        <w:spacing w:line="276" w:after="120"/>
        <w:jc w:val="both"/>
      </w:pPr>
      <w:r>
        <w:rPr>
          <w:rFonts w:ascii="Times New Roman" w:cs="Times New Roman" w:eastAsia="Times New Roman" w:hAnsi="Times New Roman"/>
          <w:sz w:val="24"/>
          <w:szCs w:val="24"/>
        </w:rPr>
        <w:t xml:space="preserve">The TurAIsta prototype covers four stages of a host's day. In setup, the host enters the farm's name, directions, price, group size, activities and safety rules, chooses how to be addressed and whether to use "po", and the app reads each fact back for confirmation ("Tama po ba na PHP 350 bawat tao?"). In an inquiry, the host pastes a guest message from Messenger or SMS; the app explains it in Tagalog and drafts a reply, which the host copies and sends. For a safety question, the app shows "Not sure: ask a local guide/person" and a polite holding reply. In live chat, the phone lies flat between host and guest, translates speech both ways and speaks a reply only after the host taps it. The farm profile stays on the phone, Android backup is turned off, and preferences are asked, never inferred from age or gender.</w:t>
      </w:r>
    </w:p>
    <w:p>
      <w:pPr>
        <w:keepNext/>
        <w:spacing w:before="240" w:after="120"/>
      </w:pPr>
      <w:r>
        <w:rPr>
          <w:rFonts w:ascii="Times New Roman" w:cs="Times New Roman" w:eastAsia="Times New Roman" w:hAnsi="Times New Roman"/>
          <w:b/>
          <w:bCs/>
          <w:sz w:val="28"/>
          <w:szCs w:val="28"/>
        </w:rPr>
        <w:t xml:space="preserve">Discussion and Use</w:t>
      </w:r>
    </w:p>
    <w:p>
      <w:pPr>
        <w:spacing w:line="276" w:after="120"/>
        <w:jc w:val="both"/>
      </w:pPr>
      <w:r>
        <w:rPr>
          <w:rFonts w:ascii="Times New Roman" w:cs="Times New Roman" w:eastAsia="Times New Roman" w:hAnsi="Times New Roman"/>
          <w:b/>
          <w:bCs/>
          <w:sz w:val="24"/>
          <w:szCs w:val="24"/>
        </w:rPr>
        <w:t xml:space="preserve">Prior work.</w:t>
      </w:r>
      <w:r>
        <w:rPr>
          <w:rFonts w:ascii="Times New Roman" w:cs="Times New Roman" w:eastAsia="Times New Roman" w:hAnsi="Times New Roman"/>
          <w:sz w:val="24"/>
          <w:szCs w:val="24"/>
        </w:rPr>
        <w:t xml:space="preserve"> Our safety-critical errors match the emergency-room findings: machine translation can be accurate on average and still harmful on single words (Khoong et al., 2019; Mehandru et al., 2023). The number check in TurAIsta responds to the numerical errors reported by Wang et al. (2021). The weaker scores for Ilocano and for direct translation from Asian languages agree with FilBench's finding that Philippine languages remain hard for current models (Miranda et al., 2025).</w:t>
      </w:r>
    </w:p>
    <w:p>
      <w:pPr>
        <w:spacing w:line="276" w:after="120"/>
        <w:jc w:val="both"/>
      </w:pPr>
      <w:r>
        <w:rPr>
          <w:rFonts w:ascii="Times New Roman" w:cs="Times New Roman" w:eastAsia="Times New Roman" w:hAnsi="Times New Roman"/>
          <w:b/>
          <w:bCs/>
          <w:sz w:val="24"/>
          <w:szCs w:val="24"/>
        </w:rPr>
        <w:t xml:space="preserve">What hosts can do.</w:t>
      </w:r>
    </w:p>
    <w:p>
      <w:pPr>
        <w:pStyle w:val="ListParagraph"/>
        <w:numPr>
          <w:ilvl w:val="0"/>
          <w:numId w:val="3"/>
        </w:numPr>
        <w:spacing w:line="276" w:after="120"/>
        <w:jc w:val="both"/>
      </w:pPr>
      <w:r>
        <w:rPr>
          <w:rFonts w:ascii="Times New Roman" w:cs="Times New Roman" w:eastAsia="Times New Roman" w:hAnsi="Times New Roman"/>
          <w:sz w:val="24"/>
          <w:szCs w:val="24"/>
        </w:rPr>
        <w:t xml:space="preserve">Use TurAIsta to understand guest messages and to answer booking, price and directions questions from their own confirmed facts.</w:t>
      </w:r>
    </w:p>
    <w:p>
      <w:pPr>
        <w:pStyle w:val="ListParagraph"/>
        <w:numPr>
          <w:ilvl w:val="0"/>
          <w:numId w:val="3"/>
        </w:numPr>
        <w:spacing w:line="276" w:after="120"/>
        <w:jc w:val="both"/>
      </w:pPr>
      <w:r>
        <w:rPr>
          <w:rFonts w:ascii="Times New Roman" w:cs="Times New Roman" w:eastAsia="Times New Roman" w:hAnsi="Times New Roman"/>
          <w:sz w:val="24"/>
          <w:szCs w:val="24"/>
        </w:rPr>
        <w:t xml:space="preserve">Treat every warning card as a question they must answer themselves, in their own words or with a local guide.</w:t>
      </w:r>
    </w:p>
    <w:p>
      <w:pPr>
        <w:pStyle w:val="ListParagraph"/>
        <w:numPr>
          <w:ilvl w:val="0"/>
          <w:numId w:val="3"/>
        </w:numPr>
        <w:spacing w:line="276" w:after="120"/>
        <w:jc w:val="both"/>
      </w:pPr>
      <w:r>
        <w:rPr>
          <w:rFonts w:ascii="Times New Roman" w:cs="Times New Roman" w:eastAsia="Times New Roman" w:hAnsi="Times New Roman"/>
          <w:sz w:val="24"/>
          <w:szCs w:val="24"/>
        </w:rPr>
        <w:t xml:space="preserve">Keep their farm profile current, because every draft is built from it.</w:t>
      </w:r>
    </w:p>
    <w:p>
      <w:pPr>
        <w:spacing w:line="276" w:after="120"/>
        <w:jc w:val="both"/>
      </w:pPr>
      <w:r>
        <w:rPr>
          <w:rFonts w:ascii="Times New Roman" w:cs="Times New Roman" w:eastAsia="Times New Roman" w:hAnsi="Times New Roman"/>
          <w:b/>
          <w:bCs/>
          <w:sz w:val="24"/>
          <w:szCs w:val="24"/>
        </w:rPr>
        <w:t xml:space="preserve">What they must not conclude.</w:t>
      </w:r>
      <w:r>
        <w:rPr>
          <w:rFonts w:ascii="Times New Roman" w:cs="Times New Roman" w:eastAsia="Times New Roman" w:hAnsi="Times New Roman"/>
          <w:sz w:val="24"/>
          <w:szCs w:val="24"/>
        </w:rPr>
        <w:t xml:space="preserve"> That a translated message is correct because it reads smoothly; that a missing warning means a message is safe; that a draft can be sent without reading it; or that the app can answer questions about food, health or children.</w:t>
      </w:r>
    </w:p>
    <w:p>
      <w:pPr>
        <w:spacing w:line="276" w:after="120"/>
        <w:jc w:val="both"/>
      </w:pPr>
      <w:r>
        <w:rPr>
          <w:rFonts w:ascii="Times New Roman" w:cs="Times New Roman" w:eastAsia="Times New Roman" w:hAnsi="Times New Roman"/>
          <w:b/>
          <w:bCs/>
          <w:sz w:val="24"/>
          <w:szCs w:val="24"/>
        </w:rPr>
        <w:t xml:space="preserve">What would enable field use.</w:t>
      </w:r>
      <w:r>
        <w:rPr>
          <w:rFonts w:ascii="Times New Roman" w:cs="Times New Roman" w:eastAsia="Times New Roman" w:hAnsi="Times New Roman"/>
          <w:sz w:val="24"/>
          <w:szCs w:val="24"/>
        </w:rPr>
        <w:t xml:space="preserve"> Native-speaker review of the Tagalog, Korean, Japanese and Chinese templates and of the safety-card wording; a new test set of real or independently written guest messages; a measure of how often harmless messages are blocked; speed and memory measurements on a budget Android phone; and a field study with farm hosts and their guests.</w:t>
      </w:r>
    </w:p>
    <w:p>
      <w:pPr>
        <w:keepNext/>
        <w:spacing w:before="240" w:after="120"/>
      </w:pPr>
      <w:r>
        <w:rPr>
          <w:rFonts w:ascii="Times New Roman" w:cs="Times New Roman" w:eastAsia="Times New Roman" w:hAnsi="Times New Roman"/>
          <w:b/>
          <w:bCs/>
          <w:sz w:val="28"/>
          <w:szCs w:val="28"/>
        </w:rPr>
        <w:t xml:space="preserve">Limitations</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Templates not reviewed by native speakers.</w:t>
      </w:r>
      <w:r>
        <w:rPr>
          <w:rFonts w:ascii="Times New Roman" w:cs="Times New Roman" w:eastAsia="Times New Roman" w:hAnsi="Times New Roman"/>
          <w:sz w:val="24"/>
          <w:szCs w:val="24"/>
        </w:rPr>
        <w:t xml:space="preserve"> English templates were written by a fluent speaker; Tagalog, Korean, Japanese and Chinese templates still need native review.</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Wild test set reused.</w:t>
      </w:r>
      <w:r>
        <w:rPr>
          <w:rFonts w:ascii="Times New Roman" w:cs="Times New Roman" w:eastAsia="Times New Roman" w:hAnsi="Times New Roman"/>
          <w:sz w:val="24"/>
          <w:szCs w:val="24"/>
        </w:rPr>
        <w:t xml:space="preserve"> The 22 wild messages evaluated version 1 and again version 2, after changes made from version 1's errors. Version 2's 100% is therefore a development score.</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Safety recall may be optimistic.</w:t>
      </w:r>
      <w:r>
        <w:rPr>
          <w:rFonts w:ascii="Times New Roman" w:cs="Times New Roman" w:eastAsia="Times New Roman" w:hAnsi="Times New Roman"/>
          <w:sz w:val="24"/>
          <w:szCs w:val="24"/>
        </w:rPr>
        <w:t xml:space="preserve"> The same team wrote the safety templates and the keyword list. The rule may also block harmless questions that mention children or seniors; we did not measure this.</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Tested models differ from some shipped components.</w:t>
      </w:r>
      <w:r>
        <w:rPr>
          <w:rFonts w:ascii="Times New Roman" w:cs="Times New Roman" w:eastAsia="Times New Roman" w:hAnsi="Times New Roman"/>
          <w:sz w:val="24"/>
          <w:szCs w:val="24"/>
        </w:rPr>
        <w:t xml:space="preserve"> The app translates with ML Kit and listens with Android's offline speech service; we benchmarked NLLB-200 and MMS as open offline options. The intent model was evaluated before conversion to the q8_0 GGUF file.</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Small samples.</w:t>
      </w:r>
      <w:r>
        <w:rPr>
          <w:rFonts w:ascii="Times New Roman" w:cs="Times New Roman" w:eastAsia="Times New Roman" w:hAnsi="Times New Roman"/>
          <w:sz w:val="24"/>
          <w:szCs w:val="24"/>
        </w:rPr>
        <w:t xml:space="preserve"> Speech and translation scores use 100 items per language or direction, one run, without confidence intervals. The safety-error finding rests on five sentences.</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Speech gaps.</w:t>
      </w:r>
      <w:r>
        <w:rPr>
          <w:rFonts w:ascii="Times New Roman" w:cs="Times New Roman" w:eastAsia="Times New Roman" w:hAnsi="Times New Roman"/>
          <w:sz w:val="24"/>
          <w:szCs w:val="24"/>
        </w:rPr>
        <w:t xml:space="preserve"> FLEURS has no Ilocano test set, and MMS has no Japanese or Chinese speech-output model.</w:t>
      </w:r>
    </w:p>
    <w:p>
      <w:pPr>
        <w:pStyle w:val="ListParagraph"/>
        <w:numPr>
          <w:ilvl w:val="0"/>
          <w:numId w:val="4"/>
        </w:numPr>
        <w:spacing w:line="276" w:after="120"/>
        <w:jc w:val="both"/>
      </w:pPr>
      <w:r>
        <w:rPr>
          <w:rFonts w:ascii="Times New Roman" w:cs="Times New Roman" w:eastAsia="Times New Roman" w:hAnsi="Times New Roman"/>
          <w:b/>
          <w:bCs/>
          <w:sz w:val="24"/>
          <w:szCs w:val="24"/>
        </w:rPr>
        <w:t xml:space="preserve">No field or device study.</w:t>
      </w:r>
      <w:r>
        <w:rPr>
          <w:rFonts w:ascii="Times New Roman" w:cs="Times New Roman" w:eastAsia="Times New Roman" w:hAnsi="Times New Roman"/>
          <w:sz w:val="24"/>
          <w:szCs w:val="24"/>
        </w:rPr>
        <w:t xml:space="preserve"> We have not measured how hosts and guests use or trust the app, or its speed and memory use on a phone.</w:t>
      </w:r>
    </w:p>
    <w:p>
      <w:pPr>
        <w:keepNext/>
        <w:spacing w:before="240" w:after="120"/>
      </w:pPr>
      <w:r>
        <w:rPr>
          <w:rFonts w:ascii="Times New Roman" w:cs="Times New Roman" w:eastAsia="Times New Roman" w:hAnsi="Times New Roman"/>
          <w:b/>
          <w:bCs/>
          <w:sz w:val="28"/>
          <w:szCs w:val="28"/>
        </w:rPr>
        <w:t xml:space="preserve">Data and Code Availability</w:t>
      </w:r>
    </w:p>
    <w:p>
      <w:pPr>
        <w:spacing w:line="276" w:after="120"/>
        <w:jc w:val="both"/>
      </w:pPr>
      <w:r>
        <w:rPr>
          <w:rFonts w:ascii="Times New Roman" w:cs="Times New Roman" w:eastAsia="Times New Roman" w:hAnsi="Times New Roman"/>
          <w:sz w:val="24"/>
          <w:szCs w:val="24"/>
        </w:rPr>
        <w:t xml:space="preserve">The app, notebooks and figure script are in the project repository (</w:t>
      </w:r>
      <w:hyperlink w:history="1" r:id="rIdf4t2bc3nfmwli8uhcn6ib">
        <w:r>
          <w:rPr>
            <w:rStyle w:val="Hyperlink"/>
            <w:rFonts w:ascii="Times New Roman" w:cs="Times New Roman" w:eastAsia="Times New Roman" w:hAnsi="Times New Roman"/>
            <w:sz w:val="24"/>
            <w:szCs w:val="24"/>
          </w:rPr>
          <w:t xml:space="preserve">https://github.com/JpCurada/turaista-jpmc</w:t>
        </w:r>
      </w:hyperlink>
      <w:r>
        <w:rPr>
          <w:rFonts w:ascii="Times New Roman" w:cs="Times New Roman" w:eastAsia="Times New Roman" w:hAnsi="Times New Roman"/>
          <w:sz w:val="24"/>
          <w:szCs w:val="24"/>
        </w:rPr>
        <w:t xml:space="preserve">). The notebooks </w:t>
      </w:r>
      <w:r>
        <w:rPr>
          <w:rFonts w:ascii="Times New Roman" w:cs="Times New Roman" w:eastAsia="Times New Roman" w:hAnsi="Times New Roman"/>
          <w:sz w:val="24"/>
          <w:szCs w:val="24"/>
        </w:rPr>
        <w:t xml:space="preserve">turaista-dataset-audit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turaista-model-eval</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turaista-intent</w:t>
      </w:r>
      <w:r>
        <w:rPr>
          <w:rFonts w:ascii="Times New Roman" w:cs="Times New Roman" w:eastAsia="Times New Roman" w:hAnsi="Times New Roman"/>
          <w:sz w:val="24"/>
          <w:szCs w:val="24"/>
        </w:rPr>
        <w:t xml:space="preserve"> contain every number reported here, with their outputs saved. The intent model </w:t>
      </w:r>
      <w:r>
        <w:rPr>
          <w:rFonts w:ascii="Times New Roman" w:cs="Times New Roman" w:eastAsia="Times New Roman" w:hAnsi="Times New Roman"/>
          <w:sz w:val="24"/>
          <w:szCs w:val="24"/>
        </w:rPr>
        <w:t xml:space="preserve">turaista-intent-v2-q8_0.gguf</w:t>
      </w:r>
      <w:r>
        <w:rPr>
          <w:rFonts w:ascii="Times New Roman" w:cs="Times New Roman" w:eastAsia="Times New Roman" w:hAnsi="Times New Roman"/>
          <w:sz w:val="24"/>
          <w:szCs w:val="24"/>
        </w:rPr>
        <w:t xml:space="preserve"> (507 MB) is stored with Git LFS and is packed in the release APK. Public inputs are FLEURS, FLORES+ (openlanguagedata/flores_plus), MASSIVE 1.1, MMS-1B-all, MMS-TTS, NLLB-200 distilled 600M and Qwen2.5-0.5B-Instruct. Training used a fixed random seed of 13.</w:t>
      </w:r>
    </w:p>
    <w:p>
      <w:pPr>
        <w:keepNext/>
        <w:spacing w:before="240" w:after="120"/>
      </w:pPr>
      <w:r>
        <w:rPr>
          <w:rFonts w:ascii="Times New Roman" w:cs="Times New Roman" w:eastAsia="Times New Roman" w:hAnsi="Times New Roman"/>
          <w:b/>
          <w:bCs/>
          <w:sz w:val="28"/>
          <w:szCs w:val="28"/>
        </w:rPr>
        <w:t xml:space="preserve">Conclusion</w:t>
      </w:r>
    </w:p>
    <w:p>
      <w:pPr>
        <w:spacing w:line="276" w:after="120"/>
        <w:jc w:val="both"/>
      </w:pPr>
      <w:r>
        <w:rPr>
          <w:rFonts w:ascii="Times New Roman" w:cs="Times New Roman" w:eastAsia="Times New Roman" w:hAnsi="Times New Roman"/>
          <w:sz w:val="24"/>
          <w:szCs w:val="24"/>
        </w:rPr>
        <w:t xml:space="preserve">We asked whether offline small AI can support safe guest communication for Philippine farm-tour hosts. Offline speech recognition and translation work for Tagalog and Cebuano, with weaker results for Ilocano and for translation from Korean, Japanese and Chinese. General translation failed on the words that matter most for safety, and a fine-tuned intent model alone missed 12.2% of safety messages. A fixed keyword rule closed that gap on our test set. Small AI for tourism should keep the model in a narrow role, enforce safety with rules outside the model, and leave the final word to the host. Native-speaker review, an independent test set and a field study with hosts are the next steps.</w:t>
      </w:r>
    </w:p>
    <w:p>
      <w:pPr>
        <w:keepNext/>
        <w:spacing w:before="240" w:after="120"/>
      </w:pPr>
      <w:r>
        <w:rPr>
          <w:rFonts w:ascii="Times New Roman" w:cs="Times New Roman" w:eastAsia="Times New Roman" w:hAnsi="Times New Roman"/>
          <w:b/>
          <w:bCs/>
          <w:sz w:val="28"/>
          <w:szCs w:val="28"/>
        </w:rPr>
        <w:t xml:space="preserve">References</w:t>
      </w:r>
    </w:p>
    <w:p>
      <w:pPr>
        <w:spacing w:after="120" w:line="240"/>
        <w:ind w:left="720" w:hanging="720"/>
      </w:pPr>
      <w:r>
        <w:rPr>
          <w:rFonts w:ascii="Times New Roman" w:cs="Times New Roman" w:eastAsia="Times New Roman" w:hAnsi="Times New Roman"/>
          <w:sz w:val="24"/>
          <w:szCs w:val="24"/>
        </w:rPr>
        <w:t xml:space="preserve">Carvalho, I. (2024). Machine translation in tourism: Implications for the hospitality industry. </w:t>
      </w:r>
      <w:r>
        <w:rPr>
          <w:rFonts w:ascii="Times New Roman" w:cs="Times New Roman" w:eastAsia="Times New Roman" w:hAnsi="Times New Roman"/>
          <w:i/>
          <w:iCs/>
          <w:sz w:val="24"/>
          <w:szCs w:val="24"/>
        </w:rPr>
        <w:t xml:space="preserve">INVTUR Proceedings</w:t>
      </w:r>
      <w:r>
        <w:rPr>
          <w:rFonts w:ascii="Times New Roman" w:cs="Times New Roman" w:eastAsia="Times New Roman" w:hAnsi="Times New Roman"/>
          <w:sz w:val="24"/>
          <w:szCs w:val="24"/>
        </w:rPr>
        <w:t xml:space="preserve">. Universidade de Aveiro. </w:t>
      </w:r>
      <w:hyperlink w:history="1" r:id="rIdjp91qxoylgcq7aiooarxc">
        <w:r>
          <w:rPr>
            <w:rStyle w:val="Hyperlink"/>
            <w:rFonts w:ascii="Times New Roman" w:cs="Times New Roman" w:eastAsia="Times New Roman" w:hAnsi="Times New Roman"/>
            <w:sz w:val="24"/>
            <w:szCs w:val="24"/>
          </w:rPr>
          <w:t xml:space="preserve">https://proa.ua.pt/index.php/invtur/article/view/33757</w:t>
        </w:r>
      </w:hyperlink>
    </w:p>
    <w:p>
      <w:pPr>
        <w:spacing w:after="120" w:line="240"/>
        <w:ind w:left="720" w:hanging="720"/>
      </w:pPr>
      <w:r>
        <w:rPr>
          <w:rFonts w:ascii="Times New Roman" w:cs="Times New Roman" w:eastAsia="Times New Roman" w:hAnsi="Times New Roman"/>
          <w:sz w:val="24"/>
          <w:szCs w:val="24"/>
        </w:rPr>
        <w:t xml:space="preserve">Conneau, A., Ma, M., Khanuja, S., Zhang, Y., Axelrod, V., Dalmia, S., Riesa, J., Rivera, C., &amp; Bapna, A. (2022). </w:t>
      </w:r>
      <w:r>
        <w:rPr>
          <w:rFonts w:ascii="Times New Roman" w:cs="Times New Roman" w:eastAsia="Times New Roman" w:hAnsi="Times New Roman"/>
          <w:i/>
          <w:iCs/>
          <w:sz w:val="24"/>
          <w:szCs w:val="24"/>
        </w:rPr>
        <w:t xml:space="preserve">FLEURS: Few-shot learning evaluation of universal representations of speech</w:t>
      </w:r>
      <w:r>
        <w:rPr>
          <w:rFonts w:ascii="Times New Roman" w:cs="Times New Roman" w:eastAsia="Times New Roman" w:hAnsi="Times New Roman"/>
          <w:sz w:val="24"/>
          <w:szCs w:val="24"/>
        </w:rPr>
        <w:t xml:space="preserve"> (arXiv:2205.12446). arXiv. </w:t>
      </w:r>
      <w:hyperlink w:history="1" r:id="rId-rqlm_8rerym9q8rcg5p-">
        <w:r>
          <w:rPr>
            <w:rStyle w:val="Hyperlink"/>
            <w:rFonts w:ascii="Times New Roman" w:cs="Times New Roman" w:eastAsia="Times New Roman" w:hAnsi="Times New Roman"/>
            <w:sz w:val="24"/>
            <w:szCs w:val="24"/>
          </w:rPr>
          <w:t xml:space="preserve">https://doi.org/10.48550/arXiv.2205.12446</w:t>
        </w:r>
      </w:hyperlink>
    </w:p>
    <w:p>
      <w:pPr>
        <w:spacing w:after="120" w:line="240"/>
        <w:ind w:left="720" w:hanging="720"/>
      </w:pPr>
      <w:r>
        <w:rPr>
          <w:rFonts w:ascii="Times New Roman" w:cs="Times New Roman" w:eastAsia="Times New Roman" w:hAnsi="Times New Roman"/>
          <w:sz w:val="24"/>
          <w:szCs w:val="24"/>
        </w:rPr>
        <w:t xml:space="preserve">FitzGerald, J., Hench, C., Peris, C., Mackie, S., Rottmann, K., Sanchez, A., Nash, A., Urbach, L., Kakarala, V., Singh, R., Ranganath, S., Crist, L., Britan, M., Leeuwis, W., Tur, G., &amp; Natarajan, P. (2022). </w:t>
      </w:r>
      <w:r>
        <w:rPr>
          <w:rFonts w:ascii="Times New Roman" w:cs="Times New Roman" w:eastAsia="Times New Roman" w:hAnsi="Times New Roman"/>
          <w:i/>
          <w:iCs/>
          <w:sz w:val="24"/>
          <w:szCs w:val="24"/>
        </w:rPr>
        <w:t xml:space="preserve">MASSIVE: A 1M-example multilingual natural language understanding dataset with 51 typologically-diverse languages</w:t>
      </w:r>
      <w:r>
        <w:rPr>
          <w:rFonts w:ascii="Times New Roman" w:cs="Times New Roman" w:eastAsia="Times New Roman" w:hAnsi="Times New Roman"/>
          <w:sz w:val="24"/>
          <w:szCs w:val="24"/>
        </w:rPr>
        <w:t xml:space="preserve"> (arXiv:2204.08582). arXiv. </w:t>
      </w:r>
      <w:hyperlink w:history="1" r:id="rIdy4b1zlbpg1m88frwskeyv">
        <w:r>
          <w:rPr>
            <w:rStyle w:val="Hyperlink"/>
            <w:rFonts w:ascii="Times New Roman" w:cs="Times New Roman" w:eastAsia="Times New Roman" w:hAnsi="Times New Roman"/>
            <w:sz w:val="24"/>
            <w:szCs w:val="24"/>
          </w:rPr>
          <w:t xml:space="preserve">https://doi.org/10.48550/arXiv.2204.08582</w:t>
        </w:r>
      </w:hyperlink>
    </w:p>
    <w:p>
      <w:pPr>
        <w:spacing w:after="120" w:line="240"/>
        <w:ind w:left="720" w:hanging="720"/>
      </w:pPr>
      <w:r>
        <w:rPr>
          <w:rFonts w:ascii="Times New Roman" w:cs="Times New Roman" w:eastAsia="Times New Roman" w:hAnsi="Times New Roman"/>
          <w:sz w:val="24"/>
          <w:szCs w:val="24"/>
        </w:rPr>
        <w:t xml:space="preserve">Fu, L., Newman, B., Jakesch, M., &amp; Kreps, S. (2023). Comparing sentence-level suggestions to message-level suggestions in AI-mediated communication. </w:t>
      </w:r>
      <w:r>
        <w:rPr>
          <w:rFonts w:ascii="Times New Roman" w:cs="Times New Roman" w:eastAsia="Times New Roman" w:hAnsi="Times New Roman"/>
          <w:i/>
          <w:iCs/>
          <w:sz w:val="24"/>
          <w:szCs w:val="24"/>
        </w:rPr>
        <w:t xml:space="preserve">Proceedings of the 2023 CHI Conference on Human Factors in Computing Systems</w:t>
      </w:r>
      <w:r>
        <w:rPr>
          <w:rFonts w:ascii="Times New Roman" w:cs="Times New Roman" w:eastAsia="Times New Roman" w:hAnsi="Times New Roman"/>
          <w:sz w:val="24"/>
          <w:szCs w:val="24"/>
        </w:rPr>
        <w:t xml:space="preserve">. </w:t>
      </w:r>
      <w:hyperlink w:history="1" r:id="rId5egaftsd90bqcubpalesk">
        <w:r>
          <w:rPr>
            <w:rStyle w:val="Hyperlink"/>
            <w:rFonts w:ascii="Times New Roman" w:cs="Times New Roman" w:eastAsia="Times New Roman" w:hAnsi="Times New Roman"/>
            <w:sz w:val="24"/>
            <w:szCs w:val="24"/>
          </w:rPr>
          <w:t xml:space="preserve">https://doi.org/10.1145/3544548.3581351</w:t>
        </w:r>
      </w:hyperlink>
    </w:p>
    <w:p>
      <w:pPr>
        <w:spacing w:after="120" w:line="240"/>
        <w:ind w:left="720" w:hanging="720"/>
      </w:pPr>
      <w:r>
        <w:rPr>
          <w:rFonts w:ascii="Times New Roman" w:cs="Times New Roman" w:eastAsia="Times New Roman" w:hAnsi="Times New Roman"/>
          <w:sz w:val="24"/>
          <w:szCs w:val="24"/>
        </w:rPr>
        <w:t xml:space="preserve">Hu, E. J., Shen, Y., Wallis, P., Allen-Zhu, Z., Li, Y., Wang, S., Wang, L., &amp; Chen, W. (2021). </w:t>
      </w:r>
      <w:r>
        <w:rPr>
          <w:rFonts w:ascii="Times New Roman" w:cs="Times New Roman" w:eastAsia="Times New Roman" w:hAnsi="Times New Roman"/>
          <w:i/>
          <w:iCs/>
          <w:sz w:val="24"/>
          <w:szCs w:val="24"/>
        </w:rPr>
        <w:t xml:space="preserve">LoRA: Low-rank adaptation of large language models</w:t>
      </w:r>
      <w:r>
        <w:rPr>
          <w:rFonts w:ascii="Times New Roman" w:cs="Times New Roman" w:eastAsia="Times New Roman" w:hAnsi="Times New Roman"/>
          <w:sz w:val="24"/>
          <w:szCs w:val="24"/>
        </w:rPr>
        <w:t xml:space="preserve"> (arXiv:2106.09685). arXiv. </w:t>
      </w:r>
      <w:hyperlink w:history="1" r:id="rIdvbxdz5ct5kw6tbfc7sqsu">
        <w:r>
          <w:rPr>
            <w:rStyle w:val="Hyperlink"/>
            <w:rFonts w:ascii="Times New Roman" w:cs="Times New Roman" w:eastAsia="Times New Roman" w:hAnsi="Times New Roman"/>
            <w:sz w:val="24"/>
            <w:szCs w:val="24"/>
          </w:rPr>
          <w:t xml:space="preserve">https://doi.org/10.48550/arXiv.2106.09685</w:t>
        </w:r>
      </w:hyperlink>
    </w:p>
    <w:p>
      <w:pPr>
        <w:spacing w:after="120" w:line="240"/>
        <w:ind w:left="720" w:hanging="720"/>
      </w:pPr>
      <w:r>
        <w:rPr>
          <w:rFonts w:ascii="Times New Roman" w:cs="Times New Roman" w:eastAsia="Times New Roman" w:hAnsi="Times New Roman"/>
          <w:sz w:val="24"/>
          <w:szCs w:val="24"/>
        </w:rPr>
        <w:t xml:space="preserve">Ignacio, R. J. (2018, August 6). Language issue hampering PH tourist market. </w:t>
      </w:r>
      <w:r>
        <w:rPr>
          <w:rFonts w:ascii="Times New Roman" w:cs="Times New Roman" w:eastAsia="Times New Roman" w:hAnsi="Times New Roman"/>
          <w:i/>
          <w:iCs/>
          <w:sz w:val="24"/>
          <w:szCs w:val="24"/>
        </w:rPr>
        <w:t xml:space="preserve">The Manila Times</w:t>
      </w:r>
      <w:r>
        <w:rPr>
          <w:rFonts w:ascii="Times New Roman" w:cs="Times New Roman" w:eastAsia="Times New Roman" w:hAnsi="Times New Roman"/>
          <w:sz w:val="24"/>
          <w:szCs w:val="24"/>
        </w:rPr>
        <w:t xml:space="preserve">. </w:t>
      </w:r>
      <w:hyperlink w:history="1" r:id="rIdhiaavyhdhtvrv9wybnjan">
        <w:r>
          <w:rPr>
            <w:rStyle w:val="Hyperlink"/>
            <w:rFonts w:ascii="Times New Roman" w:cs="Times New Roman" w:eastAsia="Times New Roman" w:hAnsi="Times New Roman"/>
            <w:sz w:val="24"/>
            <w:szCs w:val="24"/>
          </w:rPr>
          <w:t xml:space="preserve">https://manilatimes.net/2018/08/06/business/language-issue-hampering-ph-tourist-market/427161</w:t>
        </w:r>
      </w:hyperlink>
    </w:p>
    <w:p>
      <w:pPr>
        <w:spacing w:after="120" w:line="240"/>
        <w:ind w:left="720" w:hanging="720"/>
      </w:pPr>
      <w:r>
        <w:rPr>
          <w:rFonts w:ascii="Times New Roman" w:cs="Times New Roman" w:eastAsia="Times New Roman" w:hAnsi="Times New Roman"/>
          <w:sz w:val="24"/>
          <w:szCs w:val="24"/>
        </w:rPr>
        <w:t xml:space="preserve">Khoong, E. C., Steinbrook, E., Brown, C., &amp; Fernandez, A. (2019). Assessing the use of Google Translate for Spanish and Chinese translations of emergency department discharge instructions. </w:t>
      </w:r>
      <w:r>
        <w:rPr>
          <w:rFonts w:ascii="Times New Roman" w:cs="Times New Roman" w:eastAsia="Times New Roman" w:hAnsi="Times New Roman"/>
          <w:i/>
          <w:iCs/>
          <w:sz w:val="24"/>
          <w:szCs w:val="24"/>
        </w:rPr>
        <w:t xml:space="preserve">JAMA Internal Medicine, 179</w:t>
      </w:r>
      <w:r>
        <w:rPr>
          <w:rFonts w:ascii="Times New Roman" w:cs="Times New Roman" w:eastAsia="Times New Roman" w:hAnsi="Times New Roman"/>
          <w:sz w:val="24"/>
          <w:szCs w:val="24"/>
        </w:rPr>
        <w:t xml:space="preserve">(4), 580–582. </w:t>
      </w:r>
      <w:hyperlink w:history="1" r:id="rId7fn4z6gurwjney0nty9sc">
        <w:r>
          <w:rPr>
            <w:rStyle w:val="Hyperlink"/>
            <w:rFonts w:ascii="Times New Roman" w:cs="Times New Roman" w:eastAsia="Times New Roman" w:hAnsi="Times New Roman"/>
            <w:sz w:val="24"/>
            <w:szCs w:val="24"/>
          </w:rPr>
          <w:t xml:space="preserve">https://doi.org/10.1001/jamainternmed.2018.7653</w:t>
        </w:r>
      </w:hyperlink>
    </w:p>
    <w:p>
      <w:pPr>
        <w:spacing w:after="120" w:line="240"/>
        <w:ind w:left="720" w:hanging="720"/>
      </w:pPr>
      <w:r>
        <w:rPr>
          <w:rFonts w:ascii="Times New Roman" w:cs="Times New Roman" w:eastAsia="Times New Roman" w:hAnsi="Times New Roman"/>
          <w:sz w:val="24"/>
          <w:szCs w:val="24"/>
        </w:rPr>
        <w:t xml:space="preserve">Li, S., Yuan, Z., Ofori, A., Fosu-Mensah, B. Y., Li, Y., Junjanna, M. K., Xue, Q., &amp; Yang, P. (2026). </w:t>
      </w:r>
      <w:r>
        <w:rPr>
          <w:rFonts w:ascii="Times New Roman" w:cs="Times New Roman" w:eastAsia="Times New Roman" w:hAnsi="Times New Roman"/>
          <w:i/>
          <w:iCs/>
          <w:sz w:val="24"/>
          <w:szCs w:val="24"/>
        </w:rPr>
        <w:t xml:space="preserve">Pezego-HITL: A policy-grounded large language model architecture for agricultural extension in Ghana</w:t>
      </w:r>
      <w:r>
        <w:rPr>
          <w:rFonts w:ascii="Times New Roman" w:cs="Times New Roman" w:eastAsia="Times New Roman" w:hAnsi="Times New Roman"/>
          <w:sz w:val="24"/>
          <w:szCs w:val="24"/>
        </w:rPr>
        <w:t xml:space="preserve"> (arXiv:2607.13934). arXiv. </w:t>
      </w:r>
      <w:hyperlink w:history="1" r:id="rIdcfoknads0jz4bgtpncvar">
        <w:r>
          <w:rPr>
            <w:rStyle w:val="Hyperlink"/>
            <w:rFonts w:ascii="Times New Roman" w:cs="Times New Roman" w:eastAsia="Times New Roman" w:hAnsi="Times New Roman"/>
            <w:sz w:val="24"/>
            <w:szCs w:val="24"/>
          </w:rPr>
          <w:t xml:space="preserve">https://doi.org/10.48550/arXiv.2607.13934</w:t>
        </w:r>
      </w:hyperlink>
    </w:p>
    <w:p>
      <w:pPr>
        <w:spacing w:after="120" w:line="240"/>
        <w:ind w:left="720" w:hanging="720"/>
      </w:pPr>
      <w:r>
        <w:rPr>
          <w:rFonts w:ascii="Times New Roman" w:cs="Times New Roman" w:eastAsia="Times New Roman" w:hAnsi="Times New Roman"/>
          <w:sz w:val="24"/>
          <w:szCs w:val="24"/>
        </w:rPr>
        <w:t xml:space="preserve">Mehandru, N., Agrawal, S., Xiao, Y., Gao, G., Khoong, E., Carpuat, M., &amp; Salehi, N. (2023). Physician detection of clinical harm in machine translation: Quality estimation aids in reliance and backtranslation identifies critical errors. In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 (pp. 11633–11647). Association for Computational Linguistics. </w:t>
      </w:r>
      <w:hyperlink w:history="1" r:id="rIdmorimyv05v41issbvx60k">
        <w:r>
          <w:rPr>
            <w:rStyle w:val="Hyperlink"/>
            <w:rFonts w:ascii="Times New Roman" w:cs="Times New Roman" w:eastAsia="Times New Roman" w:hAnsi="Times New Roman"/>
            <w:sz w:val="24"/>
            <w:szCs w:val="24"/>
          </w:rPr>
          <w:t xml:space="preserve">https://doi.org/10.18653/v1/2023.emnlp-main.712</w:t>
        </w:r>
      </w:hyperlink>
    </w:p>
    <w:p>
      <w:pPr>
        <w:spacing w:after="120" w:line="240"/>
        <w:ind w:left="720" w:hanging="720"/>
      </w:pPr>
      <w:r>
        <w:rPr>
          <w:rFonts w:ascii="Times New Roman" w:cs="Times New Roman" w:eastAsia="Times New Roman" w:hAnsi="Times New Roman"/>
          <w:sz w:val="24"/>
          <w:szCs w:val="24"/>
        </w:rPr>
        <w:t xml:space="preserve">Miranda, L. J. V., Aco, E., Manuel, C., Cruz, J. C. B., &amp; Imperial, J. M. (2025). </w:t>
      </w:r>
      <w:r>
        <w:rPr>
          <w:rFonts w:ascii="Times New Roman" w:cs="Times New Roman" w:eastAsia="Times New Roman" w:hAnsi="Times New Roman"/>
          <w:i/>
          <w:iCs/>
          <w:sz w:val="24"/>
          <w:szCs w:val="24"/>
        </w:rPr>
        <w:t xml:space="preserve">FilBench: Can LLMs understand and generate Filipino?</w:t>
      </w:r>
      <w:r>
        <w:rPr>
          <w:rFonts w:ascii="Times New Roman" w:cs="Times New Roman" w:eastAsia="Times New Roman" w:hAnsi="Times New Roman"/>
          <w:sz w:val="24"/>
          <w:szCs w:val="24"/>
        </w:rPr>
        <w:t xml:space="preserve"> (arXiv:2508.03523). arXiv. </w:t>
      </w:r>
      <w:hyperlink w:history="1" r:id="rIdo9bhpati1nopg6z016ccc">
        <w:r>
          <w:rPr>
            <w:rStyle w:val="Hyperlink"/>
            <w:rFonts w:ascii="Times New Roman" w:cs="Times New Roman" w:eastAsia="Times New Roman" w:hAnsi="Times New Roman"/>
            <w:sz w:val="24"/>
            <w:szCs w:val="24"/>
          </w:rPr>
          <w:t xml:space="preserve">https://doi.org/10.48550/arXiv.2508.03523</w:t>
        </w:r>
      </w:hyperlink>
    </w:p>
    <w:p>
      <w:pPr>
        <w:spacing w:after="120" w:line="240"/>
        <w:ind w:left="720" w:hanging="720"/>
      </w:pPr>
      <w:r>
        <w:rPr>
          <w:rFonts w:ascii="Times New Roman" w:cs="Times New Roman" w:eastAsia="Times New Roman" w:hAnsi="Times New Roman"/>
          <w:sz w:val="24"/>
          <w:szCs w:val="24"/>
        </w:rPr>
        <w:t xml:space="preserve">NLLB Team, Costa-jussà, M. R., Cross, J., Çelebi, O., Elbayad, M., et al. (2022). </w:t>
      </w:r>
      <w:r>
        <w:rPr>
          <w:rFonts w:ascii="Times New Roman" w:cs="Times New Roman" w:eastAsia="Times New Roman" w:hAnsi="Times New Roman"/>
          <w:i/>
          <w:iCs/>
          <w:sz w:val="24"/>
          <w:szCs w:val="24"/>
        </w:rPr>
        <w:t xml:space="preserve">No language left behind: Scaling human-centered machine translation</w:t>
      </w:r>
      <w:r>
        <w:rPr>
          <w:rFonts w:ascii="Times New Roman" w:cs="Times New Roman" w:eastAsia="Times New Roman" w:hAnsi="Times New Roman"/>
          <w:sz w:val="24"/>
          <w:szCs w:val="24"/>
        </w:rPr>
        <w:t xml:space="preserve"> (arXiv:2207.04672). arXiv. </w:t>
      </w:r>
      <w:hyperlink w:history="1" r:id="rId01r9_mrgqctyt46z6iz84">
        <w:r>
          <w:rPr>
            <w:rStyle w:val="Hyperlink"/>
            <w:rFonts w:ascii="Times New Roman" w:cs="Times New Roman" w:eastAsia="Times New Roman" w:hAnsi="Times New Roman"/>
            <w:sz w:val="24"/>
            <w:szCs w:val="24"/>
          </w:rPr>
          <w:t xml:space="preserve">https://doi.org/10.48550/arXiv.2207.04672</w:t>
        </w:r>
      </w:hyperlink>
    </w:p>
    <w:p>
      <w:pPr>
        <w:spacing w:after="120" w:line="240"/>
        <w:ind w:left="720" w:hanging="720"/>
      </w:pPr>
      <w:r>
        <w:rPr>
          <w:rFonts w:ascii="Times New Roman" w:cs="Times New Roman" w:eastAsia="Times New Roman" w:hAnsi="Times New Roman"/>
          <w:sz w:val="24"/>
          <w:szCs w:val="24"/>
        </w:rPr>
        <w:t xml:space="preserve">Popović, M. (2017). chrF++: Words helping character n-grams. In </w:t>
      </w:r>
      <w:r>
        <w:rPr>
          <w:rFonts w:ascii="Times New Roman" w:cs="Times New Roman" w:eastAsia="Times New Roman" w:hAnsi="Times New Roman"/>
          <w:i/>
          <w:iCs/>
          <w:sz w:val="24"/>
          <w:szCs w:val="24"/>
        </w:rPr>
        <w:t xml:space="preserve">Proceedings of the Second Conference on Machine Translation</w:t>
      </w:r>
      <w:r>
        <w:rPr>
          <w:rFonts w:ascii="Times New Roman" w:cs="Times New Roman" w:eastAsia="Times New Roman" w:hAnsi="Times New Roman"/>
          <w:sz w:val="24"/>
          <w:szCs w:val="24"/>
        </w:rPr>
        <w:t xml:space="preserve"> (pp. 612–618). Association for Computational Linguistics. </w:t>
      </w:r>
      <w:hyperlink w:history="1" r:id="rIdj8dlb_pl2_fdr4jeg3v5q">
        <w:r>
          <w:rPr>
            <w:rStyle w:val="Hyperlink"/>
            <w:rFonts w:ascii="Times New Roman" w:cs="Times New Roman" w:eastAsia="Times New Roman" w:hAnsi="Times New Roman"/>
            <w:sz w:val="24"/>
            <w:szCs w:val="24"/>
          </w:rPr>
          <w:t xml:space="preserve">https://doi.org/10.18653/v1/W17-4770</w:t>
        </w:r>
      </w:hyperlink>
    </w:p>
    <w:p>
      <w:pPr>
        <w:spacing w:after="120" w:line="240"/>
        <w:ind w:left="720" w:hanging="720"/>
      </w:pPr>
      <w:r>
        <w:rPr>
          <w:rFonts w:ascii="Times New Roman" w:cs="Times New Roman" w:eastAsia="Times New Roman" w:hAnsi="Times New Roman"/>
          <w:sz w:val="24"/>
          <w:szCs w:val="24"/>
        </w:rPr>
        <w:t xml:space="preserve">Pratap, V., Tjandra, A., Shi, B., Tomasello, P., Babu, A., Kundu, S., et al. (2023). </w:t>
      </w:r>
      <w:r>
        <w:rPr>
          <w:rFonts w:ascii="Times New Roman" w:cs="Times New Roman" w:eastAsia="Times New Roman" w:hAnsi="Times New Roman"/>
          <w:i/>
          <w:iCs/>
          <w:sz w:val="24"/>
          <w:szCs w:val="24"/>
        </w:rPr>
        <w:t xml:space="preserve">Scaling speech technology to 1,000+ languages</w:t>
      </w:r>
      <w:r>
        <w:rPr>
          <w:rFonts w:ascii="Times New Roman" w:cs="Times New Roman" w:eastAsia="Times New Roman" w:hAnsi="Times New Roman"/>
          <w:sz w:val="24"/>
          <w:szCs w:val="24"/>
        </w:rPr>
        <w:t xml:space="preserve"> (arXiv:2305.13516). arXiv. </w:t>
      </w:r>
      <w:hyperlink w:history="1" r:id="rIdqd1cr9amzx9wtpsy8wvll">
        <w:r>
          <w:rPr>
            <w:rStyle w:val="Hyperlink"/>
            <w:rFonts w:ascii="Times New Roman" w:cs="Times New Roman" w:eastAsia="Times New Roman" w:hAnsi="Times New Roman"/>
            <w:sz w:val="24"/>
            <w:szCs w:val="24"/>
          </w:rPr>
          <w:t xml:space="preserve">https://doi.org/10.48550/arXiv.2305.13516</w:t>
        </w:r>
      </w:hyperlink>
    </w:p>
    <w:p>
      <w:pPr>
        <w:spacing w:after="120" w:line="240"/>
        <w:ind w:left="720" w:hanging="720"/>
      </w:pPr>
      <w:r>
        <w:rPr>
          <w:rFonts w:ascii="Times New Roman" w:cs="Times New Roman" w:eastAsia="Times New Roman" w:hAnsi="Times New Roman"/>
          <w:sz w:val="24"/>
          <w:szCs w:val="24"/>
        </w:rPr>
        <w:t xml:space="preserve">Wang, J., Xu, C., Guzmán, F., El-Kishky, A., Rubinstein, B., &amp; Cohn, T. (2021). As easy as 1, 2, 3: Behavioural testing of NMT systems for numerical translation. In </w:t>
      </w:r>
      <w:r>
        <w:rPr>
          <w:rFonts w:ascii="Times New Roman" w:cs="Times New Roman" w:eastAsia="Times New Roman" w:hAnsi="Times New Roman"/>
          <w:i/>
          <w:iCs/>
          <w:sz w:val="24"/>
          <w:szCs w:val="24"/>
        </w:rPr>
        <w:t xml:space="preserve">Findings of the Association for Computational Linguistics: ACL-IJCNLP 2021</w:t>
      </w:r>
      <w:r>
        <w:rPr>
          <w:rFonts w:ascii="Times New Roman" w:cs="Times New Roman" w:eastAsia="Times New Roman" w:hAnsi="Times New Roman"/>
          <w:sz w:val="24"/>
          <w:szCs w:val="24"/>
        </w:rPr>
        <w:t xml:space="preserve"> (pp. 4711–4717). Association for Computational Linguistics. </w:t>
      </w:r>
      <w:hyperlink w:history="1" r:id="rIdbicnff20ckikup2ukt078">
        <w:r>
          <w:rPr>
            <w:rStyle w:val="Hyperlink"/>
            <w:rFonts w:ascii="Times New Roman" w:cs="Times New Roman" w:eastAsia="Times New Roman" w:hAnsi="Times New Roman"/>
            <w:sz w:val="24"/>
            <w:szCs w:val="24"/>
          </w:rPr>
          <w:t xml:space="preserve">https://doi.org/10.18653/v1/2021.findings-acl.415</w:t>
        </w:r>
      </w:hyperlink>
    </w:p>
    <w:p>
      <w:pPr>
        <w:spacing w:after="120" w:line="240"/>
        <w:ind w:left="720" w:hanging="720"/>
      </w:pPr>
      <w:r>
        <w:rPr>
          <w:rFonts w:ascii="Times New Roman" w:cs="Times New Roman" w:eastAsia="Times New Roman" w:hAnsi="Times New Roman"/>
          <w:sz w:val="24"/>
          <w:szCs w:val="24"/>
        </w:rPr>
        <w:t xml:space="preserve">World Bank. (2026, April 2). </w:t>
      </w:r>
      <w:r>
        <w:rPr>
          <w:rFonts w:ascii="Times New Roman" w:cs="Times New Roman" w:eastAsia="Times New Roman" w:hAnsi="Times New Roman"/>
          <w:i/>
          <w:iCs/>
          <w:sz w:val="24"/>
          <w:szCs w:val="24"/>
        </w:rPr>
        <w:t xml:space="preserve">Small AI, big impact</w:t>
      </w:r>
      <w:r>
        <w:rPr>
          <w:rFonts w:ascii="Times New Roman" w:cs="Times New Roman" w:eastAsia="Times New Roman" w:hAnsi="Times New Roman"/>
          <w:sz w:val="24"/>
          <w:szCs w:val="24"/>
        </w:rPr>
        <w:t xml:space="preserve">. </w:t>
      </w:r>
      <w:hyperlink w:history="1" r:id="rIdhxgsusxoyohparxiummkl">
        <w:r>
          <w:rPr>
            <w:rStyle w:val="Hyperlink"/>
            <w:rFonts w:ascii="Times New Roman" w:cs="Times New Roman" w:eastAsia="Times New Roman" w:hAnsi="Times New Roman"/>
            <w:sz w:val="24"/>
            <w:szCs w:val="24"/>
          </w:rPr>
          <w:t xml:space="preserve">https://www.worldbank.org/en/topic/digital/brief/small-ai-big-impact</w:t>
        </w:r>
      </w:hyperlink>
    </w:p>
    <w:p>
      <w:pPr>
        <w:spacing w:after="120" w:line="240"/>
        <w:ind w:left="720" w:hanging="720"/>
      </w:pPr>
      <w:r>
        <w:rPr>
          <w:rFonts w:ascii="Times New Roman" w:cs="Times New Roman" w:eastAsia="Times New Roman" w:hAnsi="Times New Roman"/>
          <w:sz w:val="24"/>
          <w:szCs w:val="24"/>
        </w:rPr>
        <w:t xml:space="preserve">Yang, A., Yang, B., Zhang, B., et al. (2024). </w:t>
      </w:r>
      <w:r>
        <w:rPr>
          <w:rFonts w:ascii="Times New Roman" w:cs="Times New Roman" w:eastAsia="Times New Roman" w:hAnsi="Times New Roman"/>
          <w:i/>
          <w:iCs/>
          <w:sz w:val="24"/>
          <w:szCs w:val="24"/>
        </w:rPr>
        <w:t xml:space="preserve">Qwen2.5 technical report</w:t>
      </w:r>
      <w:r>
        <w:rPr>
          <w:rFonts w:ascii="Times New Roman" w:cs="Times New Roman" w:eastAsia="Times New Roman" w:hAnsi="Times New Roman"/>
          <w:sz w:val="24"/>
          <w:szCs w:val="24"/>
        </w:rPr>
        <w:t xml:space="preserve"> (arXiv:2412.15115). arXiv. </w:t>
      </w:r>
      <w:hyperlink w:history="1" r:id="rId4t8eja29mz_hesonl5aqh">
        <w:r>
          <w:rPr>
            <w:rStyle w:val="Hyperlink"/>
            <w:rFonts w:ascii="Times New Roman" w:cs="Times New Roman" w:eastAsia="Times New Roman" w:hAnsi="Times New Roman"/>
            <w:sz w:val="24"/>
            <w:szCs w:val="24"/>
          </w:rPr>
          <w:t xml:space="preserve">https://doi.org/10.48550/arXiv.2412.15115</w:t>
        </w:r>
      </w:hyperlink>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yhhldpf6bdqgbgtpnmazx" Type="http://schemas.openxmlformats.org/officeDocument/2006/relationships/hyperlink" Target="mailto:johnpaulmcurada@iskolarngbayan.pup.edu.ph" TargetMode="External"/><Relationship Id="rIdujt8ykg31vt1etxeise6l" Type="http://schemas.openxmlformats.org/officeDocument/2006/relationships/hyperlink" Target="mailto:mariecrizpzaragoza@iskolarngbayan.pup.edu.ph" TargetMode="External"/><Relationship Id="rIdf4t2bc3nfmwli8uhcn6ib" Type="http://schemas.openxmlformats.org/officeDocument/2006/relationships/hyperlink" Target="https://github.com/JpCurada/turaista-jpmc" TargetMode="External"/><Relationship Id="rIdjp91qxoylgcq7aiooarxc" Type="http://schemas.openxmlformats.org/officeDocument/2006/relationships/hyperlink" Target="https://proa.ua.pt/index.php/invtur/article/view/33757" TargetMode="External"/><Relationship Id="rId-rqlm_8rerym9q8rcg5p-" Type="http://schemas.openxmlformats.org/officeDocument/2006/relationships/hyperlink" Target="https://doi.org/10.48550/arXiv.2205.12446" TargetMode="External"/><Relationship Id="rIdy4b1zlbpg1m88frwskeyv" Type="http://schemas.openxmlformats.org/officeDocument/2006/relationships/hyperlink" Target="https://doi.org/10.48550/arXiv.2204.08582" TargetMode="External"/><Relationship Id="rId5egaftsd90bqcubpalesk" Type="http://schemas.openxmlformats.org/officeDocument/2006/relationships/hyperlink" Target="https://doi.org/10.1145/3544548.3581351" TargetMode="External"/><Relationship Id="rIdvbxdz5ct5kw6tbfc7sqsu" Type="http://schemas.openxmlformats.org/officeDocument/2006/relationships/hyperlink" Target="https://doi.org/10.48550/arXiv.2106.09685" TargetMode="External"/><Relationship Id="rIdhiaavyhdhtvrv9wybnjan" Type="http://schemas.openxmlformats.org/officeDocument/2006/relationships/hyperlink" Target="https://manilatimes.net/2018/08/06/business/language-issue-hampering-ph-tourist-market/427161" TargetMode="External"/><Relationship Id="rId7fn4z6gurwjney0nty9sc" Type="http://schemas.openxmlformats.org/officeDocument/2006/relationships/hyperlink" Target="https://doi.org/10.1001/jamainternmed.2018.7653" TargetMode="External"/><Relationship Id="rIdcfoknads0jz4bgtpncvar" Type="http://schemas.openxmlformats.org/officeDocument/2006/relationships/hyperlink" Target="https://doi.org/10.48550/arXiv.2607.13934" TargetMode="External"/><Relationship Id="rIdmorimyv05v41issbvx60k" Type="http://schemas.openxmlformats.org/officeDocument/2006/relationships/hyperlink" Target="https://doi.org/10.18653/v1/2023.emnlp-main.712" TargetMode="External"/><Relationship Id="rIdo9bhpati1nopg6z016ccc" Type="http://schemas.openxmlformats.org/officeDocument/2006/relationships/hyperlink" Target="https://doi.org/10.48550/arXiv.2508.03523" TargetMode="External"/><Relationship Id="rId01r9_mrgqctyt46z6iz84" Type="http://schemas.openxmlformats.org/officeDocument/2006/relationships/hyperlink" Target="https://doi.org/10.48550/arXiv.2207.04672" TargetMode="External"/><Relationship Id="rIdj8dlb_pl2_fdr4jeg3v5q" Type="http://schemas.openxmlformats.org/officeDocument/2006/relationships/hyperlink" Target="https://doi.org/10.18653/v1/W17-4770" TargetMode="External"/><Relationship Id="rIdqd1cr9amzx9wtpsy8wvll" Type="http://schemas.openxmlformats.org/officeDocument/2006/relationships/hyperlink" Target="https://doi.org/10.48550/arXiv.2305.13516" TargetMode="External"/><Relationship Id="rIdbicnff20ckikup2ukt078" Type="http://schemas.openxmlformats.org/officeDocument/2006/relationships/hyperlink" Target="https://doi.org/10.18653/v1/2021.findings-acl.415" TargetMode="External"/><Relationship Id="rIdhxgsusxoyohparxiummkl" Type="http://schemas.openxmlformats.org/officeDocument/2006/relationships/hyperlink" Target="https://www.worldbank.org/en/topic/digital/brief/small-ai-big-impact" TargetMode="External"/><Relationship Id="rId4t8eja29mz_hesonl5aqh" Type="http://schemas.openxmlformats.org/officeDocument/2006/relationships/hyperlink" Target="https://doi.org/10.48550/arXiv.2412.15115" TargetMode="External"/><Relationship Id="rId7" Type="http://schemas.openxmlformats.org/officeDocument/2006/relationships/image" Target="media/bb0f7ec8abf7e1015d94490de4923661e1ffd7d2.png"/><Relationship Id="rId8" Type="http://schemas.openxmlformats.org/officeDocument/2006/relationships/image" Target="media/cadcfbe6afeaa3f2f416fe2d894697a166b3b3de.png"/><Relationship Id="rId9" Type="http://schemas.openxmlformats.org/officeDocument/2006/relationships/image" Target="media/21eb0cbf7b20b263ea6b4a8c42db1dd9d3ed3c26.png"/><Relationship Id="rId10" Type="http://schemas.openxmlformats.org/officeDocument/2006/relationships/image" Target="media/3d650eae98d7a1089f033258f9b64ddd755915a3.png"/><Relationship Id="rId11" Type="http://schemas.openxmlformats.org/officeDocument/2006/relationships/image" Target="media/9a0ea627c5fe91932e2e86d19b551c044a535a1e.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TurAIsta: A Rule-Guarded Small AI Assistant for Offline Guest Communication by Philippine Farm-Tour Hosts</dc:title>
  <dc:creator>TurAIsta team</dc:creator>
  <cp:lastModifiedBy>Un-named</cp:lastModifiedBy>
  <cp:revision>1</cp:revision>
  <dcterms:created xsi:type="dcterms:W3CDTF">2026-10-29T17:54:19.210Z</dcterms:created>
  <dcterms:modified xsi:type="dcterms:W3CDTF">2026-10-29T17:54:19.222Z</dcterms:modified>
</cp:coreProperties>
</file>

<file path=docProps/custom.xml><?xml version="1.0" encoding="utf-8"?>
<Properties xmlns="http://schemas.openxmlformats.org/officeDocument/2006/custom-properties" xmlns:vt="http://schemas.openxmlformats.org/officeDocument/2006/docPropsVTypes"/>
</file>