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DA165">
      <w:r>
        <w:t>FASE 1: ANÁLISIS DE REQUISITOS</w:t>
      </w:r>
    </w:p>
    <w:p w14:paraId="0B79DD6C">
      <w:r>
        <w:t>1.1 Levantamiento de Información y Diagnóstico Operativo</w:t>
      </w:r>
    </w:p>
    <w:p w14:paraId="1A6329CD">
      <w:r>
        <w:t>1.1.1 Ejecución de entrevistas de descubrimiento con stakeholders de Marvisur.</w:t>
      </w:r>
    </w:p>
    <w:p w14:paraId="74743858">
      <w:r>
        <w:t>1.1.2 Diseño y validación del cuestionario estructurado Likert en Google Forms.</w:t>
      </w:r>
    </w:p>
    <w:p w14:paraId="5C09A940">
      <w:r>
        <w:t>1.1.3 Tabulación estadística, procesamiento de datos y análisis de resultados Likert.</w:t>
      </w:r>
    </w:p>
    <w:p w14:paraId="4360A1A4">
      <w:r>
        <w:t>1.1.4 Mapeo y diagramación del flujo de procesos actual de la agencia (Situación AS-IS).</w:t>
      </w:r>
    </w:p>
    <w:p w14:paraId="60B63287">
      <w:r>
        <w:t>1.1.5 Diseño y validación del flujo logístico optimizado con Doble QR (Situación TO-BE).</w:t>
      </w:r>
    </w:p>
    <w:p w14:paraId="20922539">
      <w:r>
        <w:t>1.2 Análisis Normativo e Interoperabilidad</w:t>
      </w:r>
    </w:p>
    <w:p w14:paraId="2D6E1FF8">
      <w:r>
        <w:t>1.2.1 Estudio de la normativa SUNAT vigente aplicable a la Guía de Remisión Electrónica.</w:t>
      </w:r>
    </w:p>
    <w:p w14:paraId="017A9843">
      <w:r>
        <w:t>1.2.2 Mapeo y análisis de compatibilidad de las tramas de datos requeridas por SUNAT.</w:t>
      </w:r>
    </w:p>
    <w:p w14:paraId="62BA49D8">
      <w:r>
        <w:t>1.3 Especificación Estricta de Requisitos (SRS)</w:t>
      </w:r>
    </w:p>
    <w:p w14:paraId="3548E280">
      <w:r>
        <w:t>1.3.1 Redacción detallada de especificaciones para Requisitos Funcionales Internos (RF-01 a RF-06).</w:t>
      </w:r>
    </w:p>
    <w:p w14:paraId="77E6AD75">
      <w:r>
        <w:t>1.3.2 Redacción detallada del requerimiento central de validación criptográfica (RF-07).</w:t>
      </w:r>
    </w:p>
    <w:p w14:paraId="02B64989">
      <w:r>
        <w:t>1.3.3 Redacción detallada de especificaciones para Requisitos Funcionales del Cliente (RF-08 a RF-11).</w:t>
      </w:r>
    </w:p>
    <w:p w14:paraId="11DD97D4">
      <w:r>
        <w:t>1.3.4 Especificación de Requisitos No Funcionales Core (Métricas de latencia ≤1000ms y seguridad HTTPS).</w:t>
      </w:r>
    </w:p>
    <w:p w14:paraId="606AADF5">
      <w:r>
        <w:t>1.3.5 Consolidación y desarrollo del documento SRS definitivo bajo el estándar IEEE 830.</w:t>
      </w:r>
    </w:p>
    <w:p w14:paraId="6042D28D">
      <w:r>
        <w:t>1.4 Validación Conceptual y Cierre de Línea Base</w:t>
      </w:r>
    </w:p>
    <w:p w14:paraId="1E04109E">
      <w:r>
        <w:t>1.4.1 Modelado de diagramas de Casos de Uso generales y detallados por subsistemas (UML).</w:t>
      </w:r>
    </w:p>
    <w:p w14:paraId="62042C3F">
      <w:r>
        <w:t>1.4.2 Revisión formal del alcance técnico del MVP y firma del Acta de Conformidad de Requisitos.</w:t>
      </w:r>
    </w:p>
    <w:p w14:paraId="23612CCF">
      <w:r>
        <w:t>1.4.3 Establecimiento y congelamiento de la Línea Base de Requisitos (Baseline).</w:t>
      </w:r>
    </w:p>
    <w:p w14:paraId="50AA1C50">
      <w:r>
        <w:t>2.0 FASE 2: DISEÑO DE LA SOLUCIÓN</w:t>
      </w:r>
    </w:p>
    <w:p w14:paraId="723DF4B6">
      <w:r>
        <w:t>2.1 Diseño de Arquitectura de Software</w:t>
      </w:r>
    </w:p>
    <w:p w14:paraId="6A74D0BF">
      <w:r>
        <w:t>2.1.1 Definición de capas, desacoplamiento y fronteras de la Arquitectura Hexagonal.</w:t>
      </w:r>
    </w:p>
    <w:p w14:paraId="287738CC">
      <w:r>
        <w:t>2.1.2 Diseño del modelo de comunicación del ecosistema híbrido (Cliente Escritorio, Web y APIs).</w:t>
      </w:r>
    </w:p>
    <w:p w14:paraId="7DC37355">
      <w:r>
        <w:t>2.1.3 Diseño y especificación de contratos de la API REST (Rutas de Endpoints y payloads JSON).</w:t>
      </w:r>
    </w:p>
    <w:p w14:paraId="1E9D0247">
      <w:r>
        <w:t>2.2 Diseño y Modelado de Datos</w:t>
      </w:r>
    </w:p>
    <w:p w14:paraId="604CBB69">
      <w:r>
        <w:t>2.2.1 Diseño del Diagrama Entidad-Relación (DER) lógico y conceptual en PostgreSQL.</w:t>
      </w:r>
    </w:p>
    <w:p w14:paraId="7D1CC564">
      <w:r>
        <w:t>2.2.2 Creación del script físico DDL/DML (Tablas, Índices y Restricciones de Integridad).</w:t>
      </w:r>
    </w:p>
    <w:p w14:paraId="11145CA3">
      <w:r>
        <w:t>2.2.3 Modelado del ciclo de vida físico y almacenamiento criptográfico de hashes para QR 1 / QR 2.</w:t>
      </w:r>
    </w:p>
    <w:p w14:paraId="10E7417B">
      <w:r>
        <w:t>2.2.4 Diseño arquitectónico de la persistencia de datos local (SQLite/H2) para contingencia offline.</w:t>
      </w:r>
    </w:p>
    <w:p w14:paraId="1798100E">
      <w:r>
        <w:t>2.3 Diseño de Interfaces de Usuario (UI/UX)</w:t>
      </w:r>
    </w:p>
    <w:p w14:paraId="5EE7907D">
      <w:r>
        <w:t>2.3.1 Diseño de la guía de estilos, paleta de colores y componentes visuales en Figma.</w:t>
      </w:r>
    </w:p>
    <w:p w14:paraId="0FC1EEEF">
      <w:r>
        <w:t>2.3.2 Prototipado en alta fidelidad de las ventanas de la aplicación de escritorio (JavaFX).</w:t>
      </w:r>
    </w:p>
    <w:p w14:paraId="4C7B36F5">
      <w:r>
        <w:t>2.3.3 Prototipado en alta fidelidad del portal de tracking y entorno responsivo de la billetera digital web.</w:t>
      </w:r>
    </w:p>
    <w:p w14:paraId="2391B882">
      <w:r>
        <w:t>2.3.4 Pruebas de usabilidad cognitivas del flujo visual con operarios clave de las agencias.</w:t>
      </w:r>
    </w:p>
    <w:p w14:paraId="08526908">
      <w:r>
        <w:t>2.4 Consolidación y Cierre de Diseño</w:t>
      </w:r>
    </w:p>
    <w:p w14:paraId="349CD643">
      <w:r>
        <w:t>2.4.1 Elaboración y consolidación del documento de Descripción de Diseño de Software (SDD).</w:t>
      </w:r>
    </w:p>
    <w:p w14:paraId="170EC20C">
      <w:r>
        <w:t>2.4.2 Sesión de revisión técnica de la arquitectura y firma del Acta de Aprobación de Diseño.</w:t>
      </w:r>
    </w:p>
    <w:p w14:paraId="557FC860">
      <w:r>
        <w:t>3.0 FASE 3: DESARROLLO E IMPLEMENTACIÓN3.1 Configuración de Infraestructura de Desarrollo</w:t>
      </w:r>
    </w:p>
    <w:p w14:paraId="32C825ED">
      <w:r>
        <w:t>3.1.1 Configuración de repositorios en Git, estrategias de branching (GitFlow) y webhooks de CI.</w:t>
      </w:r>
    </w:p>
    <w:p w14:paraId="7E23786C">
      <w:r>
        <w:t>3.1.2 Inicialización del proyecto Spring Boot y esqueleto de paquetes internos/externos de la arquitectura.</w:t>
      </w:r>
    </w:p>
    <w:p w14:paraId="62B6D085">
      <w:r>
        <w:t>3.2 Desarrollo del Backend Core (Mapeado por Requisitos Funcionales)</w:t>
      </w:r>
    </w:p>
    <w:p w14:paraId="0A766D33">
      <w:r>
        <w:t>3.2.1 Codificación del módulo de control de accesos, roles e interceptores de Spring Security (RF-01).</w:t>
      </w:r>
    </w:p>
    <w:p w14:paraId="6CBF3E83">
      <w:r>
        <w:t>3.2.2 Codificación de servicios del Dashboard y consultas de agregación para métricas operativas (RF-02).</w:t>
      </w:r>
    </w:p>
    <w:p w14:paraId="1DF9E09F">
      <w:r>
        <w:t>3.2.3 Codificación del CRUD e historial de acciones para la gestión del personal operativo (RF-03).</w:t>
      </w:r>
    </w:p>
    <w:p w14:paraId="0B84EC54">
      <w:r>
        <w:t>3.2.4 Codificación de la lógica transaccional de encomiendas, tarifas y estados de pago (RF-04).</w:t>
      </w:r>
    </w:p>
    <w:p w14:paraId="77F99A1D">
      <w:r>
        <w:t>3.2.5 Codificación de APIs para la administración de flotas interprovinciales, choferes, rutas y horarios (RF-05).</w:t>
      </w:r>
    </w:p>
    <w:p w14:paraId="5F88F091">
      <w:r>
        <w:t>3.2.6 Codificación de endpoints para actualizaciones de estados masivos en lote y búsquedas de emergencia (RF-06).</w:t>
      </w:r>
    </w:p>
    <w:p w14:paraId="4573A115">
      <w:r>
        <w:t>3.2.7 Integración de la librería criptográfica ZXing para el algoritmo generador del Doble QR (RF-07).</w:t>
      </w:r>
    </w:p>
    <w:p w14:paraId="51F395D9">
      <w:r>
        <w:t>3.2.8 Codificación de servicios públicos de consulta histórica de trazabilidad para el rastreo del paquete (RF-08).</w:t>
      </w:r>
    </w:p>
    <w:p w14:paraId="0D4A0D02">
      <w:r>
        <w:t>3.2.9 Implementación del endpoint seguro para la renderización de la Llave Digital (RF-09).</w:t>
      </w:r>
    </w:p>
    <w:p w14:paraId="2976DDFB">
      <w:r>
        <w:t>3.2.10 Codificación de la persistencia temporal para formularios de Pre-registro ("Código Express") (RF-10).</w:t>
      </w:r>
    </w:p>
    <w:p w14:paraId="288A25E5">
      <w:r>
        <w:t>3.2.11 Integración de la librería de renderizado nativo de PDFs para la exportación de comprobantes (RF-11).</w:t>
      </w:r>
    </w:p>
    <w:p w14:paraId="63EE2388">
      <w:r>
        <w:t>3.3 Desarrollo de la Aplicación de Escritorio Sucursal (JavaFX)</w:t>
      </w:r>
    </w:p>
    <w:p w14:paraId="498717DE">
      <w:r>
        <w:t>3.3.1 Desarrollo de la interfaz de login, navegación interna y control visual basado en el rol.</w:t>
      </w:r>
    </w:p>
    <w:p w14:paraId="723B4F45">
      <w:r>
        <w:t>3.3.2 Implementación de las pantallas de ventanilla para registro físico de encomiendas y lectura de Pre-registros.</w:t>
      </w:r>
    </w:p>
    <w:p w14:paraId="540F4E6F">
      <w:r>
        <w:t>3.3.3 Desarrollo del panel de almacén optimizado para procesamiento por lotes (Batch Scanning).</w:t>
      </w:r>
    </w:p>
    <w:p w14:paraId="54D0FB29">
      <w:r>
        <w:t>3.3.4 Programación de la capa de comunicación de hardware: Drivers de lectura USB e inyección de comandos ESC/POS para la ticketera de 58mm.</w:t>
      </w:r>
    </w:p>
    <w:p w14:paraId="6A60A8DF">
      <w:r>
        <w:t>3.3.5 Desarrollo del motor de sincronización asíncrona local-nube para la persistencia en modo offline.</w:t>
      </w:r>
    </w:p>
    <w:p w14:paraId="149E063F">
      <w:r>
        <w:t>3.4 Desarrollo del Portal Web y Billetera Móvil</w:t>
      </w:r>
    </w:p>
    <w:p w14:paraId="12FB290F">
      <w:r>
        <w:t>3.4.1 Maquetación responsiva de la interfaz pública de tracking con visualización cronológica de estados.</w:t>
      </w:r>
    </w:p>
    <w:p w14:paraId="1563D55B">
      <w:r>
        <w:t>3.4.2 Desarrollo de la Billetera Digital web securizada para la visualización en vivo de la Llave Digital (QR 2).</w:t>
      </w:r>
    </w:p>
    <w:p w14:paraId="48560637">
      <w:r>
        <w:t>3.4.3 Integración del formulario web para pre-registro express con pasarela de cotizaciones dinámicas.3.4.4 Implementación del visor de descarga y almacenamiento local de comprobantes electrónicos en PDF.</w:t>
      </w:r>
    </w:p>
    <w:p w14:paraId="5C354F94">
      <w:r>
        <w:t>3.5 Integración y Cierre de Código</w:t>
      </w:r>
    </w:p>
    <w:p w14:paraId="5F293A8B">
      <w:r>
        <w:t>3.5.1 Acoplamiento físico del backend en la nube con el cliente de escritorio JavaFX y las vistas web.</w:t>
      </w:r>
    </w:p>
    <w:p w14:paraId="668AD02F">
      <w:r>
        <w:t>3.5.2 Ejecución de revisiones cruzadas de código (Code Review) y resolución de deuda técnica.</w:t>
      </w:r>
    </w:p>
    <w:p w14:paraId="169226DE">
      <w:r>
        <w:t>4.0 FASE 4: PRUEBAS Y ASEGURAMIENTO DE LA CALIDAD (QA)</w:t>
      </w:r>
    </w:p>
    <w:p w14:paraId="499E660D">
      <w:r>
        <w:t>4.1 Pruebas Unitarias y de Integración Automatizadas</w:t>
      </w:r>
    </w:p>
    <w:p w14:paraId="7AC7145C">
      <w:r>
        <w:t>4.1.1 Configuración de entornos aislados de testing y bases de datos en memoria para pruebas mock.</w:t>
      </w:r>
    </w:p>
    <w:p w14:paraId="39ABC62A">
      <w:r>
        <w:t>4.1.2 Escritura y ejecución de scripts de pruebas unitarias automatizadas con JUnit y Mockito sobre controladores backend.</w:t>
      </w:r>
    </w:p>
    <w:p w14:paraId="1CF6C797">
      <w:r>
        <w:t>4.1.3 Ejecución de pruebas de integración de datos entre las capas de persistencia y la lógica hexagonal.</w:t>
      </w:r>
    </w:p>
    <w:p w14:paraId="204D4C70">
      <w:r>
        <w:t>4.1.4 Depuración sistemática y cierre de bugs críticos detectados.4.2 Pruebas de Rendimiento, Seguridad y Continuidad Física</w:t>
      </w:r>
    </w:p>
    <w:p w14:paraId="77E6AA73">
      <w:r>
        <w:t>4.2.1 Pruebas de estrés inyectando lecturas ópticas masivas concurrentes simuladas sobre el Módulo de Almacén.</w:t>
      </w:r>
    </w:p>
    <w:p w14:paraId="3933E4FF">
      <w:r>
        <w:t>4.2.2 Análisis de latencia operativa para asegurar tiempos de validación y respuesta ≤1000ms.</w:t>
      </w:r>
    </w:p>
    <w:p w14:paraId="63972B17">
      <w:r>
        <w:t>4.2.3 Ejecución de pruebas de penetración (Penetration Testing) sobre los endpoints de validación cruzada del QR 2.</w:t>
      </w:r>
    </w:p>
    <w:p w14:paraId="3DA0845C">
      <w:r>
        <w:t>4.2.4 Pruebas de conmutación por error (Failover) desconectando la red para validar la persistencia temporal offline.</w:t>
      </w:r>
    </w:p>
    <w:p w14:paraId="4A184400">
      <w:r>
        <w:t>4.3 Pruebas de Aceptación de Usuario (UAT)</w:t>
      </w:r>
    </w:p>
    <w:p w14:paraId="2B7195B8">
      <w:r>
        <w:t>4.3.1 Definición de la matriz de cobertura de pruebas UAT basadas en los roles (Chofer, Almacenero, Recepcionista, Cliente).</w:t>
      </w:r>
    </w:p>
    <w:p w14:paraId="16199D48">
      <w:r>
        <w:t>4.3.2 Monitoreo y ejecución de sesiones guiadas UAT utilizando hardware real.</w:t>
      </w:r>
    </w:p>
    <w:p w14:paraId="57548E99">
      <w:r>
        <w:t>4.3.3 Recopilación, clasificación y solución de observaciones reportadas en la UAT.</w:t>
      </w:r>
    </w:p>
    <w:p w14:paraId="378C4226">
      <w:r>
        <w:t>4.4 Certificación de Calidad</w:t>
      </w:r>
    </w:p>
    <w:p w14:paraId="16BD3AE1">
      <w:r>
        <w:t>4.4.1 Consolidación de la matriz de pruebas finales y reporte estadístico de cobertura.</w:t>
      </w:r>
    </w:p>
    <w:p w14:paraId="33F07060">
      <w:r>
        <w:t>4.4.2 Emisión del acta formal de aprobación de calidad para autorizar el paso a producción.</w:t>
      </w:r>
    </w:p>
    <w:p w14:paraId="5A197264">
      <w:r>
        <w:t>5.0 FASE 5: DESPLIEGUE GO-LIVE Y CIERRE5.1 Acondicionamiento del Entorno Productivo Cloud5.1.1 Configuración, endurecimiento (Hardening) de seguridad y asignación de políticas de firewall en el servidor VPS.</w:t>
      </w:r>
    </w:p>
    <w:p w14:paraId="2E379F57">
      <w:r>
        <w:t>5.1.2 Despliegue de la base de datos PostgreSQL productiva y automatización de tareas cron para backups diarios.</w:t>
      </w:r>
    </w:p>
    <w:p w14:paraId="46FE2CCF">
      <w:r>
        <w:t>5.1.3 Instalación del certificado de seguridad SSL en el servidor web para forzar el cifrado de datos mediante HTTPS.</w:t>
      </w:r>
    </w:p>
    <w:p w14:paraId="35CB98CE">
      <w:r>
        <w:t>5.2 Distribución, Puesta en Marcha y Pruebas de Humo</w:t>
      </w:r>
    </w:p>
    <w:p w14:paraId="6A067E8E">
      <w:r>
        <w:t>5.2.1 Compilación de empaquetados e instaladores ejecutables nativos autocontenidos (.EXE/.MSI) con JRE embebido mediante jpackage.</w:t>
      </w:r>
    </w:p>
    <w:p w14:paraId="154E3DD7">
      <w:r>
        <w:t>5.2.2 Despliegue, configuración del dominio e indexación del portal web de autogestión en el entorno productivo.</w:t>
      </w:r>
    </w:p>
    <w:p w14:paraId="25E468C5">
      <w:r>
        <w:t>5.2.3 Instalación física del ejecutable en las laptops de las agencias de prueba de Marvisur.</w:t>
      </w:r>
    </w:p>
    <w:p w14:paraId="37BC4BE0">
      <w:r>
        <w:t>5.2.4 Pruebas de humo finales comprobando el circuito físico: Emisión térmica, lectura con escáner y validación cruzada.</w:t>
      </w:r>
    </w:p>
    <w:p w14:paraId="1838269B">
      <w:r>
        <w:t>5.3 Cierre de Proyecto y Transferencia</w:t>
      </w:r>
    </w:p>
    <w:p w14:paraId="20C8C5D4">
      <w:r>
        <w:t>5.3.1 Compilación de la arquitectura final, scripts de base de datos y diagramas UML corregidos en el Dossier Técnico.</w:t>
      </w:r>
    </w:p>
    <w:p w14:paraId="09109715">
      <w:r>
        <w:t>5.3.2 Capacitación técnica e inducción operativa dirigida a almaceneros, choferes y personal de ventanilla.</w:t>
      </w:r>
    </w:p>
    <w:p w14:paraId="6B73B41C">
      <w:r>
        <w:t>5.3.3 Firma oficial de conformidad técnica del software y rúbrica del Acta de Cierre Final del Proyecto.</w:t>
      </w:r>
    </w:p>
    <w:p w14:paraId="541D1FC1">
      <w:pPr>
        <w:rPr>
          <w:rFonts w:hint="default"/>
          <w:lang w:val="es-PE"/>
        </w:rPr>
      </w:pPr>
      <w:r>
        <w:rPr>
          <w:rFonts w:hint="default"/>
          <w:lang w:val="es-PE"/>
        </w:rPr>
        <w:t>RF Y RNF</w:t>
      </w:r>
    </w:p>
    <w:p w14:paraId="4304EF57">
      <w:pPr>
        <w:rPr>
          <w:rFonts w:hint="default"/>
          <w:lang w:val="es-PE"/>
        </w:rPr>
      </w:pPr>
      <w:r>
        <w:rPr>
          <w:rFonts w:hint="default"/>
          <w:lang w:val="es-PE"/>
        </w:rPr>
        <w:t>RF-01: Autenticación Interna y Control de Accesos (RBAC)</w:t>
      </w:r>
    </w:p>
    <w:p w14:paraId="53892CED">
      <w:pPr>
        <w:rPr>
          <w:rFonts w:hint="default"/>
          <w:lang w:val="es-PE"/>
        </w:rPr>
      </w:pPr>
      <w:r>
        <w:rPr>
          <w:rFonts w:hint="default"/>
          <w:lang w:val="es-PE"/>
        </w:rPr>
        <w:t>El Sistema impplementará seguridad perimetral basada en roles(Administrador Almancenero, Recepcionista, Chofer) únicamente para la aplicación de escritorio JAvaFX. El cliente final accederá al portal web y billetera digital de manera directa mediante tokens dinámicos, eliminando la fricción de recordar contraseñas a  crear cuentas.</w:t>
      </w:r>
    </w:p>
    <w:p w14:paraId="4E37741A">
      <w:pPr>
        <w:rPr>
          <w:rFonts w:hint="default"/>
          <w:lang w:val="es-PE"/>
        </w:rPr>
      </w:pPr>
      <w:r>
        <w:rPr>
          <w:rFonts w:hint="default"/>
          <w:lang w:val="es-PE"/>
        </w:rPr>
        <w:t>RF-02 Dashboard Administrativo y Control Operativo</w:t>
      </w:r>
    </w:p>
    <w:p w14:paraId="20BCE504">
      <w:pPr>
        <w:rPr>
          <w:rFonts w:hint="default"/>
          <w:lang w:val="es-PE"/>
        </w:rPr>
      </w:pPr>
      <w:r>
        <w:rPr>
          <w:rFonts w:hint="default"/>
          <w:lang w:val="es-PE"/>
        </w:rPr>
        <w:t>El sistema consolidará  consultas de agregación en la base de datos PosgreSQL  para renderizar indicadores clave de rendimiento (KPIs) en tiempo real (Volumen de envios, alertas de fraude, paquetes estancandos en rus y recaudación económica por sucursal).</w:t>
      </w:r>
    </w:p>
    <w:p w14:paraId="0AFCDB42">
      <w:pPr>
        <w:rPr>
          <w:rFonts w:hint="default"/>
          <w:lang w:val="es-PE"/>
        </w:rPr>
      </w:pPr>
      <w:r>
        <w:rPr>
          <w:rFonts w:hint="default"/>
          <w:lang w:val="es-PE"/>
        </w:rPr>
        <w:t>RF-03 Gestión de Personal Operativo (CRUD Empleados)</w:t>
      </w:r>
    </w:p>
    <w:p w14:paraId="34855786">
      <w:pPr>
        <w:rPr>
          <w:rFonts w:hint="default"/>
          <w:lang w:val="es-PE"/>
        </w:rPr>
      </w:pPr>
      <w:r>
        <w:rPr>
          <w:rFonts w:hint="default"/>
          <w:lang w:val="es-PE"/>
        </w:rPr>
        <w:t>El sistema permitirá registrar, actualizar, consultar y dar de baja lógica a los operarios de la empresa manteniendo un registro de auditoría(logs) amarrado a cada transacción realizada en almacén o ventanilla.</w:t>
      </w:r>
    </w:p>
    <w:p w14:paraId="4AFA8CD6">
      <w:pPr>
        <w:rPr>
          <w:rFonts w:hint="default"/>
          <w:lang w:val="es-PE"/>
        </w:rPr>
      </w:pPr>
      <w:r>
        <w:rPr>
          <w:rFonts w:hint="default"/>
          <w:lang w:val="es-PE"/>
        </w:rPr>
        <w:t>RF-04 Gestión de ciclo de vida e historiak de pago de encomiendas</w:t>
      </w:r>
    </w:p>
    <w:p w14:paraId="367B3774">
      <w:pPr>
        <w:rPr>
          <w:rFonts w:hint="default"/>
          <w:lang w:val="es-PE"/>
        </w:rPr>
      </w:pPr>
      <w:r>
        <w:rPr>
          <w:rFonts w:hint="default"/>
          <w:lang w:val="es-PE"/>
        </w:rPr>
        <w:t>El sistema no solo registrará las caracteristicas físicas (peso, volumen, remitente, destinatario); ahora rastreará obligatoriamente en Estado de pago (PAGADO / PEDIENTE ). El motor de entrega bloqueará físicamente la liberación del paquete en el alamacén de destino si la encomiendo figura como “Pendiente de Pago” (Modo Contra Entrega).</w:t>
      </w:r>
    </w:p>
    <w:p w14:paraId="7751E4F3">
      <w:pPr>
        <w:rPr>
          <w:rFonts w:hint="default"/>
          <w:lang w:val="es-PE"/>
        </w:rPr>
      </w:pPr>
      <w:r>
        <w:rPr>
          <w:rFonts w:hint="default"/>
          <w:lang w:val="es-PE"/>
        </w:rPr>
        <w:t>RF-05 Control de Flota de asignación de rutas interprovinciales</w:t>
      </w:r>
    </w:p>
    <w:p w14:paraId="73C432F0">
      <w:pPr>
        <w:rPr>
          <w:rFonts w:hint="default"/>
          <w:lang w:val="es-PE"/>
        </w:rPr>
      </w:pPr>
      <w:r>
        <w:rPr>
          <w:rFonts w:hint="default"/>
          <w:lang w:val="es-PE"/>
        </w:rPr>
        <w:t>El sistema permitirá registrar las unidades vehiculares, placas, licencias de choferes y la programación de itinerarios de transporte, asociando en lote todas las encomiendas despachadas a un viaje especifico para actualizar su estado a “En ruta” automaticamente.</w:t>
      </w:r>
    </w:p>
    <w:p w14:paraId="15576EF2">
      <w:pPr>
        <w:rPr>
          <w:rFonts w:hint="default"/>
          <w:lang w:val="es-PE"/>
        </w:rPr>
      </w:pPr>
      <w:r>
        <w:rPr>
          <w:rFonts w:hint="default"/>
          <w:lang w:val="es-PE"/>
        </w:rPr>
        <w:t>RF-06 Módulo de Almacén, Procesamiento Batch y Plan de Contingencias</w:t>
      </w:r>
    </w:p>
    <w:p w14:paraId="31E90DEE">
      <w:pPr>
        <w:rPr>
          <w:rFonts w:hint="default"/>
          <w:lang w:val="es-PE"/>
        </w:rPr>
      </w:pPr>
      <w:r>
        <w:rPr>
          <w:rFonts w:hint="default"/>
          <w:lang w:val="es-PE"/>
        </w:rPr>
        <w:t>El sistema de escritorio procesará la recepción masiva de encomiendas mediante lectura óptica consecutiva (Batch Scanning) de baja latencia. Ante contingencias físicas (etiquetas dañadas o mojadas en el viaje), el sistema proveerá una Búsqueda de Emergencia por DNI/RUC que habilitará la reimpresión inmediata del QR 1 usando la ticketera de 58mm.</w:t>
      </w:r>
    </w:p>
    <w:p w14:paraId="1053F42A">
      <w:pPr>
        <w:rPr>
          <w:rFonts w:hint="default"/>
          <w:lang w:val="es-PE"/>
        </w:rPr>
      </w:pPr>
      <w:r>
        <w:rPr>
          <w:rFonts w:hint="default"/>
          <w:lang w:val="es-PE"/>
        </w:rPr>
        <w:t>RF-07 Motos Criptográfico y validación cruzada en punto de entrega</w:t>
      </w:r>
    </w:p>
    <w:p w14:paraId="603179C4">
      <w:pPr>
        <w:rPr>
          <w:rFonts w:hint="default"/>
          <w:lang w:val="es-PE"/>
        </w:rPr>
      </w:pPr>
      <w:r>
        <w:rPr>
          <w:rFonts w:hint="default"/>
          <w:lang w:val="es-PE"/>
        </w:rPr>
        <w:t>El backend ejecutará un algoritmo criptográfico (Librería ZXing) para generar simultáneamente un par enlazado: QR 1 (Operativo - Pegado al paquete) y QR 2 (Llave Digital - Cliente). En el punto de entrega, el sistema validará físicamente la coincidencia de ambos códigos y, tras el éxito, invalidará de forma irreversible el QR 2 para bloquear intentos de suplantación o recojos duplicados en tiempo real.</w:t>
      </w:r>
    </w:p>
    <w:p w14:paraId="233B5558">
      <w:pPr>
        <w:rPr>
          <w:rFonts w:hint="default"/>
          <w:lang w:val="es-PE"/>
        </w:rPr>
      </w:pPr>
      <w:r>
        <w:rPr>
          <w:rFonts w:hint="default"/>
          <w:lang w:val="es-PE"/>
        </w:rPr>
        <w:t>RF-08 Portal Web Público de Tracking y Linea de Tiempo</w:t>
      </w:r>
    </w:p>
    <w:p w14:paraId="7C5DAB7E">
      <w:pPr>
        <w:rPr>
          <w:rFonts w:hint="default"/>
          <w:lang w:val="es-PE"/>
        </w:rPr>
      </w:pPr>
      <w:r>
        <w:rPr>
          <w:rFonts w:hint="default"/>
          <w:lang w:val="es-PE"/>
        </w:rPr>
        <w:t>Interfaz web pública que permitirá al cliente (Remitente o destinatario) consultar de forma transparente la trazabilidad histórica de su envío ingresando únicamente su número de comprobante o DNI, desplegando eventos cronológicos automaticos.</w:t>
      </w:r>
    </w:p>
    <w:p w14:paraId="7236164A">
      <w:pPr>
        <w:rPr>
          <w:rFonts w:hint="default"/>
          <w:lang w:val="es-PE"/>
        </w:rPr>
      </w:pPr>
      <w:r>
        <w:rPr>
          <w:rFonts w:hint="default"/>
          <w:lang w:val="es-PE"/>
        </w:rPr>
        <w:t>RF-09 Billetera Digital del Código QR Destinatario</w:t>
      </w:r>
    </w:p>
    <w:p w14:paraId="195AD3FB">
      <w:pPr>
        <w:rPr>
          <w:rFonts w:hint="default"/>
          <w:lang w:val="es-PE"/>
        </w:rPr>
      </w:pPr>
      <w:r>
        <w:rPr>
          <w:rFonts w:hint="default"/>
          <w:lang w:val="es-PE"/>
        </w:rPr>
        <w:t>Entorno web responsivo optimizado para dispositivos móviles donde el destinatario visualizará su llave digital (QR 2) activa para el retiro, protegida bajo cifrado HTTPS perimentral para evitar intercepciones del token.</w:t>
      </w:r>
    </w:p>
    <w:p w14:paraId="70E3A262">
      <w:pPr>
        <w:rPr>
          <w:rFonts w:hint="default"/>
          <w:lang w:val="es-PE"/>
        </w:rPr>
      </w:pPr>
      <w:r>
        <w:rPr>
          <w:rFonts w:hint="default"/>
          <w:lang w:val="es-PE"/>
        </w:rPr>
        <w:t>RF-10 Pre-Registro web de Encomiendas (“Codigo Express”)</w:t>
      </w:r>
    </w:p>
    <w:p w14:paraId="0F3E0F04">
      <w:pPr>
        <w:rPr>
          <w:rFonts w:hint="default"/>
          <w:lang w:val="es-PE"/>
        </w:rPr>
      </w:pPr>
      <w:r>
        <w:rPr>
          <w:rFonts w:hint="default"/>
          <w:lang w:val="es-PE"/>
        </w:rPr>
        <w:t>El sitio web permitirá al usuario pre-llenar los datos envio y cotizar tarifas aproximadas según volumen o tipo de mercaderia. El sistema guardará estos datos temporalmente y generará un “Codigo Express”, reduciendo a segundos al ser escaneado por el recepcionista.</w:t>
      </w:r>
    </w:p>
    <w:p w14:paraId="42D81A76">
      <w:pPr>
        <w:rPr>
          <w:rFonts w:hint="default"/>
          <w:lang w:val="es-PE"/>
        </w:rPr>
      </w:pPr>
      <w:r>
        <w:rPr>
          <w:rFonts w:hint="default"/>
          <w:lang w:val="es-PE"/>
        </w:rPr>
        <w:t>RF-11 Descarga Autónoma de comprobantes web en pdf</w:t>
      </w:r>
    </w:p>
    <w:p w14:paraId="1E7AF01F">
      <w:pPr>
        <w:rPr>
          <w:rFonts w:hint="default"/>
          <w:lang w:val="es-PE"/>
        </w:rPr>
      </w:pPr>
      <w:r>
        <w:rPr>
          <w:rFonts w:hint="default"/>
          <w:lang w:val="es-PE"/>
        </w:rPr>
        <w:t>El sistema compilará y redenrizará en tiempo real las plantillas de boletas y facturas electrónicas permitiendo al cliente su descarga autónoma en formato pdf desde el portal web una vez que el estado lógistico del paquete cambie a validado.</w:t>
      </w:r>
    </w:p>
    <w:p w14:paraId="7B987719">
      <w:pPr>
        <w:rPr>
          <w:rFonts w:hint="default"/>
          <w:lang w:val="es-PE"/>
        </w:rPr>
      </w:pPr>
      <w:r>
        <w:rPr>
          <w:rFonts w:hint="default"/>
          <w:lang w:val="es-PE"/>
        </w:rPr>
        <w:t xml:space="preserve">RNF </w:t>
      </w:r>
    </w:p>
    <w:p w14:paraId="1F4394D9">
      <w:pPr>
        <w:rPr>
          <w:rFonts w:hint="default"/>
          <w:lang w:val="es-PE"/>
        </w:rPr>
      </w:pPr>
      <w:r>
        <w:rPr>
          <w:rFonts w:hint="default"/>
          <w:lang w:val="es-PE"/>
        </w:rPr>
        <w:t>RNF-01 Seguridad (Confidencialidad y Disponibilidad del Token Criptográfico)Las comunicaciones de la Billetera Digital del cliente obligatoriamente viajarán cifradas bajo el protocolo HTTPS con Certificado SSL. Los hashes almacenados en PostgreSQL para el QR 2 deben expirar lógicamente y quedar desactivados en la base de datos en un tiempo máximo de 500 ms posteriores a la ejecución de la validación cruzada.</w:t>
      </w:r>
    </w:p>
    <w:p w14:paraId="005F0578">
      <w:pPr>
        <w:rPr>
          <w:rFonts w:hint="default"/>
          <w:lang w:val="es-PE"/>
        </w:rPr>
      </w:pPr>
      <w:r>
        <w:rPr>
          <w:rFonts w:hint="default"/>
          <w:lang w:val="es-PE"/>
        </w:rPr>
        <w:t>RNF-02 Fiabilidad y Tolerancia a Fallos (Comportamiento Offline)Ante una desconexión de la red en la sucursal, la aplicación de escritorio JavaFX debe conmutar automáticamente hacia un motor de base de datos local embebido (SQLite o H2) en un tiempo máximo de 2 segundos. El sistema local retendrá los registros operativos y colas de impresión, asegurando un uptime operativo del 100% en ventanilla.</w:t>
      </w:r>
    </w:p>
    <w:p w14:paraId="66B1840A">
      <w:pPr>
        <w:jc w:val="left"/>
        <w:rPr>
          <w:rFonts w:hint="default"/>
          <w:lang w:val="es-PE"/>
        </w:rPr>
      </w:pPr>
      <w:r>
        <w:rPr>
          <w:rFonts w:hint="default"/>
          <w:lang w:val="es-PE"/>
        </w:rPr>
        <w:t>RNF-03 Eficiencia de Rendimiento (Tiempo de Respuesta y Concurrencia)</w:t>
      </w:r>
    </w:p>
    <w:p w14:paraId="2734817E">
      <w:pPr>
        <w:jc w:val="left"/>
        <w:rPr>
          <w:rFonts w:hint="default"/>
          <w:lang w:val="es-PE"/>
        </w:rPr>
      </w:pPr>
      <w:r>
        <w:rPr>
          <w:rFonts w:hint="default"/>
          <w:lang w:val="es-PE"/>
        </w:rPr>
        <w:t>El motor backend desarrollado en Java Spring Boot debe procesar la validación cruzada criptográfica y las actualizaciones de estado masivas en lote (Batch Scanning) en almacén con una latencia máxima de 1000 ms (1 segundo) bajo un escenario de carga de hasta 50 lecturas ópticas por minuto.</w:t>
      </w:r>
    </w:p>
    <w:p w14:paraId="732F84CA">
      <w:pPr>
        <w:jc w:val="left"/>
        <w:rPr>
          <w:rFonts w:hint="default"/>
          <w:lang w:val="es-PE"/>
        </w:rPr>
      </w:pPr>
      <w:r>
        <w:rPr>
          <w:rFonts w:hint="default"/>
          <w:lang w:val="es-PE"/>
        </w:rPr>
        <w:t xml:space="preserve"> RNF-04 Portabilidad y Facilidad de Instalación (Ecosistema Híbrido)El cliente web (Tracking y Billetera) debe ser responsivo y compatible con navegadores modernos (Chrome, Safari, Edge) sin requerir descargas. La aplicación de escritorio debe distribuirse como un paquete instalador .EXE autocontenido con el JRE de Java embebido, eliminando la necesidad de preinstalar librerías externas en las laptops de Marvisur.</w:t>
      </w:r>
    </w:p>
    <w:p w14:paraId="607A188B">
      <w:pPr>
        <w:jc w:val="left"/>
        <w:rPr>
          <w:rFonts w:hint="default"/>
          <w:lang w:val="es-PE"/>
        </w:rPr>
      </w:pPr>
      <w:r>
        <w:rPr>
          <w:rFonts w:hint="default"/>
          <w:lang w:val="es-PE"/>
        </w:rPr>
        <w:t>RNF-05 Mantenibilidad (Arquitectura Hexagonal)El código fuente del Backend debe respetar estrictamente el patrón de Arquitectura Hexagonal (Puertos y Adaptadores). Ninguna regla de negocio lógica (generación de QR o cálculo de tarifas) podrá estar acoplada a los frameworks de infraestructura (Spring Boot o persistencia), permitiendo actualizar módulos externos sin alterar el núcleo de la plataforma.</w:t>
      </w:r>
      <w:bookmarkStart w:id="0" w:name="_GoBack"/>
      <w:bookmarkEnd w:id="0"/>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6C3"/>
    <w:rsid w:val="0028571F"/>
    <w:rsid w:val="00E676C3"/>
    <w:rsid w:val="0D9B5860"/>
    <w:rsid w:val="6FD20900"/>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s-PE"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Emphasis"/>
    <w:basedOn w:val="2"/>
    <w:qFormat/>
    <w:uiPriority w:val="20"/>
    <w:rPr>
      <w:i/>
      <w:iCs/>
    </w:rPr>
  </w:style>
  <w:style w:type="character" w:styleId="5">
    <w:name w:val="Strong"/>
    <w:basedOn w:val="2"/>
    <w:qFormat/>
    <w:uiPriority w:val="22"/>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1257</Words>
  <Characters>7441</Characters>
  <Lines>61</Lines>
  <Paragraphs>17</Paragraphs>
  <TotalTime>32</TotalTime>
  <ScaleCrop>false</ScaleCrop>
  <LinksUpToDate>false</LinksUpToDate>
  <CharactersWithSpaces>8603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2026-09-15T02:55:00Z</dcterms:created>
  <dc:creator>jeyson vilchez</dc:creator>
  <cp:lastModifiedBy>Jeyson Vilch</cp:lastModifiedBy>
  <dcterms:modified xsi:type="dcterms:W3CDTF">2026-09-15T03:58:09Z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eyJoZGlkIjoiNjdmNGE2ZjMzOTJlMjA0YTQ2YjhiNTU1MWYxMzFhMGIiLCJ1c2VySWQiOiIyNDczOTA1MzU4NTM3In0=</vt:lpwstr>
  </property>
  <property fmtid="{D5CDD505-2E9C-101B-9397-08002B2CF9AE}" pid="3" name="KSOProductBuildVer">
    <vt:lpwstr>2058-12.1.0.28485</vt:lpwstr>
  </property>
  <property fmtid="{D5CDD505-2E9C-101B-9397-08002B2CF9AE}" pid="4" name="ICV">
    <vt:lpwstr>CAF019991F62437F922B43E552F576DD_13</vt:lpwstr>
  </property>
</Properties>
</file>