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36"/>
        <w:gridCol w:w="2555"/>
        <w:gridCol w:w="2929"/>
        <w:gridCol w:w="3773"/>
        <w:gridCol w:w="4401"/>
      </w:tblGrid>
      <w:tr w:rsidR="00E470DE" w14:paraId="14ACF88C" w14:textId="77777777" w:rsidTr="00DF4E5D">
        <w:tc>
          <w:tcPr>
            <w:tcW w:w="649" w:type="pct"/>
            <w:shd w:val="clear" w:color="auto" w:fill="D9E2F3" w:themeFill="accent1" w:themeFillTint="33"/>
            <w:vAlign w:val="center"/>
          </w:tcPr>
          <w:p w14:paraId="21888A4A" w14:textId="5F8E7DBB" w:rsidR="00E470DE" w:rsidRPr="009E1876" w:rsidRDefault="00E470DE" w:rsidP="009E187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Aliados clave</w:t>
            </w:r>
          </w:p>
        </w:tc>
        <w:tc>
          <w:tcPr>
            <w:tcW w:w="814" w:type="pct"/>
            <w:shd w:val="clear" w:color="auto" w:fill="D9E2F3" w:themeFill="accent1" w:themeFillTint="33"/>
            <w:vAlign w:val="center"/>
          </w:tcPr>
          <w:p w14:paraId="0E2DEC83" w14:textId="3D986BA2" w:rsidR="00E470DE" w:rsidRPr="009E1876" w:rsidRDefault="00E470DE" w:rsidP="009E187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Actividades clave</w:t>
            </w:r>
          </w:p>
        </w:tc>
        <w:tc>
          <w:tcPr>
            <w:tcW w:w="933" w:type="pct"/>
            <w:shd w:val="clear" w:color="auto" w:fill="D9E2F3" w:themeFill="accent1" w:themeFillTint="33"/>
            <w:vAlign w:val="center"/>
          </w:tcPr>
          <w:p w14:paraId="12D716D7" w14:textId="639252C0" w:rsidR="00E470DE" w:rsidRPr="009E1876" w:rsidRDefault="00E470DE" w:rsidP="009E187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Proposición de valor</w:t>
            </w:r>
          </w:p>
        </w:tc>
        <w:tc>
          <w:tcPr>
            <w:tcW w:w="1202" w:type="pct"/>
            <w:shd w:val="clear" w:color="auto" w:fill="D9E2F3" w:themeFill="accent1" w:themeFillTint="33"/>
            <w:vAlign w:val="center"/>
          </w:tcPr>
          <w:p w14:paraId="6093E0E3" w14:textId="655B4A10" w:rsidR="00E470DE" w:rsidRPr="009E1876" w:rsidRDefault="00281C0B" w:rsidP="009E187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Relaciones con los clientes</w:t>
            </w:r>
          </w:p>
        </w:tc>
        <w:tc>
          <w:tcPr>
            <w:tcW w:w="1402" w:type="pct"/>
            <w:shd w:val="clear" w:color="auto" w:fill="D9E2F3" w:themeFill="accent1" w:themeFillTint="33"/>
            <w:vAlign w:val="center"/>
          </w:tcPr>
          <w:p w14:paraId="242759CE" w14:textId="5296D231" w:rsidR="00E470DE" w:rsidRPr="009E1876" w:rsidRDefault="00281C0B" w:rsidP="009E187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Segmentación de consumidores</w:t>
            </w:r>
          </w:p>
        </w:tc>
      </w:tr>
      <w:tr w:rsidR="009E1876" w14:paraId="0A68165E" w14:textId="77777777" w:rsidTr="00DF4E5D">
        <w:tc>
          <w:tcPr>
            <w:tcW w:w="649" w:type="pct"/>
            <w:vMerge w:val="restart"/>
            <w:vAlign w:val="center"/>
          </w:tcPr>
          <w:p w14:paraId="43A2D037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Marvisur: </w:t>
            </w:r>
            <w:r>
              <w:rPr>
                <w:rFonts w:ascii="Arial" w:hAnsi="Arial" w:cs="Arial"/>
                <w:sz w:val="16"/>
                <w:szCs w:val="16"/>
              </w:rPr>
              <w:t>empresa piloto que aporta stakeholders, agencias de prueba y hardware real para el descubrimiento y las pruebas UAT.</w:t>
            </w:r>
          </w:p>
          <w:p w14:paraId="581AB588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SUNAT: </w:t>
            </w:r>
            <w:r>
              <w:rPr>
                <w:rFonts w:ascii="Arial" w:hAnsi="Arial" w:cs="Arial"/>
                <w:sz w:val="16"/>
                <w:szCs w:val="16"/>
              </w:rPr>
              <w:t>ente regulador; se garantiza interoperabilidad con la Guía de Remisión Electrónica.</w:t>
            </w:r>
          </w:p>
          <w:p w14:paraId="13B2FD4C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ZXing: </w:t>
            </w:r>
            <w:r>
              <w:rPr>
                <w:rFonts w:ascii="Arial" w:hAnsi="Arial" w:cs="Arial"/>
                <w:sz w:val="16"/>
                <w:szCs w:val="16"/>
              </w:rPr>
              <w:t>comunidad Open Source que provee la librería criptográfica base del Doble QR.</w:t>
            </w:r>
          </w:p>
          <w:p w14:paraId="54AC0CBF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Proveedor Cloud/VPS: </w:t>
            </w:r>
            <w:r>
              <w:rPr>
                <w:rFonts w:ascii="Arial" w:hAnsi="Arial" w:cs="Arial"/>
                <w:sz w:val="16"/>
                <w:szCs w:val="16"/>
              </w:rPr>
              <w:t>hosting del entorno productivo, base de datos PostgreSQL y certificado SSL.</w:t>
            </w:r>
          </w:p>
        </w:tc>
        <w:tc>
          <w:tcPr>
            <w:tcW w:w="814" w:type="pct"/>
            <w:vAlign w:val="center"/>
          </w:tcPr>
          <w:p w14:paraId="6771E7CE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Desarrollo del ecosistema híbrido: </w:t>
            </w:r>
            <w:r>
              <w:rPr>
                <w:rFonts w:ascii="Arial" w:hAnsi="Arial" w:cs="Arial"/>
                <w:sz w:val="16"/>
                <w:szCs w:val="16"/>
              </w:rPr>
              <w:t>App de escritorio JavaFX nativa (sucursal) + Portal Web Cloud (cliente).</w:t>
            </w:r>
          </w:p>
          <w:p w14:paraId="17D6C3AC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Motor criptográfico: </w:t>
            </w:r>
            <w:r>
              <w:rPr>
                <w:rFonts w:ascii="Arial" w:hAnsi="Arial" w:cs="Arial"/>
                <w:sz w:val="16"/>
                <w:szCs w:val="16"/>
              </w:rPr>
              <w:t>integración de la librería ZXing para generar y validar cruzadamente el Doble QR (QR1/QR2).</w:t>
            </w:r>
          </w:p>
          <w:p w14:paraId="251D5E4D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Comunicación de hardware: </w:t>
            </w:r>
            <w:r>
              <w:rPr>
                <w:rFonts w:ascii="Arial" w:hAnsi="Arial" w:cs="Arial"/>
                <w:sz w:val="16"/>
                <w:szCs w:val="16"/>
              </w:rPr>
              <w:t>programación de drivers USB e inyección de comandos ESC/POS para la ticketera de 58mm.</w:t>
            </w:r>
          </w:p>
          <w:p w14:paraId="72B76804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Motor de contingencia: </w:t>
            </w:r>
            <w:r>
              <w:rPr>
                <w:rFonts w:ascii="Arial" w:hAnsi="Arial" w:cs="Arial"/>
                <w:sz w:val="16"/>
                <w:szCs w:val="16"/>
              </w:rPr>
              <w:t>sincronización asíncrona local-nube entre SQLite/H2 y PostgreSQL.</w:t>
            </w:r>
          </w:p>
          <w:p w14:paraId="011E5C91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Aseguramiento de calidad: </w:t>
            </w:r>
            <w:r>
              <w:rPr>
                <w:rFonts w:ascii="Arial" w:hAnsi="Arial" w:cs="Arial"/>
                <w:sz w:val="16"/>
                <w:szCs w:val="16"/>
              </w:rPr>
              <w:t>pruebas de rendimiento, penetración, failover y UAT por rol operativo.</w:t>
            </w:r>
          </w:p>
        </w:tc>
        <w:tc>
          <w:tcPr>
            <w:tcW w:w="933" w:type="pct"/>
            <w:vMerge w:val="restart"/>
            <w:vAlign w:val="center"/>
          </w:tcPr>
          <w:p w14:paraId="04D1C493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Problema: </w:t>
            </w:r>
            <w:r>
              <w:rPr>
                <w:rFonts w:ascii="Arial" w:hAnsi="Arial" w:cs="Arial"/>
                <w:sz w:val="16"/>
                <w:szCs w:val="16"/>
              </w:rPr>
              <w:t>demoras operativas, vulnerabilidad total ante caídas de internet en agencias interprovinciales (paralizan la atención en ventanilla) y riesgo financiero por descontrol de pagos "Contra Entrega"/"Pendiente de Pago".</w:t>
            </w:r>
          </w:p>
          <w:p w14:paraId="7E6F0115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Solución: </w:t>
            </w:r>
            <w:r>
              <w:rPr>
                <w:rFonts w:ascii="Arial" w:hAnsi="Arial" w:cs="Arial"/>
                <w:sz w:val="16"/>
                <w:szCs w:val="16"/>
              </w:rPr>
              <w:t>ecosistema híbrido (App de escritorio JavaFX nativa + Portal Web Cloud) con Motor Criptográfico Doble QR (ZXing) y contingencia offline mediante base de datos local (SQLite/H2).</w:t>
            </w:r>
          </w:p>
          <w:p w14:paraId="03898B7C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UVQ – Fricción Cero: </w:t>
            </w:r>
            <w:r>
              <w:rPr>
                <w:rFonts w:ascii="Arial" w:hAnsi="Arial" w:cs="Arial"/>
                <w:sz w:val="16"/>
                <w:szCs w:val="16"/>
              </w:rPr>
              <w:t>el cliente final opera sin contraseñas ni creación de cuentas, mediante tokens dinámicos.</w:t>
            </w:r>
          </w:p>
          <w:p w14:paraId="4EB8CA38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UVQ – Parada Cero: </w:t>
            </w:r>
            <w:r>
              <w:rPr>
                <w:rFonts w:ascii="Arial" w:hAnsi="Arial" w:cs="Arial"/>
                <w:sz w:val="16"/>
                <w:szCs w:val="16"/>
              </w:rPr>
              <w:t>uptime operativo del 100% en ventanilla; conmutación automática a la base de datos local en ≤2 segundos ante cortes de red.</w:t>
            </w:r>
          </w:p>
          <w:p w14:paraId="2232ACB3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Control financiero: </w:t>
            </w:r>
            <w:r>
              <w:rPr>
                <w:rFonts w:ascii="Arial" w:hAnsi="Arial" w:cs="Arial"/>
                <w:sz w:val="16"/>
                <w:szCs w:val="16"/>
              </w:rPr>
              <w:t>bloqueo físico automático de la entrega de paquetes con pago "Pendiente", mitigando el riesgo del Contra Entrega.</w:t>
            </w:r>
          </w:p>
        </w:tc>
        <w:tc>
          <w:tcPr>
            <w:tcW w:w="1202" w:type="pct"/>
            <w:vAlign w:val="center"/>
          </w:tcPr>
          <w:p w14:paraId="0D180727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Autoservicio sin fricción: </w:t>
            </w:r>
            <w:r>
              <w:rPr>
                <w:rFonts w:ascii="Arial" w:hAnsi="Arial" w:cs="Arial"/>
                <w:sz w:val="16"/>
                <w:szCs w:val="16"/>
              </w:rPr>
              <w:t>portal público de tracking (RF-08) y billetera digital del QR2 (RF-09), sin creación de cuentas.</w:t>
            </w:r>
          </w:p>
          <w:p w14:paraId="6DD71884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Autogestión: </w:t>
            </w:r>
            <w:r>
              <w:rPr>
                <w:rFonts w:ascii="Arial" w:hAnsi="Arial" w:cs="Arial"/>
                <w:sz w:val="16"/>
                <w:szCs w:val="16"/>
              </w:rPr>
              <w:t>Pre-registro web "Código Express" (RF-10) con cotización dinámica de tarifas.</w:t>
            </w:r>
          </w:p>
          <w:p w14:paraId="6FD46661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Autonomía documentaria: </w:t>
            </w:r>
            <w:r>
              <w:rPr>
                <w:rFonts w:ascii="Arial" w:hAnsi="Arial" w:cs="Arial"/>
                <w:sz w:val="16"/>
                <w:szCs w:val="16"/>
              </w:rPr>
              <w:t>descarga autónoma de comprobantes electrónicos en PDF (RF-11).</w:t>
            </w:r>
          </w:p>
          <w:p w14:paraId="42687CC4" w14:textId="77777777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Soporte interno: </w:t>
            </w:r>
            <w:r>
              <w:rPr>
                <w:rFonts w:ascii="Arial" w:hAnsi="Arial" w:cs="Arial"/>
                <w:sz w:val="16"/>
                <w:szCs w:val="16"/>
              </w:rPr>
              <w:t>Dashboard administrativo con alertas de fraude y KPIs en tiempo real (RF-02).</w:t>
            </w:r>
          </w:p>
        </w:tc>
        <w:tc>
          <w:tcPr>
            <w:tcW w:w="1402" w:type="pct"/>
            <w:vMerge w:val="restart"/>
            <w:vAlign w:val="center"/>
          </w:tcPr>
          <w:p w14:paraId="3D8749D7" w14:textId="4EFA089A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Segmento operativo interno (Sucursal Marvisur): </w:t>
            </w:r>
            <w:r>
              <w:rPr>
                <w:rFonts w:ascii="Arial" w:hAnsi="Arial" w:cs="Arial"/>
                <w:sz w:val="16"/>
                <w:szCs w:val="16"/>
              </w:rPr>
              <w:t>Administrador, Almacenero, Recepcionista y Chofer usuarios de la App de escritorio JavaFX.</w:t>
            </w:r>
          </w:p>
          <w:p w14:paraId="0A288065" w14:textId="6928D4A9" w:rsidR="0084136C" w:rsidRDefault="00000000" w:rsidP="00D7413F">
            <w:pPr>
              <w:spacing w:after="20" w:line="22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Segmento externo (Cliente final): </w:t>
            </w:r>
            <w:r>
              <w:rPr>
                <w:rFonts w:ascii="Arial" w:hAnsi="Arial" w:cs="Arial"/>
                <w:sz w:val="16"/>
                <w:szCs w:val="16"/>
              </w:rPr>
              <w:t>Remitente y Destinatario de encomiendas usuarios del Portal Web y la Billetera Digital.</w:t>
            </w:r>
          </w:p>
        </w:tc>
      </w:tr>
      <w:tr w:rsidR="009E1876" w14:paraId="585737F0" w14:textId="77777777" w:rsidTr="00DF4E5D">
        <w:tc>
          <w:tcPr>
            <w:tcW w:w="649" w:type="pct"/>
            <w:vMerge/>
            <w:vAlign w:val="center"/>
          </w:tcPr>
          <w:p w14:paraId="562ED3B0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4" w:type="pct"/>
            <w:shd w:val="clear" w:color="auto" w:fill="D9E2F3" w:themeFill="accent1" w:themeFillTint="33"/>
            <w:vAlign w:val="center"/>
          </w:tcPr>
          <w:p w14:paraId="5D7BE1F9" w14:textId="52F77084" w:rsidR="009E1876" w:rsidRPr="009E1876" w:rsidRDefault="009E1876" w:rsidP="00DF4E5D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Recursos clave</w:t>
            </w:r>
          </w:p>
        </w:tc>
        <w:tc>
          <w:tcPr>
            <w:tcW w:w="933" w:type="pct"/>
            <w:vMerge/>
            <w:vAlign w:val="center"/>
          </w:tcPr>
          <w:p w14:paraId="749901E5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2" w:type="pct"/>
            <w:shd w:val="clear" w:color="auto" w:fill="D9E2F3" w:themeFill="accent1" w:themeFillTint="33"/>
            <w:vAlign w:val="center"/>
          </w:tcPr>
          <w:p w14:paraId="2CEA925F" w14:textId="01BA2DA4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Canales</w:t>
            </w:r>
          </w:p>
        </w:tc>
        <w:tc>
          <w:tcPr>
            <w:tcW w:w="1402" w:type="pct"/>
            <w:vMerge/>
            <w:vAlign w:val="center"/>
          </w:tcPr>
          <w:p w14:paraId="3DFE1ACE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1876" w14:paraId="346CBDD1" w14:textId="77777777" w:rsidTr="00DF4E5D">
        <w:tc>
          <w:tcPr>
            <w:tcW w:w="649" w:type="pct"/>
            <w:vMerge/>
            <w:vAlign w:val="center"/>
          </w:tcPr>
          <w:p w14:paraId="02753B4A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4" w:type="pct"/>
            <w:vAlign w:val="center"/>
          </w:tcPr>
          <w:p w14:paraId="4ED25A83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Ventaja Injusta – Arquitectura Hexagonal: </w:t>
            </w:r>
            <w:r>
              <w:rPr>
                <w:rFonts w:ascii="Arial" w:hAnsi="Arial" w:cs="Arial"/>
                <w:sz w:val="16"/>
                <w:szCs w:val="16"/>
              </w:rPr>
              <w:t>patrón de Puertos y Adaptadores que desacopla la lógica de negocio (QR, tarifas) de los frameworks de infraestructura.</w:t>
            </w:r>
          </w:p>
          <w:p w14:paraId="76E739CA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Ventaja Injusta – Hardware de bajo nivel: </w:t>
            </w:r>
            <w:r>
              <w:rPr>
                <w:rFonts w:ascii="Arial" w:hAnsi="Arial" w:cs="Arial"/>
                <w:sz w:val="16"/>
                <w:szCs w:val="16"/>
              </w:rPr>
              <w:t>capa propietaria de comunicación directa vía drivers USB y comandos ESC/POS.</w:t>
            </w:r>
          </w:p>
          <w:p w14:paraId="1FA0F14C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Motor criptográfico propio: </w:t>
            </w:r>
            <w:r>
              <w:rPr>
                <w:rFonts w:ascii="Arial" w:hAnsi="Arial" w:cs="Arial"/>
                <w:sz w:val="16"/>
                <w:szCs w:val="16"/>
              </w:rPr>
              <w:t>algoritmo Doble QR (ZXing) con invalidación irreversible del QR2 en el punto de entrega.</w:t>
            </w:r>
          </w:p>
          <w:p w14:paraId="7C55AE46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Datos: </w:t>
            </w:r>
            <w:r>
              <w:rPr>
                <w:rFonts w:ascii="Arial" w:hAnsi="Arial" w:cs="Arial"/>
                <w:sz w:val="16"/>
                <w:szCs w:val="16"/>
              </w:rPr>
              <w:t>base de datos PostgreSQL en la nube + motor embebido SQLite/H2 para contingencia local.</w:t>
            </w:r>
          </w:p>
          <w:p w14:paraId="7E0BA012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Documentación técnica: </w:t>
            </w:r>
            <w:r>
              <w:rPr>
                <w:rFonts w:ascii="Arial" w:hAnsi="Arial" w:cs="Arial"/>
                <w:sz w:val="16"/>
                <w:szCs w:val="16"/>
              </w:rPr>
              <w:t>SRS bajo estándar IEEE 830, SDD y diagramas UML de Casos de Uso.</w:t>
            </w:r>
          </w:p>
        </w:tc>
        <w:tc>
          <w:tcPr>
            <w:tcW w:w="933" w:type="pct"/>
            <w:vMerge/>
            <w:vAlign w:val="center"/>
          </w:tcPr>
          <w:p w14:paraId="79B73735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2" w:type="pct"/>
            <w:vAlign w:val="center"/>
          </w:tcPr>
          <w:p w14:paraId="1F08E16E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App de escritorio JavaFX: </w:t>
            </w:r>
            <w:r>
              <w:rPr>
                <w:rFonts w:ascii="Arial" w:hAnsi="Arial" w:cs="Arial"/>
                <w:sz w:val="16"/>
                <w:szCs w:val="16"/>
              </w:rPr>
              <w:t>instalador autocontenido .EXE/.MSI con JRE embebido (jpackage).</w:t>
            </w:r>
          </w:p>
          <w:p w14:paraId="32BCFB6C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Portal Web: </w:t>
            </w:r>
            <w:r>
              <w:rPr>
                <w:rFonts w:ascii="Arial" w:hAnsi="Arial" w:cs="Arial"/>
                <w:sz w:val="16"/>
                <w:szCs w:val="16"/>
              </w:rPr>
              <w:t>entorno responsivo compatible con Chrome, Safari y Edge, sin necesidad de descargas.</w:t>
            </w:r>
          </w:p>
          <w:p w14:paraId="17063C7F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Ticketera térmica de 58 mm: </w:t>
            </w:r>
            <w:r>
              <w:rPr>
                <w:rFonts w:ascii="Arial" w:hAnsi="Arial" w:cs="Arial"/>
                <w:sz w:val="16"/>
                <w:szCs w:val="16"/>
              </w:rPr>
              <w:t>canal físico de emisión del QR1 operativo.</w:t>
            </w:r>
          </w:p>
          <w:p w14:paraId="654B9AF1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Escáner óptico USB: </w:t>
            </w:r>
            <w:r>
              <w:rPr>
                <w:rFonts w:ascii="Arial" w:hAnsi="Arial" w:cs="Arial"/>
                <w:sz w:val="16"/>
                <w:szCs w:val="16"/>
              </w:rPr>
              <w:t>canal físico de lectura y validación por lotes (Batch Scanning).</w:t>
            </w:r>
          </w:p>
        </w:tc>
        <w:tc>
          <w:tcPr>
            <w:tcW w:w="1402" w:type="pct"/>
            <w:vMerge/>
            <w:vAlign w:val="center"/>
          </w:tcPr>
          <w:p w14:paraId="680F779D" w14:textId="77777777" w:rsidR="009E1876" w:rsidRPr="00281C0B" w:rsidRDefault="009E1876" w:rsidP="00DF4E5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1876" w14:paraId="0C08A1F9" w14:textId="77777777" w:rsidTr="00DF4E5D">
        <w:tc>
          <w:tcPr>
            <w:tcW w:w="2396" w:type="pct"/>
            <w:gridSpan w:val="3"/>
            <w:shd w:val="clear" w:color="auto" w:fill="D9E2F3" w:themeFill="accent1" w:themeFillTint="33"/>
            <w:vAlign w:val="center"/>
          </w:tcPr>
          <w:p w14:paraId="59A6ECC4" w14:textId="3D96D858" w:rsidR="009E1876" w:rsidRPr="009E1876" w:rsidRDefault="009E1876" w:rsidP="00DF4E5D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Estructura de costos</w:t>
            </w:r>
          </w:p>
        </w:tc>
        <w:tc>
          <w:tcPr>
            <w:tcW w:w="2604" w:type="pct"/>
            <w:gridSpan w:val="2"/>
            <w:shd w:val="clear" w:color="auto" w:fill="D9E2F3" w:themeFill="accent1" w:themeFillTint="33"/>
            <w:vAlign w:val="center"/>
          </w:tcPr>
          <w:p w14:paraId="714C027E" w14:textId="23434FF8" w:rsidR="009E1876" w:rsidRPr="009E1876" w:rsidRDefault="009E1876" w:rsidP="00DF4E5D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Flujo de ingresos</w:t>
            </w:r>
          </w:p>
        </w:tc>
      </w:tr>
      <w:tr w:rsidR="009E1876" w14:paraId="524AC0A2" w14:textId="77777777" w:rsidTr="00DF4E5D">
        <w:tc>
          <w:tcPr>
            <w:tcW w:w="2396" w:type="pct"/>
            <w:gridSpan w:val="3"/>
            <w:vAlign w:val="center"/>
          </w:tcPr>
          <w:p w14:paraId="20840258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Infraestructura Cloud: </w:t>
            </w:r>
            <w:r>
              <w:rPr>
                <w:rFonts w:ascii="Arial" w:hAnsi="Arial" w:cs="Arial"/>
                <w:sz w:val="16"/>
                <w:szCs w:val="16"/>
              </w:rPr>
              <w:t>servidor VPS (hardening y firewall), base de datos PostgreSQL productiva y certificado SSL.</w:t>
            </w:r>
          </w:p>
          <w:p w14:paraId="035AA7F0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Hardware de agencia: </w:t>
            </w:r>
            <w:r>
              <w:rPr>
                <w:rFonts w:ascii="Arial" w:hAnsi="Arial" w:cs="Arial"/>
                <w:sz w:val="16"/>
                <w:szCs w:val="16"/>
              </w:rPr>
              <w:t>ticketeras térmicas de 58 mm y escáneres ópticos USB.</w:t>
            </w:r>
          </w:p>
          <w:p w14:paraId="47E95DFB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Desarrollo y QA: </w:t>
            </w:r>
            <w:r>
              <w:rPr>
                <w:rFonts w:ascii="Arial" w:hAnsi="Arial" w:cs="Arial"/>
                <w:sz w:val="16"/>
                <w:szCs w:val="16"/>
              </w:rPr>
              <w:t>entornos de testing, herramientas de diseño (Figma) y control de versiones (Git/CI).</w:t>
            </w:r>
          </w:p>
          <w:p w14:paraId="5EC73E13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Capacitación: </w:t>
            </w:r>
            <w:r>
              <w:rPr>
                <w:rFonts w:ascii="Arial" w:hAnsi="Arial" w:cs="Arial"/>
                <w:sz w:val="16"/>
                <w:szCs w:val="16"/>
              </w:rPr>
              <w:t>inducción técnica y operativa a almaceneros, choferes y personal de ventanilla.</w:t>
            </w:r>
          </w:p>
          <w:p w14:paraId="1CA53B37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Mantenimiento: </w:t>
            </w:r>
            <w:r>
              <w:rPr>
                <w:rFonts w:ascii="Arial" w:hAnsi="Arial" w:cs="Arial"/>
                <w:sz w:val="16"/>
                <w:szCs w:val="16"/>
              </w:rPr>
              <w:t>backups diarios automatizados (cron) sobre la base de datos productiva.</w:t>
            </w:r>
          </w:p>
        </w:tc>
        <w:tc>
          <w:tcPr>
            <w:tcW w:w="2604" w:type="pct"/>
            <w:gridSpan w:val="2"/>
            <w:vAlign w:val="center"/>
          </w:tcPr>
          <w:p w14:paraId="09DD7E6E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Tarifas de envío: </w:t>
            </w:r>
            <w:r>
              <w:rPr>
                <w:rFonts w:ascii="Arial" w:hAnsi="Arial" w:cs="Arial"/>
                <w:sz w:val="16"/>
                <w:szCs w:val="16"/>
              </w:rPr>
              <w:t>calculadas según volumen o tipo de mercadería, cotizadas dinámicamente desde el Pre-registro "Código Express".</w:t>
            </w:r>
          </w:p>
          <w:p w14:paraId="11480673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Recaudación por sucursal: </w:t>
            </w:r>
            <w:r>
              <w:rPr>
                <w:rFonts w:ascii="Arial" w:hAnsi="Arial" w:cs="Arial"/>
                <w:sz w:val="16"/>
                <w:szCs w:val="16"/>
              </w:rPr>
              <w:t>consolidada en tiempo real como KPI del Dashboard administrativo (RF-02).</w:t>
            </w:r>
          </w:p>
          <w:p w14:paraId="132C1E01" w14:textId="77777777" w:rsidR="0084136C" w:rsidRDefault="00000000">
            <w:pPr>
              <w:spacing w:after="20" w:line="22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• Modalidades de cobro: </w:t>
            </w:r>
            <w:r>
              <w:rPr>
                <w:rFonts w:ascii="Arial" w:hAnsi="Arial" w:cs="Arial"/>
                <w:sz w:val="16"/>
                <w:szCs w:val="16"/>
              </w:rPr>
              <w:t>Pago Adelantado (liberación inmediata) y Contra Entrega/Pendiente de Pago (liberación bloqueada hasta confirmar el pago).</w:t>
            </w:r>
          </w:p>
        </w:tc>
      </w:tr>
    </w:tbl>
    <w:p w14:paraId="3A74BCA6" w14:textId="77777777" w:rsidR="00F06D7C" w:rsidRDefault="00F06D7C"/>
    <w:sectPr w:rsidR="00F06D7C" w:rsidSect="00281C0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B70E36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1C6FDC"/>
    <w:multiLevelType w:val="hybridMultilevel"/>
    <w:tmpl w:val="3AF8C8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96EAF"/>
    <w:multiLevelType w:val="hybridMultilevel"/>
    <w:tmpl w:val="5B14714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B6FF2"/>
    <w:multiLevelType w:val="hybridMultilevel"/>
    <w:tmpl w:val="E856E7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C3220"/>
    <w:multiLevelType w:val="hybridMultilevel"/>
    <w:tmpl w:val="32F2C6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CF6D8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25BEB"/>
    <w:multiLevelType w:val="hybridMultilevel"/>
    <w:tmpl w:val="25A2FD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D44CF"/>
    <w:multiLevelType w:val="hybridMultilevel"/>
    <w:tmpl w:val="29FE84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81996"/>
    <w:multiLevelType w:val="hybridMultilevel"/>
    <w:tmpl w:val="8C16A9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672092">
    <w:abstractNumId w:val="0"/>
  </w:num>
  <w:num w:numId="2" w16cid:durableId="1648361524">
    <w:abstractNumId w:val="7"/>
  </w:num>
  <w:num w:numId="3" w16cid:durableId="296959324">
    <w:abstractNumId w:val="2"/>
  </w:num>
  <w:num w:numId="4" w16cid:durableId="1189098113">
    <w:abstractNumId w:val="3"/>
  </w:num>
  <w:num w:numId="5" w16cid:durableId="1935016075">
    <w:abstractNumId w:val="6"/>
  </w:num>
  <w:num w:numId="6" w16cid:durableId="136843635">
    <w:abstractNumId w:val="4"/>
  </w:num>
  <w:num w:numId="7" w16cid:durableId="278680738">
    <w:abstractNumId w:val="1"/>
  </w:num>
  <w:num w:numId="8" w16cid:durableId="608044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DE"/>
    <w:rsid w:val="00027FAB"/>
    <w:rsid w:val="00047773"/>
    <w:rsid w:val="000665C6"/>
    <w:rsid w:val="000668EE"/>
    <w:rsid w:val="000F1BDF"/>
    <w:rsid w:val="00105C4C"/>
    <w:rsid w:val="001060D7"/>
    <w:rsid w:val="00153C38"/>
    <w:rsid w:val="001A57B9"/>
    <w:rsid w:val="0021619A"/>
    <w:rsid w:val="002209A5"/>
    <w:rsid w:val="00281C0B"/>
    <w:rsid w:val="002B1956"/>
    <w:rsid w:val="002B7A97"/>
    <w:rsid w:val="002E783B"/>
    <w:rsid w:val="00393AE0"/>
    <w:rsid w:val="003C4391"/>
    <w:rsid w:val="003F055F"/>
    <w:rsid w:val="004477E7"/>
    <w:rsid w:val="00636F73"/>
    <w:rsid w:val="00640D0B"/>
    <w:rsid w:val="006F3671"/>
    <w:rsid w:val="006F79FA"/>
    <w:rsid w:val="007D24F9"/>
    <w:rsid w:val="0084136C"/>
    <w:rsid w:val="008A79C8"/>
    <w:rsid w:val="00913598"/>
    <w:rsid w:val="009E1876"/>
    <w:rsid w:val="00C30BE2"/>
    <w:rsid w:val="00C51CCC"/>
    <w:rsid w:val="00C64C9C"/>
    <w:rsid w:val="00C7359F"/>
    <w:rsid w:val="00D27DF2"/>
    <w:rsid w:val="00D30AC7"/>
    <w:rsid w:val="00D7413F"/>
    <w:rsid w:val="00D75702"/>
    <w:rsid w:val="00DA0FA4"/>
    <w:rsid w:val="00DF4E5D"/>
    <w:rsid w:val="00E470DE"/>
    <w:rsid w:val="00EB5B0F"/>
    <w:rsid w:val="00F06D7C"/>
    <w:rsid w:val="00F1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9D9904"/>
  <w15:chartTrackingRefBased/>
  <w15:docId w15:val="{93DADD59-D1E1-4B22-9981-024786C3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7maAPA">
    <w:name w:val="7maAPA"/>
    <w:basedOn w:val="Tablanormal"/>
    <w:uiPriority w:val="99"/>
    <w:rsid w:val="00640D0B"/>
    <w:pPr>
      <w:spacing w:after="0" w:line="240" w:lineRule="auto"/>
    </w:pPr>
    <w:rPr>
      <w:rFonts w:ascii="Arial" w:hAnsi="Arial"/>
      <w:color w:val="000000" w:themeColor="text1"/>
    </w:rPr>
    <w:tblPr>
      <w:tblBorders>
        <w:bottom w:val="single" w:sz="4" w:space="0" w:color="000000" w:themeColor="text1"/>
      </w:tblBorders>
    </w:tblPr>
    <w:tblStylePr w:type="firstRow">
      <w:rPr>
        <w:rFonts w:ascii="Arial" w:hAnsi="Arial"/>
        <w:b/>
        <w:color w:val="000000" w:themeColor="text1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47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0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0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0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0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0D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7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636F73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678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Mora Bonilla</dc:creator>
  <cp:keywords/>
  <dc:description/>
  <cp:lastModifiedBy>jean Pool Oroncuy</cp:lastModifiedBy>
  <cp:revision>26</cp:revision>
  <dcterms:created xsi:type="dcterms:W3CDTF">2026-08-13T19:54:00Z</dcterms:created>
  <dcterms:modified xsi:type="dcterms:W3CDTF">2026-09-16T02:25:00Z</dcterms:modified>
</cp:coreProperties>
</file>