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0" w:type="auto"/>
        <w:tblInd w:w="1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6"/>
        <w:gridCol w:w="1067"/>
        <w:gridCol w:w="1338"/>
        <w:gridCol w:w="1385"/>
        <w:gridCol w:w="933"/>
        <w:gridCol w:w="2876"/>
      </w:tblGrid>
      <w:tr w:rsidR="001F1B3F" w14:paraId="4A56A7EB" w14:textId="77777777">
        <w:trPr>
          <w:trHeight w:val="266"/>
        </w:trPr>
        <w:tc>
          <w:tcPr>
            <w:tcW w:w="8465" w:type="dxa"/>
            <w:gridSpan w:val="6"/>
            <w:shd w:val="clear" w:color="auto" w:fill="5F5F5F"/>
          </w:tcPr>
          <w:p w14:paraId="2D845FA9" w14:textId="77777777" w:rsidR="001F1B3F" w:rsidRDefault="00DC5430">
            <w:pPr>
              <w:pStyle w:val="TableParagraph"/>
              <w:spacing w:before="31"/>
              <w:ind w:left="3026" w:right="3011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CONTROL</w:t>
            </w:r>
            <w:r>
              <w:rPr>
                <w:b/>
                <w:color w:val="FFFFFF"/>
                <w:spacing w:val="-8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DE</w:t>
            </w:r>
            <w:r>
              <w:rPr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VERSIONES</w:t>
            </w:r>
          </w:p>
        </w:tc>
      </w:tr>
      <w:tr w:rsidR="001F1B3F" w14:paraId="6EE4DA99" w14:textId="77777777">
        <w:trPr>
          <w:trHeight w:val="353"/>
        </w:trPr>
        <w:tc>
          <w:tcPr>
            <w:tcW w:w="866" w:type="dxa"/>
            <w:shd w:val="clear" w:color="auto" w:fill="E0E0E0"/>
          </w:tcPr>
          <w:p w14:paraId="7974ADD2" w14:textId="77777777" w:rsidR="001F1B3F" w:rsidRDefault="00DC5430">
            <w:pPr>
              <w:pStyle w:val="TableParagraph"/>
              <w:spacing w:before="84"/>
              <w:ind w:left="112"/>
              <w:rPr>
                <w:b/>
                <w:i/>
                <w:sz w:val="15"/>
              </w:rPr>
            </w:pPr>
            <w:r>
              <w:rPr>
                <w:b/>
                <w:i/>
                <w:spacing w:val="-2"/>
                <w:sz w:val="15"/>
              </w:rPr>
              <w:t>Versión</w:t>
            </w:r>
          </w:p>
        </w:tc>
        <w:tc>
          <w:tcPr>
            <w:tcW w:w="1067" w:type="dxa"/>
            <w:shd w:val="clear" w:color="auto" w:fill="E0E0E0"/>
          </w:tcPr>
          <w:p w14:paraId="0C3D4E20" w14:textId="77777777" w:rsidR="001F1B3F" w:rsidRDefault="00DC5430">
            <w:pPr>
              <w:pStyle w:val="TableParagraph"/>
              <w:spacing w:before="84"/>
              <w:ind w:left="106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w:t>Hecha</w:t>
            </w:r>
            <w:r>
              <w:rPr>
                <w:b/>
                <w:i/>
                <w:spacing w:val="-8"/>
                <w:sz w:val="15"/>
              </w:rPr>
              <w:t xml:space="preserve"> </w:t>
            </w:r>
            <w:r>
              <w:rPr>
                <w:b/>
                <w:i/>
                <w:spacing w:val="-5"/>
                <w:sz w:val="15"/>
              </w:rPr>
              <w:t>por</w:t>
            </w:r>
          </w:p>
        </w:tc>
        <w:tc>
          <w:tcPr>
            <w:tcW w:w="1338" w:type="dxa"/>
            <w:shd w:val="clear" w:color="auto" w:fill="E0E0E0"/>
          </w:tcPr>
          <w:p w14:paraId="26EAC66B" w14:textId="77777777" w:rsidR="001F1B3F" w:rsidRDefault="00DC5430">
            <w:pPr>
              <w:pStyle w:val="TableParagraph"/>
              <w:spacing w:before="84"/>
              <w:ind w:left="123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w:t>Revisada</w:t>
            </w:r>
            <w:r>
              <w:rPr>
                <w:b/>
                <w:i/>
                <w:spacing w:val="-12"/>
                <w:sz w:val="15"/>
              </w:rPr>
              <w:t xml:space="preserve"> </w:t>
            </w:r>
            <w:r>
              <w:rPr>
                <w:b/>
                <w:i/>
                <w:spacing w:val="-5"/>
                <w:sz w:val="15"/>
              </w:rPr>
              <w:t>por</w:t>
            </w:r>
          </w:p>
        </w:tc>
        <w:tc>
          <w:tcPr>
            <w:tcW w:w="1385" w:type="dxa"/>
            <w:shd w:val="clear" w:color="auto" w:fill="E0E0E0"/>
          </w:tcPr>
          <w:p w14:paraId="17CAB178" w14:textId="77777777" w:rsidR="001F1B3F" w:rsidRDefault="00DC5430">
            <w:pPr>
              <w:pStyle w:val="TableParagraph"/>
              <w:spacing w:before="84"/>
              <w:ind w:left="122"/>
              <w:rPr>
                <w:b/>
                <w:i/>
                <w:sz w:val="15"/>
              </w:rPr>
            </w:pPr>
            <w:r>
              <w:rPr>
                <w:b/>
                <w:i/>
                <w:spacing w:val="-2"/>
                <w:sz w:val="15"/>
              </w:rPr>
              <w:t>Aprobada</w:t>
            </w:r>
            <w:r>
              <w:rPr>
                <w:b/>
                <w:i/>
                <w:spacing w:val="2"/>
                <w:sz w:val="15"/>
              </w:rPr>
              <w:t xml:space="preserve"> </w:t>
            </w:r>
            <w:r>
              <w:rPr>
                <w:b/>
                <w:i/>
                <w:spacing w:val="-5"/>
                <w:sz w:val="15"/>
              </w:rPr>
              <w:t>por</w:t>
            </w:r>
          </w:p>
        </w:tc>
        <w:tc>
          <w:tcPr>
            <w:tcW w:w="933" w:type="dxa"/>
            <w:shd w:val="clear" w:color="auto" w:fill="E0E0E0"/>
          </w:tcPr>
          <w:p w14:paraId="5606FDB8" w14:textId="77777777" w:rsidR="001F1B3F" w:rsidRDefault="00DC5430">
            <w:pPr>
              <w:pStyle w:val="TableParagraph"/>
              <w:spacing w:before="84"/>
              <w:ind w:left="221"/>
              <w:rPr>
                <w:b/>
                <w:i/>
                <w:sz w:val="15"/>
              </w:rPr>
            </w:pPr>
            <w:r>
              <w:rPr>
                <w:b/>
                <w:i/>
                <w:spacing w:val="-2"/>
                <w:sz w:val="15"/>
              </w:rPr>
              <w:t>Fecha</w:t>
            </w:r>
          </w:p>
        </w:tc>
        <w:tc>
          <w:tcPr>
            <w:tcW w:w="2876" w:type="dxa"/>
            <w:shd w:val="clear" w:color="auto" w:fill="E0E0E0"/>
          </w:tcPr>
          <w:p w14:paraId="65404D5D" w14:textId="77777777" w:rsidR="001F1B3F" w:rsidRDefault="00DC5430">
            <w:pPr>
              <w:pStyle w:val="TableParagraph"/>
              <w:spacing w:before="84"/>
              <w:ind w:left="1145" w:right="1123"/>
              <w:jc w:val="center"/>
              <w:rPr>
                <w:b/>
                <w:i/>
                <w:sz w:val="15"/>
              </w:rPr>
            </w:pPr>
            <w:r>
              <w:rPr>
                <w:b/>
                <w:i/>
                <w:spacing w:val="-2"/>
                <w:sz w:val="15"/>
              </w:rPr>
              <w:t>Motivo</w:t>
            </w:r>
          </w:p>
        </w:tc>
      </w:tr>
      <w:tr w:rsidR="00E123BD" w14:paraId="65C691F5" w14:textId="77777777">
        <w:trPr>
          <w:trHeight w:val="212"/>
        </w:trPr>
        <w:tc>
          <w:tcPr>
            <w:tcW w:w="866" w:type="dxa"/>
          </w:tcPr>
          <w:p w14:paraId="20E71F53" w14:textId="77777777" w:rsidR="00E123BD" w:rsidRDefault="00E123BD" w:rsidP="00E123BD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067" w:type="dxa"/>
          </w:tcPr>
          <w:p w14:paraId="5DA97730" w14:textId="77777777" w:rsidR="00E123BD" w:rsidRDefault="00E123BD" w:rsidP="00E123BD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Equipo QuickScan Marvisur</w:t>
            </w:r>
          </w:p>
        </w:tc>
        <w:tc>
          <w:tcPr>
            <w:tcW w:w="1338" w:type="dxa"/>
          </w:tcPr>
          <w:p w14:paraId="494E4394" w14:textId="14256A43" w:rsidR="00E123BD" w:rsidRDefault="00E123BD" w:rsidP="00E123BD">
            <w:pPr>
              <w:pStyle w:val="TableParagraph"/>
              <w:rPr>
                <w:sz w:val="18"/>
                <w:szCs w:val="18"/>
              </w:rPr>
            </w:pPr>
            <w:r w:rsidRPr="003C6356">
              <w:rPr>
                <w:rFonts w:ascii="Times New Roman"/>
              </w:rPr>
              <w:t>Anthony Vladimir Mora Bonilla</w:t>
            </w:r>
          </w:p>
        </w:tc>
        <w:tc>
          <w:tcPr>
            <w:tcW w:w="1385" w:type="dxa"/>
          </w:tcPr>
          <w:p w14:paraId="5A83681F" w14:textId="11A58FF9" w:rsidR="00E123BD" w:rsidRDefault="00E123BD" w:rsidP="00E123BD">
            <w:pPr>
              <w:pStyle w:val="TableParagraph"/>
              <w:rPr>
                <w:sz w:val="18"/>
                <w:szCs w:val="18"/>
              </w:rPr>
            </w:pPr>
            <w:r w:rsidRPr="003C6356">
              <w:rPr>
                <w:rFonts w:ascii="Times New Roman"/>
              </w:rPr>
              <w:t>Anthony Vladimir Mora Bonilla</w:t>
            </w:r>
          </w:p>
        </w:tc>
        <w:tc>
          <w:tcPr>
            <w:tcW w:w="933" w:type="dxa"/>
          </w:tcPr>
          <w:p w14:paraId="7E3E418D" w14:textId="362EED5A" w:rsidR="00E123BD" w:rsidRDefault="00E123BD" w:rsidP="00E123BD">
            <w:pPr>
              <w:pStyle w:val="TableParagraph"/>
              <w:rPr>
                <w:sz w:val="18"/>
                <w:szCs w:val="18"/>
              </w:rPr>
            </w:pPr>
            <w:r w:rsidRPr="00D87A38">
              <w:rPr>
                <w:rFonts w:ascii="Times New Roman"/>
              </w:rPr>
              <w:t>20/08/2026</w:t>
            </w:r>
          </w:p>
        </w:tc>
        <w:tc>
          <w:tcPr>
            <w:tcW w:w="2876" w:type="dxa"/>
          </w:tcPr>
          <w:p w14:paraId="3565CBB0" w14:textId="16EDB2DC" w:rsidR="00E123BD" w:rsidRDefault="00E123BD" w:rsidP="00E123BD">
            <w:pPr>
              <w:pStyle w:val="TableParagraph"/>
              <w:rPr>
                <w:sz w:val="18"/>
                <w:szCs w:val="18"/>
              </w:rPr>
            </w:pPr>
            <w:r w:rsidRPr="00D87A38">
              <w:rPr>
                <w:rFonts w:ascii="Times New Roman" w:hAnsi="Times New Roman" w:cs="Times New Roman"/>
              </w:rPr>
              <w:t xml:space="preserve">Elaboración y presentación inicial del Project </w:t>
            </w:r>
            <w:proofErr w:type="spellStart"/>
            <w:r w:rsidRPr="00D87A38">
              <w:rPr>
                <w:rFonts w:ascii="Times New Roman" w:hAnsi="Times New Roman" w:cs="Times New Roman"/>
              </w:rPr>
              <w:t>Charter</w:t>
            </w:r>
            <w:proofErr w:type="spellEnd"/>
            <w:r w:rsidRPr="00D87A38">
              <w:rPr>
                <w:rFonts w:ascii="Times New Roman" w:hAnsi="Times New Roman" w:cs="Times New Roman"/>
              </w:rPr>
              <w:t xml:space="preserve"> para aprobación formal del proyecto</w:t>
            </w:r>
          </w:p>
        </w:tc>
      </w:tr>
      <w:tr w:rsidR="001F1B3F" w14:paraId="330EF1B2" w14:textId="77777777">
        <w:trPr>
          <w:trHeight w:val="213"/>
        </w:trPr>
        <w:tc>
          <w:tcPr>
            <w:tcW w:w="866" w:type="dxa"/>
          </w:tcPr>
          <w:p w14:paraId="0DDA4D0F" w14:textId="77777777" w:rsidR="001F1B3F" w:rsidRDefault="001F1B3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14:paraId="0ACADEE4" w14:textId="77777777" w:rsidR="001F1B3F" w:rsidRDefault="001F1B3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8" w:type="dxa"/>
          </w:tcPr>
          <w:p w14:paraId="23D58B46" w14:textId="77777777" w:rsidR="001F1B3F" w:rsidRDefault="001F1B3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5" w:type="dxa"/>
          </w:tcPr>
          <w:p w14:paraId="524CC9FB" w14:textId="77777777" w:rsidR="001F1B3F" w:rsidRDefault="001F1B3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3" w:type="dxa"/>
          </w:tcPr>
          <w:p w14:paraId="66ED7BF2" w14:textId="77777777" w:rsidR="001F1B3F" w:rsidRDefault="001F1B3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76" w:type="dxa"/>
          </w:tcPr>
          <w:p w14:paraId="3FB8E3FB" w14:textId="77777777" w:rsidR="001F1B3F" w:rsidRDefault="001F1B3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F5B0783" w14:textId="77777777" w:rsidR="001F1B3F" w:rsidRDefault="001F1B3F">
      <w:pPr>
        <w:pStyle w:val="Textoindependiente"/>
        <w:spacing w:before="1"/>
        <w:rPr>
          <w:rFonts w:ascii="Times New Roman"/>
          <w:i w:val="0"/>
          <w:sz w:val="10"/>
        </w:rPr>
      </w:pPr>
    </w:p>
    <w:p w14:paraId="423C223A" w14:textId="77777777" w:rsidR="001F1B3F" w:rsidRDefault="00DC5430">
      <w:pPr>
        <w:pStyle w:val="Textoindependiente"/>
        <w:spacing w:before="101"/>
        <w:ind w:left="2946" w:right="2946"/>
        <w:jc w:val="center"/>
      </w:pPr>
      <w:r>
        <w:rPr>
          <w:shadow/>
        </w:rPr>
        <w:t>PROJECT</w:t>
      </w:r>
      <w:r>
        <w:rPr>
          <w:spacing w:val="-2"/>
        </w:rPr>
        <w:t xml:space="preserve"> </w:t>
      </w:r>
      <w:r>
        <w:rPr>
          <w:shadow/>
          <w:spacing w:val="-2"/>
        </w:rPr>
        <w:t>CHARTER</w:t>
      </w:r>
    </w:p>
    <w:p w14:paraId="17F9EBA8" w14:textId="77777777" w:rsidR="001F1B3F" w:rsidRDefault="001F1B3F">
      <w:pPr>
        <w:pStyle w:val="Textoindependiente"/>
        <w:spacing w:before="9"/>
        <w:rPr>
          <w:sz w:val="18"/>
        </w:rPr>
      </w:pPr>
    </w:p>
    <w:tbl>
      <w:tblPr>
        <w:tblStyle w:val="TableNormal"/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23"/>
        <w:gridCol w:w="4437"/>
      </w:tblGrid>
      <w:tr w:rsidR="001F1B3F" w14:paraId="49C3EE66" w14:textId="77777777">
        <w:trPr>
          <w:trHeight w:val="250"/>
        </w:trPr>
        <w:tc>
          <w:tcPr>
            <w:tcW w:w="3923" w:type="dxa"/>
            <w:shd w:val="clear" w:color="auto" w:fill="5F5F5F"/>
          </w:tcPr>
          <w:p w14:paraId="69D244AD" w14:textId="77777777" w:rsidR="001F1B3F" w:rsidRDefault="00DC5430">
            <w:pPr>
              <w:pStyle w:val="TableParagraph"/>
              <w:spacing w:before="8" w:line="223" w:lineRule="exact"/>
              <w:ind w:left="65"/>
              <w:rPr>
                <w:b/>
                <w:sz w:val="19"/>
              </w:rPr>
            </w:pPr>
            <w:r>
              <w:rPr>
                <w:b/>
                <w:smallCaps/>
                <w:color w:val="FFFFFF"/>
                <w:sz w:val="19"/>
              </w:rPr>
              <w:t>Nombre</w:t>
            </w:r>
            <w:r>
              <w:rPr>
                <w:b/>
                <w:smallCaps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del</w:t>
            </w:r>
            <w:r>
              <w:rPr>
                <w:b/>
                <w:smallCaps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pacing w:val="-2"/>
                <w:sz w:val="19"/>
              </w:rPr>
              <w:t>Proyecto</w:t>
            </w:r>
          </w:p>
        </w:tc>
        <w:tc>
          <w:tcPr>
            <w:tcW w:w="4437" w:type="dxa"/>
            <w:shd w:val="clear" w:color="auto" w:fill="5F5F5F"/>
          </w:tcPr>
          <w:p w14:paraId="42A186FA" w14:textId="77777777" w:rsidR="001F1B3F" w:rsidRDefault="00DC5430">
            <w:pPr>
              <w:pStyle w:val="TableParagraph"/>
              <w:spacing w:before="8" w:line="223" w:lineRule="exact"/>
              <w:ind w:left="65"/>
              <w:rPr>
                <w:b/>
                <w:sz w:val="19"/>
              </w:rPr>
            </w:pPr>
            <w:r>
              <w:rPr>
                <w:b/>
                <w:smallCaps/>
                <w:color w:val="FFFFFF"/>
                <w:sz w:val="19"/>
              </w:rPr>
              <w:t>Siglas</w:t>
            </w:r>
            <w:r>
              <w:rPr>
                <w:b/>
                <w:smallCaps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del</w:t>
            </w:r>
            <w:r>
              <w:rPr>
                <w:b/>
                <w:smallCaps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pacing w:val="-2"/>
                <w:sz w:val="19"/>
              </w:rPr>
              <w:t>Proyecto</w:t>
            </w:r>
          </w:p>
        </w:tc>
      </w:tr>
      <w:tr w:rsidR="001F1B3F" w14:paraId="6B9040E6" w14:textId="77777777">
        <w:trPr>
          <w:trHeight w:val="407"/>
        </w:trPr>
        <w:tc>
          <w:tcPr>
            <w:tcW w:w="3923" w:type="dxa"/>
          </w:tcPr>
          <w:p w14:paraId="1D43F662" w14:textId="77777777" w:rsidR="005C1E7A" w:rsidRDefault="00000000">
            <w:pPr>
              <w:pStyle w:val="TableParagraph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Sistema de Gestión Logística con Doble QR</w:t>
            </w:r>
          </w:p>
        </w:tc>
        <w:tc>
          <w:tcPr>
            <w:tcW w:w="4437" w:type="dxa"/>
          </w:tcPr>
          <w:p w14:paraId="534FC01A" w14:textId="77777777" w:rsidR="005C1E7A" w:rsidRDefault="00000000">
            <w:pPr>
              <w:pStyle w:val="TableParagraph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SGL-DQR</w:t>
            </w:r>
          </w:p>
        </w:tc>
      </w:tr>
      <w:tr w:rsidR="001F1B3F" w14:paraId="38021CEA" w14:textId="77777777">
        <w:trPr>
          <w:trHeight w:val="226"/>
        </w:trPr>
        <w:tc>
          <w:tcPr>
            <w:tcW w:w="8360" w:type="dxa"/>
            <w:gridSpan w:val="2"/>
            <w:shd w:val="clear" w:color="auto" w:fill="5F5F5F"/>
          </w:tcPr>
          <w:p w14:paraId="1816A69A" w14:textId="77777777" w:rsidR="001F1B3F" w:rsidRDefault="00DC5430">
            <w:pPr>
              <w:pStyle w:val="TableParagraph"/>
              <w:spacing w:line="207" w:lineRule="exact"/>
              <w:ind w:left="65"/>
              <w:rPr>
                <w:i/>
                <w:sz w:val="15"/>
              </w:rPr>
            </w:pPr>
            <w:r>
              <w:rPr>
                <w:b/>
                <w:color w:val="FFFFFF"/>
                <w:sz w:val="19"/>
              </w:rPr>
              <w:t>D</w:t>
            </w:r>
            <w:r>
              <w:rPr>
                <w:b/>
                <w:color w:val="FFFFFF"/>
                <w:sz w:val="15"/>
              </w:rPr>
              <w:t>ESCRIPCIÓN</w:t>
            </w:r>
            <w:r>
              <w:rPr>
                <w:b/>
                <w:color w:val="FFFFFF"/>
                <w:spacing w:val="-8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DEL</w:t>
            </w:r>
            <w:r>
              <w:rPr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b/>
                <w:color w:val="FFFFFF"/>
                <w:sz w:val="19"/>
              </w:rPr>
              <w:t>P</w:t>
            </w:r>
            <w:r>
              <w:rPr>
                <w:b/>
                <w:color w:val="FFFFFF"/>
                <w:sz w:val="15"/>
              </w:rPr>
              <w:t>ROYECTO</w:t>
            </w:r>
            <w:r>
              <w:rPr>
                <w:b/>
                <w:color w:val="FFFFFF"/>
                <w:sz w:val="19"/>
              </w:rPr>
              <w:t>:</w:t>
            </w:r>
            <w:r>
              <w:rPr>
                <w:b/>
                <w:color w:val="FFFFFF"/>
                <w:spacing w:val="-16"/>
                <w:sz w:val="19"/>
              </w:rPr>
              <w:t xml:space="preserve"> </w:t>
            </w:r>
            <w:r>
              <w:rPr>
                <w:i/>
                <w:color w:val="FFFFFF"/>
                <w:sz w:val="15"/>
              </w:rPr>
              <w:t>Q</w:t>
            </w:r>
            <w:r>
              <w:rPr>
                <w:i/>
                <w:color w:val="FFFFFF"/>
                <w:sz w:val="12"/>
              </w:rPr>
              <w:t>UÉ</w:t>
            </w:r>
            <w:r>
              <w:rPr>
                <w:i/>
                <w:color w:val="FFFFFF"/>
                <w:sz w:val="15"/>
              </w:rPr>
              <w:t>,</w:t>
            </w:r>
            <w:r>
              <w:rPr>
                <w:i/>
                <w:color w:val="FFFFFF"/>
                <w:spacing w:val="-13"/>
                <w:sz w:val="15"/>
              </w:rPr>
              <w:t xml:space="preserve"> </w:t>
            </w:r>
            <w:proofErr w:type="gramStart"/>
            <w:r>
              <w:rPr>
                <w:i/>
                <w:color w:val="FFFFFF"/>
                <w:sz w:val="12"/>
              </w:rPr>
              <w:t>QUIÉN</w:t>
            </w:r>
            <w:r>
              <w:rPr>
                <w:i/>
                <w:color w:val="FFFFFF"/>
                <w:sz w:val="15"/>
              </w:rPr>
              <w:t>,</w:t>
            </w:r>
            <w:r>
              <w:rPr>
                <w:i/>
                <w:color w:val="FFFFFF"/>
                <w:spacing w:val="-13"/>
                <w:sz w:val="15"/>
              </w:rPr>
              <w:t xml:space="preserve"> </w:t>
            </w:r>
            <w:r>
              <w:rPr>
                <w:i/>
                <w:color w:val="FFFFFF"/>
                <w:sz w:val="12"/>
              </w:rPr>
              <w:t>CÓMO</w:t>
            </w:r>
            <w:r>
              <w:rPr>
                <w:i/>
                <w:color w:val="FFFFFF"/>
                <w:sz w:val="15"/>
              </w:rPr>
              <w:t>,</w:t>
            </w:r>
            <w:r>
              <w:rPr>
                <w:i/>
                <w:color w:val="FFFFFF"/>
                <w:spacing w:val="-14"/>
                <w:sz w:val="15"/>
              </w:rPr>
              <w:t xml:space="preserve"> </w:t>
            </w:r>
            <w:r>
              <w:rPr>
                <w:i/>
                <w:color w:val="FFFFFF"/>
                <w:sz w:val="12"/>
              </w:rPr>
              <w:t>CUÁNDO</w:t>
            </w:r>
            <w:r>
              <w:rPr>
                <w:i/>
                <w:color w:val="FFFFFF"/>
                <w:spacing w:val="-2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Y</w:t>
            </w:r>
            <w:r>
              <w:rPr>
                <w:i/>
                <w:color w:val="FFFFFF"/>
                <w:spacing w:val="-2"/>
                <w:sz w:val="12"/>
              </w:rPr>
              <w:t xml:space="preserve"> DÓNDE</w:t>
            </w:r>
            <w:r>
              <w:rPr>
                <w:i/>
                <w:color w:val="FFFFFF"/>
                <w:spacing w:val="-2"/>
                <w:sz w:val="15"/>
              </w:rPr>
              <w:t>?</w:t>
            </w:r>
            <w:proofErr w:type="gramEnd"/>
          </w:p>
        </w:tc>
      </w:tr>
      <w:tr w:rsidR="001F1B3F" w14:paraId="045D77BE" w14:textId="77777777">
        <w:trPr>
          <w:trHeight w:val="1429"/>
        </w:trPr>
        <w:tc>
          <w:tcPr>
            <w:tcW w:w="8360" w:type="dxa"/>
            <w:gridSpan w:val="2"/>
          </w:tcPr>
          <w:p w14:paraId="35898F9F" w14:textId="77777777" w:rsidR="005C1E7A" w:rsidRDefault="00000000">
            <w:pPr>
              <w:pStyle w:val="TableParagraph"/>
              <w:spacing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• Qué: </w:t>
            </w:r>
            <w:r>
              <w:rPr>
                <w:sz w:val="17"/>
                <w:szCs w:val="17"/>
              </w:rPr>
              <w:t>ecosistema híbrido de gestión logística compuesto por una App de escritorio nativa (JavaFX) para las agencias y un Portal Web Cloud para el cliente final, integrados mediante un Motor Criptográfico de Doble QR (ZXing) que automatiza el registro, seguimiento y entrega de encomiendas.</w:t>
            </w:r>
          </w:p>
          <w:p w14:paraId="795788FF" w14:textId="77777777" w:rsidR="005C1E7A" w:rsidRDefault="00000000">
            <w:pPr>
              <w:pStyle w:val="TableParagraph"/>
              <w:spacing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• Quién: </w:t>
            </w:r>
            <w:r>
              <w:rPr>
                <w:sz w:val="17"/>
                <w:szCs w:val="17"/>
              </w:rPr>
              <w:t>desarrollado por el equipo QuickScan Marvisur, dirigido a las agencias interprovinciales de Marvisur (Administradores, Almaceneros, Recepcionistas y Choferes) y a sus clientes finales (Remitentes y Destinatarios).</w:t>
            </w:r>
          </w:p>
          <w:p w14:paraId="2E2F8E5B" w14:textId="77777777" w:rsidR="005C1E7A" w:rsidRDefault="00000000">
            <w:pPr>
              <w:pStyle w:val="TableParagraph"/>
              <w:spacing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• Cómo: </w:t>
            </w:r>
            <w:r>
              <w:rPr>
                <w:sz w:val="17"/>
                <w:szCs w:val="17"/>
              </w:rPr>
              <w:t>mediante una Arquitectura Hexagonal (Puertos y Adaptadores) sobre un backend Spring Boot con base de datos PostgreSQL en la nube, complementada con persistencia local SQLite/H2 para contingencia offline y comunicación directa con hardware de bajo nivel (comandos ESC/POS, escáneres ópticos USB).</w:t>
            </w:r>
          </w:p>
          <w:p w14:paraId="71750C4D" w14:textId="77777777" w:rsidR="005C1E7A" w:rsidRDefault="00000000">
            <w:pPr>
              <w:pStyle w:val="TableParagraph"/>
              <w:spacing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• Cuándo: </w:t>
            </w:r>
            <w:r>
              <w:rPr>
                <w:sz w:val="17"/>
                <w:szCs w:val="17"/>
              </w:rPr>
              <w:t>en 5 fases (Análisis, Diseño, Desarrollo, QA y Despliegue Go-Live) distribuidas en 16 semanas operativas más 1 semana de contingencia técnica.</w:t>
            </w:r>
          </w:p>
          <w:p w14:paraId="3265DE9C" w14:textId="77777777" w:rsidR="005C1E7A" w:rsidRDefault="00000000">
            <w:pPr>
              <w:pStyle w:val="TableParagraph"/>
              <w:spacing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• Dónde: </w:t>
            </w:r>
            <w:r>
              <w:rPr>
                <w:sz w:val="17"/>
                <w:szCs w:val="17"/>
              </w:rPr>
              <w:t>en las agencias físicas interprovinciales de Marvisur (ventanilla y almacén) y en el entorno productivo Cloud (servidor VPS) que aloja el Portal Web y la Billetera Digital.</w:t>
            </w:r>
          </w:p>
        </w:tc>
      </w:tr>
      <w:tr w:rsidR="001F1B3F" w14:paraId="4AFA60C5" w14:textId="77777777">
        <w:trPr>
          <w:trHeight w:val="409"/>
        </w:trPr>
        <w:tc>
          <w:tcPr>
            <w:tcW w:w="8360" w:type="dxa"/>
            <w:gridSpan w:val="2"/>
            <w:shd w:val="clear" w:color="auto" w:fill="5F5F5F"/>
          </w:tcPr>
          <w:p w14:paraId="10C75AFD" w14:textId="77777777" w:rsidR="001F1B3F" w:rsidRDefault="00DC5430">
            <w:pPr>
              <w:pStyle w:val="TableParagraph"/>
              <w:spacing w:before="9" w:line="190" w:lineRule="exact"/>
              <w:ind w:left="65"/>
              <w:rPr>
                <w:i/>
                <w:sz w:val="15"/>
              </w:rPr>
            </w:pPr>
            <w:r>
              <w:rPr>
                <w:b/>
                <w:color w:val="FFFFFF"/>
                <w:sz w:val="19"/>
              </w:rPr>
              <w:t>D</w:t>
            </w:r>
            <w:r>
              <w:rPr>
                <w:b/>
                <w:color w:val="FFFFFF"/>
                <w:sz w:val="15"/>
              </w:rPr>
              <w:t>EFINICIÓN</w:t>
            </w:r>
            <w:r>
              <w:rPr>
                <w:b/>
                <w:color w:val="FFFFFF"/>
                <w:spacing w:val="40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DEL</w:t>
            </w:r>
            <w:r>
              <w:rPr>
                <w:b/>
                <w:color w:val="FFFFFF"/>
                <w:spacing w:val="40"/>
                <w:sz w:val="15"/>
              </w:rPr>
              <w:t xml:space="preserve"> </w:t>
            </w:r>
            <w:r>
              <w:rPr>
                <w:b/>
                <w:color w:val="FFFFFF"/>
                <w:sz w:val="19"/>
              </w:rPr>
              <w:t>P</w:t>
            </w:r>
            <w:r>
              <w:rPr>
                <w:b/>
                <w:color w:val="FFFFFF"/>
                <w:sz w:val="15"/>
              </w:rPr>
              <w:t>RODUCTO</w:t>
            </w:r>
            <w:r>
              <w:rPr>
                <w:b/>
                <w:color w:val="FFFFFF"/>
                <w:spacing w:val="40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DEL</w:t>
            </w:r>
            <w:r>
              <w:rPr>
                <w:b/>
                <w:color w:val="FFFFFF"/>
                <w:spacing w:val="40"/>
                <w:sz w:val="15"/>
              </w:rPr>
              <w:t xml:space="preserve"> </w:t>
            </w:r>
            <w:r>
              <w:rPr>
                <w:b/>
                <w:color w:val="FFFFFF"/>
                <w:sz w:val="19"/>
              </w:rPr>
              <w:t>P</w:t>
            </w:r>
            <w:r>
              <w:rPr>
                <w:b/>
                <w:color w:val="FFFFFF"/>
                <w:sz w:val="15"/>
              </w:rPr>
              <w:t>ROYECTO</w:t>
            </w:r>
            <w:r>
              <w:rPr>
                <w:b/>
                <w:color w:val="FFFFFF"/>
                <w:sz w:val="19"/>
              </w:rPr>
              <w:t>:</w:t>
            </w:r>
            <w:r>
              <w:rPr>
                <w:b/>
                <w:color w:val="FFFFFF"/>
                <w:spacing w:val="39"/>
                <w:sz w:val="19"/>
              </w:rPr>
              <w:t xml:space="preserve"> </w:t>
            </w:r>
            <w:r>
              <w:rPr>
                <w:i/>
                <w:color w:val="FFFFFF"/>
                <w:sz w:val="15"/>
              </w:rPr>
              <w:t>D</w:t>
            </w:r>
            <w:r>
              <w:rPr>
                <w:i/>
                <w:color w:val="FFFFFF"/>
                <w:sz w:val="12"/>
              </w:rPr>
              <w:t>ESCRIPCIÓN</w:t>
            </w:r>
            <w:r>
              <w:rPr>
                <w:i/>
                <w:color w:val="FFFFFF"/>
                <w:spacing w:val="40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DEL</w:t>
            </w:r>
            <w:r>
              <w:rPr>
                <w:i/>
                <w:color w:val="FFFFFF"/>
                <w:spacing w:val="40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PRODUCTO</w:t>
            </w:r>
            <w:r>
              <w:rPr>
                <w:i/>
                <w:color w:val="FFFFFF"/>
                <w:sz w:val="15"/>
              </w:rPr>
              <w:t>,</w:t>
            </w:r>
            <w:r>
              <w:rPr>
                <w:i/>
                <w:color w:val="FFFFFF"/>
                <w:spacing w:val="40"/>
                <w:sz w:val="15"/>
              </w:rPr>
              <w:t xml:space="preserve"> </w:t>
            </w:r>
            <w:r>
              <w:rPr>
                <w:i/>
                <w:color w:val="FFFFFF"/>
                <w:sz w:val="12"/>
              </w:rPr>
              <w:t>SERVICIO</w:t>
            </w:r>
            <w:r>
              <w:rPr>
                <w:i/>
                <w:color w:val="FFFFFF"/>
                <w:spacing w:val="40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O</w:t>
            </w:r>
            <w:r>
              <w:rPr>
                <w:i/>
                <w:color w:val="FFFFFF"/>
                <w:spacing w:val="40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CAPACIDAD</w:t>
            </w:r>
            <w:r>
              <w:rPr>
                <w:i/>
                <w:color w:val="FFFFFF"/>
                <w:spacing w:val="40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 xml:space="preserve">A </w:t>
            </w:r>
            <w:r>
              <w:rPr>
                <w:i/>
                <w:color w:val="FFFFFF"/>
                <w:spacing w:val="-2"/>
                <w:sz w:val="12"/>
              </w:rPr>
              <w:t>GENERAR</w:t>
            </w:r>
            <w:r>
              <w:rPr>
                <w:i/>
                <w:color w:val="FFFFFF"/>
                <w:spacing w:val="-2"/>
                <w:sz w:val="15"/>
              </w:rPr>
              <w:t>.</w:t>
            </w:r>
          </w:p>
        </w:tc>
      </w:tr>
      <w:tr w:rsidR="001F1B3F" w14:paraId="1AA5EF3E" w14:textId="77777777">
        <w:trPr>
          <w:trHeight w:val="1224"/>
        </w:trPr>
        <w:tc>
          <w:tcPr>
            <w:tcW w:w="8360" w:type="dxa"/>
            <w:gridSpan w:val="2"/>
          </w:tcPr>
          <w:p w14:paraId="0919CB3C" w14:textId="77777777" w:rsidR="005C1E7A" w:rsidRDefault="00000000">
            <w:pPr>
              <w:pStyle w:val="TableParagraph"/>
              <w:spacing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• App de escritorio JavaFX: </w:t>
            </w:r>
            <w:r>
              <w:rPr>
                <w:sz w:val="17"/>
                <w:szCs w:val="17"/>
              </w:rPr>
              <w:t>acceso basado en roles (Administrador, Almacenero, Recepcionista, Chofer), ventanilla de registro físico y lectura de Pre-registros, panel de almacén con Batch Scanning, capa de comunicación de hardware (drivers USB y comandos ESC/POS para ticketera de 58 mm) y motor de sincronización local-nube.</w:t>
            </w:r>
          </w:p>
          <w:p w14:paraId="3D9677FE" w14:textId="77777777" w:rsidR="005C1E7A" w:rsidRDefault="00000000">
            <w:pPr>
              <w:pStyle w:val="TableParagraph"/>
              <w:spacing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• Portal Web Cloud: </w:t>
            </w:r>
            <w:r>
              <w:rPr>
                <w:sz w:val="17"/>
                <w:szCs w:val="17"/>
              </w:rPr>
              <w:t>tracking público de encomiendas, Billetera Digital del QR2, Pre-registro web "Código Express" con cotización dinámica de tarifas y descarga autónoma de comprobantes electrónicos en PDF.</w:t>
            </w:r>
          </w:p>
          <w:p w14:paraId="508611C8" w14:textId="77777777" w:rsidR="005C1E7A" w:rsidRDefault="00000000">
            <w:pPr>
              <w:pStyle w:val="TableParagraph"/>
              <w:spacing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• Motor Criptográfico Doble QR (ZXing): </w:t>
            </w:r>
            <w:r>
              <w:rPr>
                <w:sz w:val="17"/>
                <w:szCs w:val="17"/>
              </w:rPr>
              <w:t>genera y valida cruzadamente el QR1 (operativo, adherido al paquete) y el QR2 (llave digital del cliente), invalidando irreversiblemente el QR2 tras la entrega exitosa.</w:t>
            </w:r>
          </w:p>
          <w:p w14:paraId="4264FC93" w14:textId="77777777" w:rsidR="005C1E7A" w:rsidRDefault="00000000">
            <w:pPr>
              <w:pStyle w:val="TableParagraph"/>
              <w:spacing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• Backend y datos: </w:t>
            </w:r>
            <w:r>
              <w:rPr>
                <w:sz w:val="17"/>
                <w:szCs w:val="17"/>
              </w:rPr>
              <w:t>Spring Boot bajo Arquitectura Hexagonal, con PostgreSQL como base de datos productiva en la nube y un motor embebido SQLite/H2 para contingencia offline en sucursal.</w:t>
            </w:r>
          </w:p>
        </w:tc>
      </w:tr>
      <w:tr w:rsidR="001F1B3F" w14:paraId="74433821" w14:textId="77777777">
        <w:trPr>
          <w:trHeight w:val="431"/>
        </w:trPr>
        <w:tc>
          <w:tcPr>
            <w:tcW w:w="8360" w:type="dxa"/>
            <w:gridSpan w:val="2"/>
            <w:shd w:val="clear" w:color="auto" w:fill="5F5F5F"/>
          </w:tcPr>
          <w:p w14:paraId="6AD7CF93" w14:textId="77777777" w:rsidR="001F1B3F" w:rsidRDefault="00DC5430">
            <w:pPr>
              <w:pStyle w:val="TableParagraph"/>
              <w:spacing w:line="208" w:lineRule="exact"/>
              <w:ind w:left="60"/>
              <w:rPr>
                <w:i/>
                <w:sz w:val="13"/>
              </w:rPr>
            </w:pPr>
            <w:r>
              <w:rPr>
                <w:b/>
                <w:color w:val="FFFFFF"/>
                <w:sz w:val="19"/>
              </w:rPr>
              <w:t>D</w:t>
            </w:r>
            <w:r>
              <w:rPr>
                <w:b/>
                <w:color w:val="FFFFFF"/>
                <w:sz w:val="15"/>
              </w:rPr>
              <w:t xml:space="preserve">EFINICIÓN DE </w:t>
            </w:r>
            <w:r>
              <w:rPr>
                <w:b/>
                <w:color w:val="FFFFFF"/>
                <w:sz w:val="19"/>
              </w:rPr>
              <w:t>R</w:t>
            </w:r>
            <w:r>
              <w:rPr>
                <w:b/>
                <w:color w:val="FFFFFF"/>
                <w:sz w:val="15"/>
              </w:rPr>
              <w:t>EQUISI</w:t>
            </w:r>
            <w:r>
              <w:rPr>
                <w:b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5"/>
              </w:rPr>
              <w:t xml:space="preserve">OS DEL </w:t>
            </w:r>
            <w:r>
              <w:rPr>
                <w:b/>
                <w:color w:val="FFFFFF"/>
                <w:sz w:val="19"/>
              </w:rPr>
              <w:t>P</w:t>
            </w:r>
            <w:r>
              <w:rPr>
                <w:b/>
                <w:color w:val="FFFFFF"/>
                <w:sz w:val="15"/>
              </w:rPr>
              <w:t>ROYECTO</w:t>
            </w:r>
            <w:r>
              <w:rPr>
                <w:b/>
                <w:color w:val="FFFFFF"/>
                <w:sz w:val="19"/>
              </w:rPr>
              <w:t>: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i/>
                <w:color w:val="FFFFFF"/>
                <w:sz w:val="17"/>
              </w:rPr>
              <w:t>D</w:t>
            </w:r>
            <w:r>
              <w:rPr>
                <w:i/>
                <w:color w:val="FFFFFF"/>
                <w:sz w:val="13"/>
              </w:rPr>
              <w:t>ESCRIPCIÓN DE REQUERIMIENTOS FUNCIONALES</w:t>
            </w:r>
            <w:r>
              <w:rPr>
                <w:i/>
                <w:color w:val="FFFFFF"/>
                <w:sz w:val="17"/>
              </w:rPr>
              <w:t>,</w:t>
            </w:r>
            <w:r>
              <w:rPr>
                <w:i/>
                <w:color w:val="FFFFFF"/>
                <w:spacing w:val="-11"/>
                <w:sz w:val="17"/>
              </w:rPr>
              <w:t xml:space="preserve"> </w:t>
            </w:r>
            <w:r>
              <w:rPr>
                <w:i/>
                <w:color w:val="FFFFFF"/>
                <w:sz w:val="13"/>
              </w:rPr>
              <w:t>NO FUNCIONALES</w:t>
            </w:r>
            <w:r>
              <w:rPr>
                <w:i/>
                <w:color w:val="FFFFFF"/>
                <w:sz w:val="17"/>
              </w:rPr>
              <w:t xml:space="preserve">, </w:t>
            </w:r>
            <w:r>
              <w:rPr>
                <w:i/>
                <w:color w:val="FFFFFF"/>
                <w:sz w:val="13"/>
              </w:rPr>
              <w:t>DE CALIDAD</w:t>
            </w:r>
            <w:r>
              <w:rPr>
                <w:i/>
                <w:color w:val="FFFFFF"/>
                <w:sz w:val="17"/>
              </w:rPr>
              <w:t xml:space="preserve">, </w:t>
            </w:r>
            <w:r>
              <w:rPr>
                <w:i/>
                <w:color w:val="FFFFFF"/>
                <w:sz w:val="13"/>
              </w:rPr>
              <w:t>ETC</w:t>
            </w:r>
            <w:r>
              <w:rPr>
                <w:i/>
                <w:color w:val="FFFFFF"/>
                <w:sz w:val="17"/>
              </w:rPr>
              <w:t xml:space="preserve">., </w:t>
            </w:r>
            <w:r>
              <w:rPr>
                <w:i/>
                <w:color w:val="FFFFFF"/>
                <w:sz w:val="13"/>
              </w:rPr>
              <w:t>DEL PROYECTO</w:t>
            </w:r>
            <w:r>
              <w:rPr>
                <w:i/>
                <w:color w:val="FFFFFF"/>
                <w:sz w:val="17"/>
              </w:rPr>
              <w:t>/</w:t>
            </w:r>
            <w:r>
              <w:rPr>
                <w:i/>
                <w:color w:val="FFFFFF"/>
                <w:sz w:val="13"/>
              </w:rPr>
              <w:t>PRODUCTO</w:t>
            </w:r>
          </w:p>
        </w:tc>
      </w:tr>
      <w:tr w:rsidR="001F1B3F" w14:paraId="4A7918FF" w14:textId="77777777">
        <w:trPr>
          <w:trHeight w:val="1224"/>
        </w:trPr>
        <w:tc>
          <w:tcPr>
            <w:tcW w:w="8360" w:type="dxa"/>
            <w:gridSpan w:val="2"/>
          </w:tcPr>
          <w:p w14:paraId="373A61DA" w14:textId="77777777" w:rsidR="005C1E7A" w:rsidRDefault="00000000">
            <w:pPr>
              <w:pStyle w:val="TableParagraph"/>
              <w:spacing w:before="60"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INCLUYE — Requisitos Funcionales (Alcance MVP):</w:t>
            </w:r>
          </w:p>
          <w:p w14:paraId="55C8C8DA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RF-01: </w:t>
            </w:r>
            <w:r>
              <w:rPr>
                <w:sz w:val="16"/>
                <w:szCs w:val="16"/>
              </w:rPr>
              <w:t>Autenticación interna y control de accesos (RBAC) para roles de la App de escritorio; el cliente final accede sin contraseña mediante tokens dinámicos.</w:t>
            </w:r>
          </w:p>
          <w:p w14:paraId="12CE392D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RF-02: </w:t>
            </w:r>
            <w:r>
              <w:rPr>
                <w:sz w:val="16"/>
                <w:szCs w:val="16"/>
              </w:rPr>
              <w:t>Dashboard administrativo con KPIs operativos en tiempo real (volumen de envíos, alertas de fraude, paquetes estancados, recaudación por sucursal).</w:t>
            </w:r>
          </w:p>
          <w:p w14:paraId="0C742EFE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RF-03: </w:t>
            </w:r>
            <w:r>
              <w:rPr>
                <w:sz w:val="16"/>
                <w:szCs w:val="16"/>
              </w:rPr>
              <w:t>Gestión de personal operativo (CRUD de empleados) con registro de auditoría por transacción.</w:t>
            </w:r>
          </w:p>
          <w:p w14:paraId="603B903A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RF-04: </w:t>
            </w:r>
            <w:r>
              <w:rPr>
                <w:sz w:val="16"/>
                <w:szCs w:val="16"/>
              </w:rPr>
              <w:t>Gestión del ciclo de vida y estado de pago de encomiendas (PAGADO/PENDIENTE), con bloqueo físico de la entrega en modalidad Contra Entrega.</w:t>
            </w:r>
          </w:p>
          <w:p w14:paraId="6818E59F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RF-05: </w:t>
            </w:r>
            <w:r>
              <w:rPr>
                <w:sz w:val="16"/>
                <w:szCs w:val="16"/>
              </w:rPr>
              <w:t>Control de flota y asignación de rutas interprovinciales, con actualización automática de estado a "En ruta".</w:t>
            </w:r>
          </w:p>
          <w:p w14:paraId="1E2DFBD3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RF-06: </w:t>
            </w:r>
            <w:r>
              <w:rPr>
                <w:sz w:val="16"/>
                <w:szCs w:val="16"/>
              </w:rPr>
              <w:t>Módulo de almacén con procesamiento por lotes (Batch Scanning) y Búsqueda de Emergencia por DNI/RUC para reimpresión del QR1.</w:t>
            </w:r>
          </w:p>
          <w:p w14:paraId="6522992E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RF-07: </w:t>
            </w:r>
            <w:r>
              <w:rPr>
                <w:sz w:val="16"/>
                <w:szCs w:val="16"/>
              </w:rPr>
              <w:t>Motor Criptográfico de Doble QR (ZXing): generación y validación cruzada de QR1/QR2, con invalidación irreversible en el punto de entrega.</w:t>
            </w:r>
          </w:p>
          <w:p w14:paraId="7B5B5725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RF-08: </w:t>
            </w:r>
            <w:r>
              <w:rPr>
                <w:sz w:val="16"/>
                <w:szCs w:val="16"/>
              </w:rPr>
              <w:t>Portal web público de tracking con línea de tiempo histórica de trazabilidad del envío.</w:t>
            </w:r>
          </w:p>
          <w:p w14:paraId="7A2B13AF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• RF-09: </w:t>
            </w:r>
            <w:r>
              <w:rPr>
                <w:sz w:val="16"/>
                <w:szCs w:val="16"/>
              </w:rPr>
              <w:t>Billetera Digital del código QR2 para el destinatario, en entorno responsivo cifrado bajo HTTPS.</w:t>
            </w:r>
          </w:p>
          <w:p w14:paraId="619F1A7B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RF-10: </w:t>
            </w:r>
            <w:r>
              <w:rPr>
                <w:sz w:val="16"/>
                <w:szCs w:val="16"/>
              </w:rPr>
              <w:t>Pre-registro web de encomiendas ("Código Express") con cotización dinámica según volumen o tipo de mercadería.</w:t>
            </w:r>
          </w:p>
          <w:p w14:paraId="2FC7CEE8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RF-11: </w:t>
            </w:r>
            <w:r>
              <w:rPr>
                <w:sz w:val="16"/>
                <w:szCs w:val="16"/>
              </w:rPr>
              <w:t>Descarga autónoma de comprobantes electrónicos (boletas/facturas) en formato PDF desde el portal web.</w:t>
            </w:r>
          </w:p>
          <w:p w14:paraId="1F59552D" w14:textId="77777777" w:rsidR="005C1E7A" w:rsidRDefault="00000000">
            <w:pPr>
              <w:pStyle w:val="TableParagraph"/>
              <w:spacing w:before="60"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INCLUYE — Requisitos No Funcionales (Alcance MVP):</w:t>
            </w:r>
          </w:p>
          <w:p w14:paraId="41257058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RNF-01: </w:t>
            </w:r>
            <w:r>
              <w:rPr>
                <w:sz w:val="16"/>
                <w:szCs w:val="16"/>
              </w:rPr>
              <w:t>Seguridad: comunicaciones cifradas bajo HTTPS/SSL; expiración lógica de los hashes del QR2 en un máximo de 500 ms tras la validación cruzada.</w:t>
            </w:r>
          </w:p>
          <w:p w14:paraId="5453C75E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RNF-02: </w:t>
            </w:r>
            <w:r>
              <w:rPr>
                <w:sz w:val="16"/>
                <w:szCs w:val="16"/>
              </w:rPr>
              <w:t>Fiabilidad y contingencia offline: conmutación automática a base de datos local (SQLite/H2) en ≤2 segundos ante caída de red, con uptime operativo del 100% en ventanilla.</w:t>
            </w:r>
          </w:p>
          <w:p w14:paraId="2D145477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RNF-03: </w:t>
            </w:r>
            <w:r>
              <w:rPr>
                <w:sz w:val="16"/>
                <w:szCs w:val="16"/>
              </w:rPr>
              <w:t>Eficiencia de rendimiento: latencia máxima de 1000 ms en la validación cruzada y actualizaciones batch, bajo una carga de hasta 50 lecturas ópticas por minuto.</w:t>
            </w:r>
          </w:p>
          <w:p w14:paraId="7FF9219C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RNF-04: </w:t>
            </w:r>
            <w:r>
              <w:rPr>
                <w:sz w:val="16"/>
                <w:szCs w:val="16"/>
              </w:rPr>
              <w:t>Portabilidad e instalación: cliente web responsivo sin descargas; App de escritorio distribuida como instalador autocontenido (.EXE/.MSI) con JRE embebido (jpackage).</w:t>
            </w:r>
          </w:p>
          <w:p w14:paraId="138B4959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RNF-05: </w:t>
            </w:r>
            <w:r>
              <w:rPr>
                <w:sz w:val="16"/>
                <w:szCs w:val="16"/>
              </w:rPr>
              <w:t>Mantenibilidad: Arquitectura Hexagonal que desacopla la lógica de negocio (generación de QR, cálculo de tarifas) de los frameworks de infraestructura.</w:t>
            </w:r>
          </w:p>
          <w:p w14:paraId="61898F8E" w14:textId="77777777" w:rsidR="005C1E7A" w:rsidRDefault="00000000">
            <w:pPr>
              <w:pStyle w:val="TableParagraph"/>
              <w:spacing w:before="60"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INCLUYE — Integración de Hardware y Sincronización:</w:t>
            </w:r>
          </w:p>
          <w:p w14:paraId="75552B93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Detalle: </w:t>
            </w:r>
            <w:r>
              <w:rPr>
                <w:sz w:val="16"/>
                <w:szCs w:val="16"/>
              </w:rPr>
              <w:t>comunicación directa de bajo nivel mediante comandos ESC/POS (ticketera térmica de 58 mm) y drivers USB (escáneres ópticos), junto con sincronización asíncrona local-nube entre SQLite/H2 y PostgreSQL.</w:t>
            </w:r>
          </w:p>
          <w:p w14:paraId="5F75A34E" w14:textId="77777777" w:rsidR="005C1E7A" w:rsidRDefault="00000000">
            <w:pPr>
              <w:pStyle w:val="TableParagraph"/>
              <w:spacing w:before="60"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NO INCLUYE — FUERA DE ALCANCE (Post-MVP):</w:t>
            </w:r>
          </w:p>
          <w:p w14:paraId="3F06DFBF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Integración SUNAT: </w:t>
            </w:r>
            <w:r>
              <w:rPr>
                <w:sz w:val="16"/>
                <w:szCs w:val="16"/>
              </w:rPr>
              <w:t>en esta fase solo se ejecuta el diseño normativo y el mapeo de compatibilidad de tramas (EDT 1.2); la integración técnica de envío de XML y recepción de CDR ante SUNAT queda reservada para una fase Post-MVP.</w:t>
            </w:r>
          </w:p>
          <w:p w14:paraId="05C27842" w14:textId="77777777" w:rsidR="005C1E7A" w:rsidRDefault="00000000">
            <w:pPr>
              <w:pStyle w:val="TableParagraph"/>
              <w:spacing w:after="2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• Apps móviles nativas: </w:t>
            </w:r>
            <w:r>
              <w:rPr>
                <w:sz w:val="16"/>
                <w:szCs w:val="16"/>
              </w:rPr>
              <w:t>el desarrollo de aplicaciones nativas iOS/Android no forma parte del alcance del MVP; el acceso del cliente final se cubre en esta fase exclusivamente mediante el Portal Web responsivo.</w:t>
            </w:r>
          </w:p>
        </w:tc>
      </w:tr>
    </w:tbl>
    <w:p w14:paraId="22C0D597" w14:textId="77777777" w:rsidR="001F1B3F" w:rsidRDefault="001F1B3F">
      <w:pPr>
        <w:pStyle w:val="Textoindependiente"/>
        <w:spacing w:before="2"/>
        <w:rPr>
          <w:sz w:val="17"/>
        </w:rPr>
      </w:pPr>
    </w:p>
    <w:tbl>
      <w:tblPr>
        <w:tblStyle w:val="TableNormal"/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2111"/>
        <w:gridCol w:w="1626"/>
        <w:gridCol w:w="109"/>
        <w:gridCol w:w="2711"/>
      </w:tblGrid>
      <w:tr w:rsidR="001F1B3F" w14:paraId="4A5C6987" w14:textId="77777777">
        <w:trPr>
          <w:trHeight w:val="408"/>
        </w:trPr>
        <w:tc>
          <w:tcPr>
            <w:tcW w:w="8523" w:type="dxa"/>
            <w:gridSpan w:val="5"/>
            <w:shd w:val="clear" w:color="auto" w:fill="5F5F5F"/>
          </w:tcPr>
          <w:p w14:paraId="5ACECB5C" w14:textId="77777777" w:rsidR="001F1B3F" w:rsidRDefault="00DC5430">
            <w:pPr>
              <w:pStyle w:val="TableParagraph"/>
              <w:spacing w:before="8" w:line="190" w:lineRule="exact"/>
              <w:ind w:left="65"/>
              <w:rPr>
                <w:i/>
                <w:sz w:val="15"/>
              </w:rPr>
            </w:pPr>
            <w:r>
              <w:rPr>
                <w:b/>
                <w:color w:val="FFFFFF"/>
                <w:sz w:val="19"/>
              </w:rPr>
              <w:t>O</w:t>
            </w:r>
            <w:r>
              <w:rPr>
                <w:b/>
                <w:color w:val="FFFFFF"/>
                <w:sz w:val="15"/>
              </w:rPr>
              <w:t>BJETIVOS</w:t>
            </w:r>
            <w:r>
              <w:rPr>
                <w:b/>
                <w:color w:val="FFFFFF"/>
                <w:spacing w:val="13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DEL</w:t>
            </w:r>
            <w:r>
              <w:rPr>
                <w:b/>
                <w:color w:val="FFFFFF"/>
                <w:spacing w:val="13"/>
                <w:sz w:val="15"/>
              </w:rPr>
              <w:t xml:space="preserve"> </w:t>
            </w:r>
            <w:r>
              <w:rPr>
                <w:b/>
                <w:color w:val="FFFFFF"/>
                <w:sz w:val="19"/>
              </w:rPr>
              <w:t>P</w:t>
            </w:r>
            <w:r>
              <w:rPr>
                <w:b/>
                <w:color w:val="FFFFFF"/>
                <w:sz w:val="15"/>
              </w:rPr>
              <w:t>ROYECTO</w:t>
            </w:r>
            <w:r>
              <w:rPr>
                <w:b/>
                <w:color w:val="FFFFFF"/>
                <w:sz w:val="19"/>
              </w:rPr>
              <w:t>: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i/>
                <w:color w:val="FFFFFF"/>
                <w:sz w:val="15"/>
              </w:rPr>
              <w:t>M</w:t>
            </w:r>
            <w:r>
              <w:rPr>
                <w:i/>
                <w:color w:val="FFFFFF"/>
                <w:sz w:val="12"/>
              </w:rPr>
              <w:t>ETAS</w:t>
            </w:r>
            <w:r>
              <w:rPr>
                <w:i/>
                <w:color w:val="FFFFFF"/>
                <w:spacing w:val="15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HACIA</w:t>
            </w:r>
            <w:r>
              <w:rPr>
                <w:i/>
                <w:color w:val="FFFFFF"/>
                <w:spacing w:val="15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LAS</w:t>
            </w:r>
            <w:r>
              <w:rPr>
                <w:i/>
                <w:color w:val="FFFFFF"/>
                <w:spacing w:val="15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CUALES</w:t>
            </w:r>
            <w:r>
              <w:rPr>
                <w:i/>
                <w:color w:val="FFFFFF"/>
                <w:spacing w:val="13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SE</w:t>
            </w:r>
            <w:r>
              <w:rPr>
                <w:i/>
                <w:color w:val="FFFFFF"/>
                <w:spacing w:val="13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DEBE</w:t>
            </w:r>
            <w:r>
              <w:rPr>
                <w:i/>
                <w:color w:val="FFFFFF"/>
                <w:spacing w:val="13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DIRIGIR</w:t>
            </w:r>
            <w:r>
              <w:rPr>
                <w:i/>
                <w:color w:val="FFFFFF"/>
                <w:spacing w:val="13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EL</w:t>
            </w:r>
            <w:r>
              <w:rPr>
                <w:i/>
                <w:color w:val="FFFFFF"/>
                <w:spacing w:val="15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TRABAJO</w:t>
            </w:r>
            <w:r>
              <w:rPr>
                <w:i/>
                <w:color w:val="FFFFFF"/>
                <w:spacing w:val="15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DEL</w:t>
            </w:r>
            <w:r>
              <w:rPr>
                <w:i/>
                <w:color w:val="FFFFFF"/>
                <w:spacing w:val="13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PROYECTO</w:t>
            </w:r>
            <w:r>
              <w:rPr>
                <w:i/>
                <w:color w:val="FFFFFF"/>
                <w:spacing w:val="13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EN</w:t>
            </w:r>
            <w:r>
              <w:rPr>
                <w:i/>
                <w:color w:val="FFFFFF"/>
                <w:spacing w:val="13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TÉRMINOS</w:t>
            </w:r>
            <w:r>
              <w:rPr>
                <w:i/>
                <w:color w:val="FFFFFF"/>
                <w:spacing w:val="13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DE LA TRIPLE RESTRICCIÓN</w:t>
            </w:r>
            <w:r>
              <w:rPr>
                <w:i/>
                <w:color w:val="FFFFFF"/>
                <w:sz w:val="15"/>
              </w:rPr>
              <w:t>.</w:t>
            </w:r>
          </w:p>
        </w:tc>
      </w:tr>
      <w:tr w:rsidR="001F1B3F" w14:paraId="361B1731" w14:textId="77777777">
        <w:trPr>
          <w:trHeight w:val="266"/>
        </w:trPr>
        <w:tc>
          <w:tcPr>
            <w:tcW w:w="1966" w:type="dxa"/>
            <w:shd w:val="clear" w:color="auto" w:fill="A6A6A6"/>
          </w:tcPr>
          <w:p w14:paraId="56494977" w14:textId="77777777" w:rsidR="001F1B3F" w:rsidRDefault="00DC5430">
            <w:pPr>
              <w:pStyle w:val="TableParagraph"/>
              <w:spacing w:before="16" w:line="230" w:lineRule="exact"/>
              <w:ind w:left="511"/>
              <w:rPr>
                <w:b/>
                <w:i/>
                <w:sz w:val="19"/>
              </w:rPr>
            </w:pPr>
            <w:r>
              <w:rPr>
                <w:b/>
                <w:i/>
                <w:smallCaps/>
                <w:spacing w:val="-2"/>
                <w:sz w:val="19"/>
              </w:rPr>
              <w:t>Concepto</w:t>
            </w:r>
          </w:p>
        </w:tc>
        <w:tc>
          <w:tcPr>
            <w:tcW w:w="3737" w:type="dxa"/>
            <w:gridSpan w:val="2"/>
            <w:shd w:val="clear" w:color="auto" w:fill="A6A6A6"/>
          </w:tcPr>
          <w:p w14:paraId="549449DF" w14:textId="77777777" w:rsidR="001F1B3F" w:rsidRDefault="00DC5430">
            <w:pPr>
              <w:pStyle w:val="TableParagraph"/>
              <w:spacing w:before="16" w:line="230" w:lineRule="exact"/>
              <w:ind w:left="1357" w:right="1352"/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mallCaps/>
                <w:spacing w:val="-2"/>
                <w:sz w:val="19"/>
              </w:rPr>
              <w:t>Objetivos</w:t>
            </w:r>
          </w:p>
        </w:tc>
        <w:tc>
          <w:tcPr>
            <w:tcW w:w="2820" w:type="dxa"/>
            <w:gridSpan w:val="2"/>
            <w:shd w:val="clear" w:color="auto" w:fill="A6A6A6"/>
          </w:tcPr>
          <w:p w14:paraId="57E2E293" w14:textId="77777777" w:rsidR="001F1B3F" w:rsidRDefault="00DC5430">
            <w:pPr>
              <w:pStyle w:val="TableParagraph"/>
              <w:spacing w:before="16" w:line="230" w:lineRule="exact"/>
              <w:ind w:left="542"/>
              <w:rPr>
                <w:b/>
                <w:i/>
                <w:sz w:val="19"/>
              </w:rPr>
            </w:pPr>
            <w:r>
              <w:rPr>
                <w:b/>
                <w:i/>
                <w:smallCaps/>
                <w:sz w:val="19"/>
              </w:rPr>
              <w:t>criterio</w:t>
            </w:r>
            <w:r>
              <w:rPr>
                <w:b/>
                <w:i/>
                <w:smallCaps/>
                <w:spacing w:val="-9"/>
                <w:sz w:val="19"/>
              </w:rPr>
              <w:t xml:space="preserve"> </w:t>
            </w:r>
            <w:r>
              <w:rPr>
                <w:b/>
                <w:i/>
                <w:smallCaps/>
                <w:sz w:val="19"/>
              </w:rPr>
              <w:t>de</w:t>
            </w:r>
            <w:r>
              <w:rPr>
                <w:b/>
                <w:i/>
                <w:smallCaps/>
                <w:spacing w:val="-8"/>
                <w:sz w:val="19"/>
              </w:rPr>
              <w:t xml:space="preserve"> </w:t>
            </w:r>
            <w:r>
              <w:rPr>
                <w:b/>
                <w:i/>
                <w:smallCaps/>
                <w:spacing w:val="-2"/>
                <w:sz w:val="19"/>
              </w:rPr>
              <w:t>Éxito</w:t>
            </w:r>
          </w:p>
        </w:tc>
      </w:tr>
      <w:tr w:rsidR="001F1B3F" w14:paraId="268B2AF4" w14:textId="77777777">
        <w:trPr>
          <w:trHeight w:val="226"/>
        </w:trPr>
        <w:tc>
          <w:tcPr>
            <w:tcW w:w="1966" w:type="dxa"/>
            <w:shd w:val="clear" w:color="auto" w:fill="E0E0E0"/>
          </w:tcPr>
          <w:p w14:paraId="48557AF5" w14:textId="77777777" w:rsidR="001F1B3F" w:rsidRDefault="00DC5430">
            <w:pPr>
              <w:pStyle w:val="TableParagraph"/>
              <w:spacing w:line="204" w:lineRule="exact"/>
              <w:ind w:left="65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w w:val="95"/>
                <w:sz w:val="17"/>
              </w:rPr>
              <w:t>1.</w:t>
            </w:r>
            <w:r>
              <w:rPr>
                <w:b/>
                <w:i/>
                <w:smallCaps/>
                <w:spacing w:val="-5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spacing w:val="-2"/>
                <w:sz w:val="17"/>
              </w:rPr>
              <w:t>Alcance</w:t>
            </w:r>
          </w:p>
        </w:tc>
        <w:tc>
          <w:tcPr>
            <w:tcW w:w="3737" w:type="dxa"/>
            <w:gridSpan w:val="2"/>
          </w:tcPr>
          <w:p w14:paraId="108C359A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Diseñar, desarrollar y desplegar el ecosistema híbrido SGL-DQR (App de escritorio JavaFX + Portal Web Cloud), cumpliendo el 100% de los 11 Requisitos Funcionales (RF-01 a RF-11) y 5 Requisitos No Funcionales (RNF-01 a RNF-05) del EDT, excluyendo la integración técnica SUNAT (XML/CDR) y las apps móviles nativas, reservadas para una fase Post-MVP.</w:t>
            </w:r>
          </w:p>
        </w:tc>
        <w:tc>
          <w:tcPr>
            <w:tcW w:w="2820" w:type="dxa"/>
            <w:gridSpan w:val="2"/>
          </w:tcPr>
          <w:p w14:paraId="6DF0FC35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Firma del Acta de Conformidad de Requisitos, del Acta de Aprobación de Diseño y del Acta de Aprobación de Calidad, con el 100% de los RF/RNF validados en UAT sin observaciones críticas abiertas.</w:t>
            </w:r>
          </w:p>
        </w:tc>
      </w:tr>
      <w:tr w:rsidR="001F1B3F" w14:paraId="12E7E902" w14:textId="77777777">
        <w:trPr>
          <w:trHeight w:val="227"/>
        </w:trPr>
        <w:tc>
          <w:tcPr>
            <w:tcW w:w="1966" w:type="dxa"/>
            <w:shd w:val="clear" w:color="auto" w:fill="E0E0E0"/>
          </w:tcPr>
          <w:p w14:paraId="43FB9181" w14:textId="77777777" w:rsidR="001F1B3F" w:rsidRDefault="00DC5430">
            <w:pPr>
              <w:pStyle w:val="TableParagraph"/>
              <w:spacing w:line="205" w:lineRule="exact"/>
              <w:ind w:left="65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w w:val="95"/>
                <w:sz w:val="17"/>
              </w:rPr>
              <w:t>2.</w:t>
            </w:r>
            <w:r>
              <w:rPr>
                <w:b/>
                <w:i/>
                <w:smallCaps/>
                <w:spacing w:val="-5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spacing w:val="-2"/>
                <w:sz w:val="17"/>
              </w:rPr>
              <w:t>Tiempo</w:t>
            </w:r>
          </w:p>
        </w:tc>
        <w:tc>
          <w:tcPr>
            <w:tcW w:w="3737" w:type="dxa"/>
            <w:gridSpan w:val="2"/>
          </w:tcPr>
          <w:p w14:paraId="51085DFC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Ejecutar las 5 fases del EDT (Análisis, Diseño, Desarrollo, QA y Despliegue Go-Live) en 16 semanas operativas, más 1 semana de contingencia técnica (17 semanas calendario en total).</w:t>
            </w:r>
          </w:p>
        </w:tc>
        <w:tc>
          <w:tcPr>
            <w:tcW w:w="2820" w:type="dxa"/>
            <w:gridSpan w:val="2"/>
          </w:tcPr>
          <w:p w14:paraId="490A7991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Cumplimiento del Cronograma de Hitos del Proyecto; ejecución del Go-Live dentro de la Semana 16 y cierre formal del proyecto dentro de la semana de contingencia (Semana 17).</w:t>
            </w:r>
          </w:p>
        </w:tc>
      </w:tr>
      <w:tr w:rsidR="001F1B3F" w14:paraId="7A441C2D" w14:textId="77777777">
        <w:trPr>
          <w:trHeight w:val="227"/>
        </w:trPr>
        <w:tc>
          <w:tcPr>
            <w:tcW w:w="1966" w:type="dxa"/>
            <w:shd w:val="clear" w:color="auto" w:fill="E0E0E0"/>
          </w:tcPr>
          <w:p w14:paraId="65E2BF46" w14:textId="77777777" w:rsidR="001F1B3F" w:rsidRDefault="00DC5430">
            <w:pPr>
              <w:pStyle w:val="TableParagraph"/>
              <w:spacing w:line="205" w:lineRule="exact"/>
              <w:ind w:left="65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w w:val="95"/>
                <w:sz w:val="17"/>
              </w:rPr>
              <w:t>3.</w:t>
            </w:r>
            <w:r>
              <w:rPr>
                <w:b/>
                <w:i/>
                <w:smallCaps/>
                <w:spacing w:val="-5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spacing w:val="-2"/>
                <w:sz w:val="17"/>
              </w:rPr>
              <w:t>Costo</w:t>
            </w:r>
          </w:p>
        </w:tc>
        <w:tc>
          <w:tcPr>
            <w:tcW w:w="3737" w:type="dxa"/>
            <w:gridSpan w:val="2"/>
          </w:tcPr>
          <w:p w14:paraId="31E69488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Ejecutar el proyecto dentro del Presupuesto Preliminar aprobado por el Sponsor, cubriendo infraestructura Cloud, hardware de agencia, desarrollo, aseguramiento de calidad y capacitación técnica.</w:t>
            </w:r>
          </w:p>
        </w:tc>
        <w:tc>
          <w:tcPr>
            <w:tcW w:w="2820" w:type="dxa"/>
            <w:gridSpan w:val="2"/>
          </w:tcPr>
          <w:p w14:paraId="75DCEB9C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Cero sobrecostos no autorizados por el Sponsor; toda variación presupuestal se gestiona mediante un proceso formal de control de cambios.</w:t>
            </w:r>
          </w:p>
        </w:tc>
      </w:tr>
      <w:tr w:rsidR="001F1B3F" w14:paraId="09DC09AA" w14:textId="77777777">
        <w:trPr>
          <w:trHeight w:val="408"/>
        </w:trPr>
        <w:tc>
          <w:tcPr>
            <w:tcW w:w="8523" w:type="dxa"/>
            <w:gridSpan w:val="5"/>
            <w:shd w:val="clear" w:color="auto" w:fill="5F5F5F"/>
          </w:tcPr>
          <w:p w14:paraId="21F9DE90" w14:textId="77777777" w:rsidR="001F1B3F" w:rsidRDefault="00DC5430">
            <w:pPr>
              <w:pStyle w:val="TableParagraph"/>
              <w:spacing w:before="8" w:line="190" w:lineRule="exact"/>
              <w:ind w:left="73"/>
              <w:rPr>
                <w:i/>
                <w:sz w:val="15"/>
              </w:rPr>
            </w:pPr>
            <w:r>
              <w:rPr>
                <w:b/>
                <w:color w:val="FFFFFF"/>
                <w:sz w:val="19"/>
              </w:rPr>
              <w:t>F</w:t>
            </w:r>
            <w:r>
              <w:rPr>
                <w:b/>
                <w:color w:val="FFFFFF"/>
                <w:sz w:val="15"/>
              </w:rPr>
              <w:t>INALIDAD</w:t>
            </w:r>
            <w:r>
              <w:rPr>
                <w:b/>
                <w:color w:val="FFFFFF"/>
                <w:spacing w:val="32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DEL</w:t>
            </w:r>
            <w:r>
              <w:rPr>
                <w:b/>
                <w:color w:val="FFFFFF"/>
                <w:spacing w:val="32"/>
                <w:sz w:val="15"/>
              </w:rPr>
              <w:t xml:space="preserve"> </w:t>
            </w:r>
            <w:r>
              <w:rPr>
                <w:b/>
                <w:color w:val="FFFFFF"/>
                <w:sz w:val="19"/>
              </w:rPr>
              <w:t>P</w:t>
            </w:r>
            <w:r>
              <w:rPr>
                <w:b/>
                <w:color w:val="FFFFFF"/>
                <w:sz w:val="15"/>
              </w:rPr>
              <w:t>ROYECTO</w:t>
            </w:r>
            <w:r>
              <w:rPr>
                <w:b/>
                <w:color w:val="FFFFFF"/>
                <w:sz w:val="19"/>
              </w:rPr>
              <w:t>:</w:t>
            </w:r>
            <w:r>
              <w:rPr>
                <w:b/>
                <w:color w:val="FFFFFF"/>
                <w:spacing w:val="21"/>
                <w:sz w:val="19"/>
              </w:rPr>
              <w:t xml:space="preserve"> </w:t>
            </w:r>
            <w:r>
              <w:rPr>
                <w:i/>
                <w:color w:val="FFFFFF"/>
                <w:sz w:val="15"/>
              </w:rPr>
              <w:t>F</w:t>
            </w:r>
            <w:r>
              <w:rPr>
                <w:i/>
                <w:color w:val="FFFFFF"/>
                <w:sz w:val="12"/>
              </w:rPr>
              <w:t>IN</w:t>
            </w:r>
            <w:r>
              <w:rPr>
                <w:i/>
                <w:color w:val="FFFFFF"/>
                <w:spacing w:val="36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ÚLTIMO</w:t>
            </w:r>
            <w:r>
              <w:rPr>
                <w:i/>
                <w:color w:val="FFFFFF"/>
                <w:sz w:val="15"/>
              </w:rPr>
              <w:t>,</w:t>
            </w:r>
            <w:r>
              <w:rPr>
                <w:i/>
                <w:color w:val="FFFFFF"/>
                <w:spacing w:val="25"/>
                <w:sz w:val="15"/>
              </w:rPr>
              <w:t xml:space="preserve"> </w:t>
            </w:r>
            <w:r>
              <w:rPr>
                <w:i/>
                <w:color w:val="FFFFFF"/>
                <w:sz w:val="12"/>
              </w:rPr>
              <w:t>PROPÓSITO</w:t>
            </w:r>
            <w:r>
              <w:rPr>
                <w:i/>
                <w:color w:val="FFFFFF"/>
                <w:spacing w:val="36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GENERAL</w:t>
            </w:r>
            <w:r>
              <w:rPr>
                <w:i/>
                <w:color w:val="FFFFFF"/>
                <w:sz w:val="15"/>
              </w:rPr>
              <w:t>,</w:t>
            </w:r>
            <w:r>
              <w:rPr>
                <w:i/>
                <w:color w:val="FFFFFF"/>
                <w:spacing w:val="26"/>
                <w:sz w:val="15"/>
              </w:rPr>
              <w:t xml:space="preserve"> </w:t>
            </w:r>
            <w:r>
              <w:rPr>
                <w:i/>
                <w:color w:val="FFFFFF"/>
                <w:sz w:val="12"/>
              </w:rPr>
              <w:t>U</w:t>
            </w:r>
            <w:r>
              <w:rPr>
                <w:i/>
                <w:color w:val="FFFFFF"/>
                <w:spacing w:val="34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OBJETIVO</w:t>
            </w:r>
            <w:r>
              <w:rPr>
                <w:i/>
                <w:color w:val="FFFFFF"/>
                <w:spacing w:val="35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DE</w:t>
            </w:r>
            <w:r>
              <w:rPr>
                <w:i/>
                <w:color w:val="FFFFFF"/>
                <w:spacing w:val="34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NIVEL</w:t>
            </w:r>
            <w:r>
              <w:rPr>
                <w:i/>
                <w:color w:val="FFFFFF"/>
                <w:spacing w:val="35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SUPERIOR</w:t>
            </w:r>
            <w:r>
              <w:rPr>
                <w:i/>
                <w:color w:val="FFFFFF"/>
                <w:spacing w:val="34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POR</w:t>
            </w:r>
            <w:r>
              <w:rPr>
                <w:i/>
                <w:color w:val="FFFFFF"/>
                <w:spacing w:val="35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EL</w:t>
            </w:r>
            <w:r>
              <w:rPr>
                <w:i/>
                <w:color w:val="FFFFFF"/>
                <w:spacing w:val="34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CUAL</w:t>
            </w:r>
            <w:r>
              <w:rPr>
                <w:i/>
                <w:color w:val="FFFFFF"/>
                <w:spacing w:val="35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SE EJECUTA EL PROYECTO</w:t>
            </w:r>
            <w:r>
              <w:rPr>
                <w:i/>
                <w:color w:val="FFFFFF"/>
                <w:sz w:val="15"/>
              </w:rPr>
              <w:t>. E</w:t>
            </w:r>
            <w:r>
              <w:rPr>
                <w:i/>
                <w:color w:val="FFFFFF"/>
                <w:sz w:val="12"/>
              </w:rPr>
              <w:t>NLACE CON PROGRAMAS</w:t>
            </w:r>
            <w:r>
              <w:rPr>
                <w:i/>
                <w:color w:val="FFFFFF"/>
                <w:sz w:val="15"/>
              </w:rPr>
              <w:t xml:space="preserve">, </w:t>
            </w:r>
            <w:r>
              <w:rPr>
                <w:i/>
                <w:color w:val="FFFFFF"/>
                <w:sz w:val="12"/>
              </w:rPr>
              <w:t>PORTAFOLIOS</w:t>
            </w:r>
            <w:r>
              <w:rPr>
                <w:i/>
                <w:color w:val="FFFFFF"/>
                <w:sz w:val="15"/>
              </w:rPr>
              <w:t xml:space="preserve">, </w:t>
            </w:r>
            <w:r>
              <w:rPr>
                <w:i/>
                <w:color w:val="FFFFFF"/>
                <w:sz w:val="12"/>
              </w:rPr>
              <w:t>O ESTRATEGIAS DE LA ORGANIZACIÓN</w:t>
            </w:r>
            <w:r>
              <w:rPr>
                <w:i/>
                <w:color w:val="FFFFFF"/>
                <w:sz w:val="15"/>
              </w:rPr>
              <w:t>.</w:t>
            </w:r>
          </w:p>
        </w:tc>
      </w:tr>
      <w:tr w:rsidR="001F1B3F" w14:paraId="0C1841CE" w14:textId="77777777">
        <w:trPr>
          <w:trHeight w:val="573"/>
        </w:trPr>
        <w:tc>
          <w:tcPr>
            <w:tcW w:w="8523" w:type="dxa"/>
            <w:gridSpan w:val="5"/>
          </w:tcPr>
          <w:p w14:paraId="3747C771" w14:textId="77777777" w:rsidR="005C1E7A" w:rsidRDefault="00000000">
            <w:pPr>
              <w:pStyle w:val="TableParagrap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Eliminar la dependencia operativa de Marvisur respecto a la conectividad a internet en sus agencias interprovinciales y blindar financieramente la operación de encomiendas bajo la modalidad Contra Entrega, posicionando a Marvisur como referente tecnológico en trazabilidad logística de su mercado regional. El proyecto sienta, además, la base arquitectónica (Hexagonal) para futuras integraciones normativas (SUNAT) y la expansión hacia canales móviles nativos.</w:t>
            </w:r>
          </w:p>
        </w:tc>
      </w:tr>
      <w:tr w:rsidR="001F1B3F" w14:paraId="5986ABE1" w14:textId="77777777">
        <w:trPr>
          <w:trHeight w:val="266"/>
        </w:trPr>
        <w:tc>
          <w:tcPr>
            <w:tcW w:w="8523" w:type="dxa"/>
            <w:gridSpan w:val="5"/>
            <w:shd w:val="clear" w:color="auto" w:fill="5F5F5F"/>
          </w:tcPr>
          <w:p w14:paraId="19A13BFA" w14:textId="77777777" w:rsidR="001F1B3F" w:rsidRDefault="00DC5430">
            <w:pPr>
              <w:pStyle w:val="TableParagraph"/>
              <w:spacing w:line="228" w:lineRule="exact"/>
              <w:ind w:left="73"/>
              <w:rPr>
                <w:i/>
                <w:sz w:val="15"/>
              </w:rPr>
            </w:pPr>
            <w:r>
              <w:rPr>
                <w:b/>
                <w:color w:val="FFFFFF"/>
                <w:sz w:val="19"/>
              </w:rPr>
              <w:t>J</w:t>
            </w:r>
            <w:r>
              <w:rPr>
                <w:b/>
                <w:color w:val="FFFFFF"/>
                <w:sz w:val="15"/>
              </w:rPr>
              <w:t>USTIFICACIÓN</w:t>
            </w:r>
            <w:r>
              <w:rPr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DEL</w:t>
            </w:r>
            <w:r>
              <w:rPr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b/>
                <w:color w:val="FFFFFF"/>
                <w:sz w:val="19"/>
              </w:rPr>
              <w:t>P</w:t>
            </w:r>
            <w:r>
              <w:rPr>
                <w:b/>
                <w:color w:val="FFFFFF"/>
                <w:sz w:val="15"/>
              </w:rPr>
              <w:t>ROYECTO</w:t>
            </w:r>
            <w:r>
              <w:rPr>
                <w:b/>
                <w:color w:val="FFFFFF"/>
                <w:sz w:val="19"/>
              </w:rPr>
              <w:t>:</w:t>
            </w:r>
            <w:r>
              <w:rPr>
                <w:b/>
                <w:color w:val="FFFFFF"/>
                <w:spacing w:val="-16"/>
                <w:sz w:val="19"/>
              </w:rPr>
              <w:t xml:space="preserve"> </w:t>
            </w:r>
            <w:r>
              <w:rPr>
                <w:i/>
                <w:color w:val="FFFFFF"/>
                <w:sz w:val="15"/>
              </w:rPr>
              <w:t>M</w:t>
            </w:r>
            <w:r>
              <w:rPr>
                <w:i/>
                <w:color w:val="FFFFFF"/>
                <w:sz w:val="12"/>
              </w:rPr>
              <w:t>OTIVOS</w:t>
            </w:r>
            <w:r>
              <w:rPr>
                <w:i/>
                <w:color w:val="FFFFFF"/>
                <w:sz w:val="15"/>
              </w:rPr>
              <w:t>,</w:t>
            </w:r>
            <w:r>
              <w:rPr>
                <w:i/>
                <w:color w:val="FFFFFF"/>
                <w:spacing w:val="-12"/>
                <w:sz w:val="15"/>
              </w:rPr>
              <w:t xml:space="preserve"> </w:t>
            </w:r>
            <w:r>
              <w:rPr>
                <w:i/>
                <w:color w:val="FFFFFF"/>
                <w:sz w:val="12"/>
              </w:rPr>
              <w:t>RAZONES</w:t>
            </w:r>
            <w:r>
              <w:rPr>
                <w:i/>
                <w:color w:val="FFFFFF"/>
                <w:sz w:val="15"/>
              </w:rPr>
              <w:t>,</w:t>
            </w:r>
            <w:r>
              <w:rPr>
                <w:i/>
                <w:color w:val="FFFFFF"/>
                <w:spacing w:val="-13"/>
                <w:sz w:val="15"/>
              </w:rPr>
              <w:t xml:space="preserve"> </w:t>
            </w:r>
            <w:r>
              <w:rPr>
                <w:i/>
                <w:color w:val="FFFFFF"/>
                <w:sz w:val="12"/>
              </w:rPr>
              <w:t>O</w:t>
            </w:r>
            <w:r>
              <w:rPr>
                <w:i/>
                <w:color w:val="FFFFFF"/>
                <w:spacing w:val="-1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ARGUMENTOS QUE JUSTIFICAN LA</w:t>
            </w:r>
            <w:r>
              <w:rPr>
                <w:i/>
                <w:color w:val="FFFFFF"/>
                <w:spacing w:val="-1"/>
                <w:sz w:val="12"/>
              </w:rPr>
              <w:t xml:space="preserve"> </w:t>
            </w:r>
            <w:r>
              <w:rPr>
                <w:i/>
                <w:color w:val="FFFFFF"/>
                <w:sz w:val="12"/>
              </w:rPr>
              <w:t>EJECUCIÓN DEL</w:t>
            </w:r>
            <w:r>
              <w:rPr>
                <w:i/>
                <w:color w:val="FFFFFF"/>
                <w:spacing w:val="-1"/>
                <w:sz w:val="12"/>
              </w:rPr>
              <w:t xml:space="preserve"> </w:t>
            </w:r>
            <w:r>
              <w:rPr>
                <w:i/>
                <w:color w:val="FFFFFF"/>
                <w:spacing w:val="-2"/>
                <w:sz w:val="12"/>
              </w:rPr>
              <w:t>PROYECTO</w:t>
            </w:r>
            <w:r>
              <w:rPr>
                <w:i/>
                <w:color w:val="FFFFFF"/>
                <w:spacing w:val="-2"/>
                <w:sz w:val="15"/>
              </w:rPr>
              <w:t>.</w:t>
            </w:r>
          </w:p>
        </w:tc>
      </w:tr>
      <w:tr w:rsidR="001F1B3F" w14:paraId="59234C5F" w14:textId="77777777">
        <w:trPr>
          <w:trHeight w:val="212"/>
        </w:trPr>
        <w:tc>
          <w:tcPr>
            <w:tcW w:w="4077" w:type="dxa"/>
            <w:gridSpan w:val="2"/>
            <w:shd w:val="clear" w:color="auto" w:fill="E0E0E0"/>
          </w:tcPr>
          <w:p w14:paraId="1E7CAA36" w14:textId="77777777" w:rsidR="001F1B3F" w:rsidRDefault="00DC5430">
            <w:pPr>
              <w:pStyle w:val="TableParagraph"/>
              <w:spacing w:before="3" w:line="190" w:lineRule="exact"/>
              <w:ind w:left="890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w w:val="90"/>
                <w:sz w:val="17"/>
              </w:rPr>
              <w:t>Justificación</w:t>
            </w:r>
            <w:r>
              <w:rPr>
                <w:b/>
                <w:i/>
                <w:smallCaps/>
                <w:spacing w:val="46"/>
                <w:sz w:val="17"/>
              </w:rPr>
              <w:t xml:space="preserve"> </w:t>
            </w:r>
            <w:r>
              <w:rPr>
                <w:b/>
                <w:i/>
                <w:smallCaps/>
                <w:spacing w:val="-2"/>
                <w:sz w:val="17"/>
              </w:rPr>
              <w:t>Cualitativa</w:t>
            </w:r>
          </w:p>
        </w:tc>
        <w:tc>
          <w:tcPr>
            <w:tcW w:w="4446" w:type="dxa"/>
            <w:gridSpan w:val="3"/>
            <w:shd w:val="clear" w:color="auto" w:fill="E0E0E0"/>
          </w:tcPr>
          <w:p w14:paraId="2F9A9A6E" w14:textId="77777777" w:rsidR="001F1B3F" w:rsidRDefault="00DC5430">
            <w:pPr>
              <w:pStyle w:val="TableParagraph"/>
              <w:spacing w:before="3" w:line="190" w:lineRule="exact"/>
              <w:ind w:left="1006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spacing w:val="-2"/>
                <w:w w:val="95"/>
                <w:sz w:val="17"/>
              </w:rPr>
              <w:t>Justificación</w:t>
            </w:r>
            <w:r>
              <w:rPr>
                <w:b/>
                <w:i/>
                <w:smallCaps/>
                <w:spacing w:val="13"/>
                <w:sz w:val="17"/>
              </w:rPr>
              <w:t xml:space="preserve"> </w:t>
            </w:r>
            <w:r>
              <w:rPr>
                <w:b/>
                <w:i/>
                <w:smallCaps/>
                <w:spacing w:val="-2"/>
                <w:sz w:val="17"/>
              </w:rPr>
              <w:t>Cuantitativa</w:t>
            </w:r>
          </w:p>
        </w:tc>
      </w:tr>
      <w:tr w:rsidR="001F1B3F" w14:paraId="4478B992" w14:textId="77777777">
        <w:trPr>
          <w:trHeight w:val="212"/>
        </w:trPr>
        <w:tc>
          <w:tcPr>
            <w:tcW w:w="4077" w:type="dxa"/>
            <w:gridSpan w:val="2"/>
          </w:tcPr>
          <w:p w14:paraId="57BB18FC" w14:textId="77777777" w:rsidR="005C1E7A" w:rsidRDefault="00000000">
            <w:pPr>
              <w:pStyle w:val="TableParagrap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Elimina las demoras operativas y la parálisis en ventanilla ante caídas de internet en agencias interprovinciales, mediante contingencia offline (SQLite/H2) con uptime del 100%.</w:t>
            </w:r>
          </w:p>
        </w:tc>
        <w:tc>
          <w:tcPr>
            <w:tcW w:w="1735" w:type="dxa"/>
            <w:gridSpan w:val="2"/>
          </w:tcPr>
          <w:p w14:paraId="38448129" w14:textId="77777777" w:rsidR="001F1B3F" w:rsidRDefault="00DC5430">
            <w:pPr>
              <w:pStyle w:val="TableParagraph"/>
              <w:spacing w:line="193" w:lineRule="exact"/>
              <w:ind w:left="128"/>
              <w:rPr>
                <w:i/>
                <w:sz w:val="17"/>
              </w:rPr>
            </w:pPr>
            <w:r>
              <w:rPr>
                <w:i/>
                <w:sz w:val="17"/>
              </w:rPr>
              <w:t>Flujo</w:t>
            </w:r>
            <w:r>
              <w:rPr>
                <w:i/>
                <w:spacing w:val="-5"/>
                <w:sz w:val="17"/>
              </w:rPr>
              <w:t xml:space="preserve"> </w:t>
            </w:r>
            <w:r>
              <w:rPr>
                <w:i/>
                <w:sz w:val="17"/>
              </w:rPr>
              <w:t>de</w:t>
            </w:r>
            <w:r>
              <w:rPr>
                <w:i/>
                <w:spacing w:val="-3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Ingresos</w:t>
            </w:r>
          </w:p>
        </w:tc>
        <w:tc>
          <w:tcPr>
            <w:tcW w:w="2711" w:type="dxa"/>
          </w:tcPr>
          <w:p w14:paraId="3FBA5AB5" w14:textId="77777777" w:rsidR="005C1E7A" w:rsidRDefault="00000000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Tarifas de envío según volumen/tipo de mercadería (cotización dinámica del Pre-registro "Código Express", RF-10) y recaudación por sucursal (Dashboard, RF-02). Montos exactos: pendientes de definición financiera (no especificados en el EDT).</w:t>
            </w:r>
          </w:p>
        </w:tc>
      </w:tr>
      <w:tr w:rsidR="001F1B3F" w14:paraId="5937A604" w14:textId="77777777">
        <w:trPr>
          <w:trHeight w:val="212"/>
        </w:trPr>
        <w:tc>
          <w:tcPr>
            <w:tcW w:w="4077" w:type="dxa"/>
            <w:gridSpan w:val="2"/>
          </w:tcPr>
          <w:p w14:paraId="6B369F74" w14:textId="77777777" w:rsidR="005C1E7A" w:rsidRDefault="00000000">
            <w:pPr>
              <w:pStyle w:val="TableParagrap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lastRenderedPageBreak/>
              <w:t>Mitiga el riesgo financiero por descontrol de pagos "Contra Entrega"/"Pendiente de Pago", mediante el bloqueo físico automático de la entrega en el almacén de destino (RF-04).</w:t>
            </w:r>
          </w:p>
        </w:tc>
        <w:tc>
          <w:tcPr>
            <w:tcW w:w="1735" w:type="dxa"/>
            <w:gridSpan w:val="2"/>
          </w:tcPr>
          <w:p w14:paraId="080E64B1" w14:textId="77777777" w:rsidR="001F1B3F" w:rsidRDefault="00DC5430">
            <w:pPr>
              <w:pStyle w:val="TableParagraph"/>
              <w:spacing w:line="193" w:lineRule="exact"/>
              <w:ind w:left="164"/>
              <w:rPr>
                <w:i/>
                <w:sz w:val="17"/>
              </w:rPr>
            </w:pPr>
            <w:r>
              <w:rPr>
                <w:i/>
                <w:sz w:val="17"/>
              </w:rPr>
              <w:t>Flujo</w:t>
            </w:r>
            <w:r>
              <w:rPr>
                <w:i/>
                <w:spacing w:val="-5"/>
                <w:sz w:val="17"/>
              </w:rPr>
              <w:t xml:space="preserve"> </w:t>
            </w:r>
            <w:r>
              <w:rPr>
                <w:i/>
                <w:sz w:val="17"/>
              </w:rPr>
              <w:t>de</w:t>
            </w:r>
            <w:r>
              <w:rPr>
                <w:i/>
                <w:spacing w:val="-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Egresos</w:t>
            </w:r>
          </w:p>
        </w:tc>
        <w:tc>
          <w:tcPr>
            <w:tcW w:w="2711" w:type="dxa"/>
          </w:tcPr>
          <w:p w14:paraId="29900CD8" w14:textId="77777777" w:rsidR="005C1E7A" w:rsidRDefault="00000000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Infraestructura Cloud, hardware de agencia, desarrollo, QA y capacitación técnica (ver EDT Fases 3-5). Montos exactos: pendientes de cotización (no especificados en el EDT).</w:t>
            </w:r>
          </w:p>
        </w:tc>
      </w:tr>
      <w:tr w:rsidR="001F1B3F" w14:paraId="3E0E0EDC" w14:textId="77777777">
        <w:trPr>
          <w:trHeight w:val="212"/>
        </w:trPr>
        <w:tc>
          <w:tcPr>
            <w:tcW w:w="4077" w:type="dxa"/>
            <w:gridSpan w:val="2"/>
          </w:tcPr>
          <w:p w14:paraId="16497CEF" w14:textId="77777777" w:rsidR="005C1E7A" w:rsidRDefault="00000000">
            <w:pPr>
              <w:pStyle w:val="TableParagrap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Reduce el fraude y los recojos duplicados de encomiendas gracias a la invalidación irreversible del QR2 tras la validación cruzada en el punto de entrega (RF-07).</w:t>
            </w:r>
          </w:p>
        </w:tc>
        <w:tc>
          <w:tcPr>
            <w:tcW w:w="1735" w:type="dxa"/>
            <w:gridSpan w:val="2"/>
          </w:tcPr>
          <w:p w14:paraId="6D378A4A" w14:textId="6D11A45B" w:rsidR="001F1B3F" w:rsidRDefault="001F1B3F">
            <w:pPr>
              <w:pStyle w:val="TableParagraph"/>
              <w:spacing w:line="192" w:lineRule="exact"/>
              <w:ind w:left="672" w:right="668"/>
              <w:jc w:val="center"/>
              <w:rPr>
                <w:i/>
                <w:sz w:val="17"/>
              </w:rPr>
            </w:pPr>
          </w:p>
        </w:tc>
        <w:tc>
          <w:tcPr>
            <w:tcW w:w="2711" w:type="dxa"/>
          </w:tcPr>
          <w:p w14:paraId="06C13B56" w14:textId="77777777" w:rsidR="001F1B3F" w:rsidRDefault="001F1B3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F1B3F" w14:paraId="69BAA4EF" w14:textId="77777777">
        <w:trPr>
          <w:trHeight w:val="212"/>
        </w:trPr>
        <w:tc>
          <w:tcPr>
            <w:tcW w:w="4077" w:type="dxa"/>
            <w:gridSpan w:val="2"/>
          </w:tcPr>
          <w:p w14:paraId="1C4A94B9" w14:textId="77777777" w:rsidR="005C1E7A" w:rsidRDefault="00000000">
            <w:pPr>
              <w:pStyle w:val="TableParagrap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Elimina la fricción de acceso para el cliente final (sin contraseñas ni creación de cuentas), mejorando la experiencia de tracking y retiro (RF-01, RF-08, RF-09).</w:t>
            </w:r>
          </w:p>
        </w:tc>
        <w:tc>
          <w:tcPr>
            <w:tcW w:w="1735" w:type="dxa"/>
            <w:gridSpan w:val="2"/>
          </w:tcPr>
          <w:p w14:paraId="52E65901" w14:textId="58DB2F3E" w:rsidR="001F1B3F" w:rsidRDefault="001F1B3F">
            <w:pPr>
              <w:pStyle w:val="TableParagraph"/>
              <w:spacing w:line="193" w:lineRule="exact"/>
              <w:ind w:left="672" w:right="668"/>
              <w:jc w:val="center"/>
              <w:rPr>
                <w:i/>
                <w:sz w:val="17"/>
              </w:rPr>
            </w:pPr>
          </w:p>
        </w:tc>
        <w:tc>
          <w:tcPr>
            <w:tcW w:w="2711" w:type="dxa"/>
          </w:tcPr>
          <w:p w14:paraId="69F150EE" w14:textId="77777777" w:rsidR="001F1B3F" w:rsidRDefault="001F1B3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F1B3F" w14:paraId="2AED207B" w14:textId="77777777">
        <w:trPr>
          <w:trHeight w:val="212"/>
        </w:trPr>
        <w:tc>
          <w:tcPr>
            <w:tcW w:w="4077" w:type="dxa"/>
            <w:gridSpan w:val="2"/>
          </w:tcPr>
          <w:p w14:paraId="74384403" w14:textId="77777777" w:rsidR="005C1E7A" w:rsidRDefault="00000000">
            <w:pPr>
              <w:pStyle w:val="TableParagrap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Sienta una base arquitectónica mantenible y desacoplada (Arquitectura Hexagonal) que habilita futuras integraciones normativas y de canal sin reescribir el núcleo del sistema (RNF-05).</w:t>
            </w:r>
          </w:p>
        </w:tc>
        <w:tc>
          <w:tcPr>
            <w:tcW w:w="1735" w:type="dxa"/>
            <w:gridSpan w:val="2"/>
          </w:tcPr>
          <w:p w14:paraId="6052AA0E" w14:textId="6BB044D9" w:rsidR="001F1B3F" w:rsidRDefault="001F1B3F">
            <w:pPr>
              <w:pStyle w:val="TableParagraph"/>
              <w:spacing w:line="193" w:lineRule="exact"/>
              <w:ind w:left="672" w:right="668"/>
              <w:jc w:val="center"/>
              <w:rPr>
                <w:i/>
                <w:sz w:val="17"/>
              </w:rPr>
            </w:pPr>
          </w:p>
        </w:tc>
        <w:tc>
          <w:tcPr>
            <w:tcW w:w="2711" w:type="dxa"/>
          </w:tcPr>
          <w:p w14:paraId="5E52D61E" w14:textId="77777777" w:rsidR="001F1B3F" w:rsidRDefault="001F1B3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603D185" w14:textId="77777777" w:rsidR="001F1B3F" w:rsidRDefault="001F1B3F">
      <w:pPr>
        <w:pStyle w:val="Textoindependiente"/>
        <w:rPr>
          <w:sz w:val="20"/>
        </w:rPr>
      </w:pPr>
    </w:p>
    <w:p w14:paraId="3B89B60E" w14:textId="77777777" w:rsidR="001F1B3F" w:rsidRDefault="00000000">
      <w:pPr>
        <w:pStyle w:val="Textoindependiente"/>
        <w:spacing w:before="7"/>
        <w:rPr>
          <w:sz w:val="13"/>
        </w:rPr>
      </w:pPr>
      <w:r>
        <w:pict w14:anchorId="463800B0">
          <v:rect id="docshape2" o:spid="_x0000_s2051" style="position:absolute;margin-left:87.5pt;margin-top:9.45pt;width:433.45pt;height:.4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2D1A0FA7" w14:textId="77777777" w:rsidR="001F1B3F" w:rsidRDefault="001F1B3F">
      <w:pPr>
        <w:rPr>
          <w:sz w:val="13"/>
        </w:rPr>
        <w:sectPr w:rsidR="001F1B3F">
          <w:headerReference w:type="default" r:id="rId6"/>
          <w:type w:val="continuous"/>
          <w:pgSz w:w="12240" w:h="15840"/>
          <w:pgMar w:top="1840" w:right="1720" w:bottom="280" w:left="1720" w:header="1491" w:footer="0" w:gutter="0"/>
          <w:pgNumType w:start="1"/>
          <w:cols w:space="720"/>
        </w:sectPr>
      </w:pPr>
    </w:p>
    <w:p w14:paraId="5BD747F7" w14:textId="77777777" w:rsidR="001F1B3F" w:rsidRDefault="001F1B3F">
      <w:pPr>
        <w:pStyle w:val="Textoindependiente"/>
        <w:spacing w:before="5"/>
        <w:rPr>
          <w:sz w:val="7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2534"/>
        <w:gridCol w:w="4401"/>
      </w:tblGrid>
      <w:tr w:rsidR="001F1B3F" w14:paraId="6C2E64C8" w14:textId="77777777">
        <w:trPr>
          <w:trHeight w:val="266"/>
        </w:trPr>
        <w:tc>
          <w:tcPr>
            <w:tcW w:w="8468" w:type="dxa"/>
            <w:gridSpan w:val="3"/>
            <w:shd w:val="clear" w:color="auto" w:fill="5F5F5F"/>
          </w:tcPr>
          <w:p w14:paraId="6CF0C7D0" w14:textId="77777777" w:rsidR="001F1B3F" w:rsidRDefault="00DC5430">
            <w:pPr>
              <w:pStyle w:val="TableParagraph"/>
              <w:spacing w:line="227" w:lineRule="exact"/>
              <w:ind w:left="64"/>
              <w:rPr>
                <w:b/>
                <w:sz w:val="19"/>
              </w:rPr>
            </w:pPr>
            <w:r>
              <w:rPr>
                <w:b/>
                <w:smallCaps/>
                <w:color w:val="FFFFFF"/>
                <w:sz w:val="19"/>
              </w:rPr>
              <w:t>Designación</w:t>
            </w:r>
            <w:r>
              <w:rPr>
                <w:b/>
                <w:smallCaps/>
                <w:color w:val="FFFFFF"/>
                <w:spacing w:val="-11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del</w:t>
            </w:r>
            <w:r>
              <w:rPr>
                <w:b/>
                <w:smallCaps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Project</w:t>
            </w:r>
            <w:r>
              <w:rPr>
                <w:b/>
                <w:smallCaps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Manager</w:t>
            </w:r>
            <w:r>
              <w:rPr>
                <w:b/>
                <w:smallCaps/>
                <w:color w:val="FFFFFF"/>
                <w:spacing w:val="-11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del</w:t>
            </w:r>
            <w:r>
              <w:rPr>
                <w:b/>
                <w:smallCaps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pacing w:val="-2"/>
                <w:sz w:val="19"/>
              </w:rPr>
              <w:t>Proyecto</w:t>
            </w:r>
          </w:p>
        </w:tc>
      </w:tr>
      <w:tr w:rsidR="001F1B3F" w14:paraId="7954F23F" w14:textId="77777777">
        <w:trPr>
          <w:trHeight w:val="243"/>
        </w:trPr>
        <w:tc>
          <w:tcPr>
            <w:tcW w:w="1533" w:type="dxa"/>
            <w:shd w:val="clear" w:color="auto" w:fill="E0E0E0"/>
          </w:tcPr>
          <w:p w14:paraId="4ADD2DFD" w14:textId="77777777" w:rsidR="001F1B3F" w:rsidRDefault="00DC5430">
            <w:pPr>
              <w:pStyle w:val="TableParagraph"/>
              <w:spacing w:before="18" w:line="205" w:lineRule="exact"/>
              <w:ind w:left="64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spacing w:val="-2"/>
                <w:sz w:val="17"/>
              </w:rPr>
              <w:t>Nombre</w:t>
            </w:r>
          </w:p>
        </w:tc>
        <w:tc>
          <w:tcPr>
            <w:tcW w:w="2534" w:type="dxa"/>
          </w:tcPr>
          <w:p w14:paraId="2874BB55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 designar – Equipo QuickScan Marvisur (rol: Project Manager del proyecto SGL-DQR)</w:t>
            </w:r>
          </w:p>
        </w:tc>
        <w:tc>
          <w:tcPr>
            <w:tcW w:w="4401" w:type="dxa"/>
            <w:shd w:val="clear" w:color="auto" w:fill="E0E0E0"/>
          </w:tcPr>
          <w:p w14:paraId="2A28C687" w14:textId="77777777" w:rsidR="001F1B3F" w:rsidRDefault="00DC5430">
            <w:pPr>
              <w:pStyle w:val="TableParagraph"/>
              <w:spacing w:before="18" w:line="205" w:lineRule="exact"/>
              <w:ind w:left="65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w w:val="95"/>
                <w:sz w:val="17"/>
              </w:rPr>
              <w:t>Niveles</w:t>
            </w:r>
            <w:r>
              <w:rPr>
                <w:b/>
                <w:i/>
                <w:smallCaps/>
                <w:spacing w:val="-5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w w:val="95"/>
                <w:sz w:val="17"/>
              </w:rPr>
              <w:t>de</w:t>
            </w:r>
            <w:r>
              <w:rPr>
                <w:b/>
                <w:i/>
                <w:smallCaps/>
                <w:spacing w:val="-5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spacing w:val="-2"/>
                <w:w w:val="95"/>
                <w:sz w:val="17"/>
              </w:rPr>
              <w:t>autoridad</w:t>
            </w:r>
          </w:p>
        </w:tc>
      </w:tr>
      <w:tr w:rsidR="001F1B3F" w14:paraId="20A9D34A" w14:textId="77777777">
        <w:trPr>
          <w:trHeight w:val="244"/>
        </w:trPr>
        <w:tc>
          <w:tcPr>
            <w:tcW w:w="1533" w:type="dxa"/>
            <w:shd w:val="clear" w:color="auto" w:fill="E0E0E0"/>
          </w:tcPr>
          <w:p w14:paraId="4ADE467C" w14:textId="77777777" w:rsidR="001F1B3F" w:rsidRDefault="00DC5430">
            <w:pPr>
              <w:pStyle w:val="TableParagraph"/>
              <w:spacing w:before="19" w:line="205" w:lineRule="exact"/>
              <w:ind w:left="64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w w:val="95"/>
                <w:sz w:val="17"/>
              </w:rPr>
              <w:t>Reporta</w:t>
            </w:r>
            <w:r>
              <w:rPr>
                <w:b/>
                <w:i/>
                <w:smallCaps/>
                <w:spacing w:val="-7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spacing w:val="-10"/>
                <w:sz w:val="17"/>
              </w:rPr>
              <w:t>a</w:t>
            </w:r>
          </w:p>
        </w:tc>
        <w:tc>
          <w:tcPr>
            <w:tcW w:w="2534" w:type="dxa"/>
          </w:tcPr>
          <w:p w14:paraId="214383EC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Sponsor / Dirección General de Marvisur</w:t>
            </w:r>
          </w:p>
        </w:tc>
        <w:tc>
          <w:tcPr>
            <w:tcW w:w="4401" w:type="dxa"/>
            <w:vMerge w:val="restart"/>
          </w:tcPr>
          <w:p w14:paraId="3628B89F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Autoridad plena sobre la gestión técnica del proyecto: asignación de recursos del equipo QuickScan, aprobación de entregables de cada fase del EDT y decisiones de arquitectura. Los cambios de alcance mayores (p. ej., incorporar módulos Post-MVP como la integración SUNAT o las apps móviles nativas) requieren aprobación previa del Sponsor.</w:t>
            </w:r>
          </w:p>
        </w:tc>
      </w:tr>
      <w:tr w:rsidR="001F1B3F" w14:paraId="34F2FD97" w14:textId="77777777">
        <w:trPr>
          <w:trHeight w:val="243"/>
        </w:trPr>
        <w:tc>
          <w:tcPr>
            <w:tcW w:w="1533" w:type="dxa"/>
            <w:shd w:val="clear" w:color="auto" w:fill="E0E0E0"/>
          </w:tcPr>
          <w:p w14:paraId="2E1B9301" w14:textId="77777777" w:rsidR="001F1B3F" w:rsidRDefault="00DC5430">
            <w:pPr>
              <w:pStyle w:val="TableParagraph"/>
              <w:spacing w:before="18" w:line="206" w:lineRule="exact"/>
              <w:ind w:left="64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w w:val="95"/>
                <w:sz w:val="17"/>
              </w:rPr>
              <w:t>Supervisa</w:t>
            </w:r>
            <w:r>
              <w:rPr>
                <w:b/>
                <w:i/>
                <w:smallCaps/>
                <w:spacing w:val="-8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spacing w:val="-10"/>
                <w:sz w:val="17"/>
              </w:rPr>
              <w:t>a</w:t>
            </w:r>
          </w:p>
        </w:tc>
        <w:tc>
          <w:tcPr>
            <w:tcW w:w="2534" w:type="dxa"/>
          </w:tcPr>
          <w:p w14:paraId="533F74F7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Equipo de Desarrollo Backend (Spring Boot / Arquitectura Hexagonal), Equipo de Desarrollo Frontend (JavaFX y Portal Web), Equipo de Aseguramiento de la Calidad (QA) y Equipo de Infraestructura/Despliegue Cloud.</w:t>
            </w:r>
          </w:p>
        </w:tc>
        <w:tc>
          <w:tcPr>
            <w:tcW w:w="4401" w:type="dxa"/>
            <w:vMerge/>
            <w:tcBorders>
              <w:top w:val="nil"/>
            </w:tcBorders>
          </w:tcPr>
          <w:p w14:paraId="15353305" w14:textId="77777777" w:rsidR="001F1B3F" w:rsidRDefault="001F1B3F">
            <w:pPr>
              <w:rPr>
                <w:sz w:val="2"/>
                <w:szCs w:val="2"/>
              </w:rPr>
            </w:pPr>
          </w:p>
        </w:tc>
      </w:tr>
    </w:tbl>
    <w:p w14:paraId="68F75B3A" w14:textId="77777777" w:rsidR="001F1B3F" w:rsidRDefault="001F1B3F">
      <w:pPr>
        <w:pStyle w:val="Textoindependiente"/>
        <w:rPr>
          <w:sz w:val="17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7"/>
        <w:gridCol w:w="4401"/>
      </w:tblGrid>
      <w:tr w:rsidR="001F1B3F" w14:paraId="13657FFD" w14:textId="77777777">
        <w:trPr>
          <w:trHeight w:val="243"/>
        </w:trPr>
        <w:tc>
          <w:tcPr>
            <w:tcW w:w="8468" w:type="dxa"/>
            <w:gridSpan w:val="2"/>
            <w:shd w:val="clear" w:color="auto" w:fill="5F5F5F"/>
          </w:tcPr>
          <w:p w14:paraId="7473A3F2" w14:textId="77777777" w:rsidR="001F1B3F" w:rsidRDefault="00DC5430">
            <w:pPr>
              <w:pStyle w:val="TableParagraph"/>
              <w:spacing w:line="224" w:lineRule="exact"/>
              <w:ind w:left="64"/>
              <w:rPr>
                <w:b/>
                <w:sz w:val="19"/>
              </w:rPr>
            </w:pPr>
            <w:r>
              <w:rPr>
                <w:b/>
                <w:smallCaps/>
                <w:color w:val="FFFFFF"/>
                <w:sz w:val="19"/>
              </w:rPr>
              <w:t>Cronograma</w:t>
            </w:r>
            <w:r>
              <w:rPr>
                <w:b/>
                <w:smallCaps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de</w:t>
            </w:r>
            <w:r>
              <w:rPr>
                <w:b/>
                <w:smallCaps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Hitos</w:t>
            </w:r>
            <w:r>
              <w:rPr>
                <w:b/>
                <w:smallCaps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del</w:t>
            </w:r>
            <w:r>
              <w:rPr>
                <w:b/>
                <w:smallCaps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pacing w:val="-2"/>
                <w:sz w:val="19"/>
              </w:rPr>
              <w:t>Proyecto</w:t>
            </w:r>
          </w:p>
        </w:tc>
      </w:tr>
      <w:tr w:rsidR="001F1B3F" w14:paraId="3772705E" w14:textId="77777777">
        <w:trPr>
          <w:trHeight w:val="266"/>
        </w:trPr>
        <w:tc>
          <w:tcPr>
            <w:tcW w:w="4067" w:type="dxa"/>
            <w:shd w:val="clear" w:color="auto" w:fill="E0E0E0"/>
          </w:tcPr>
          <w:p w14:paraId="37EBD72A" w14:textId="77777777" w:rsidR="001F1B3F" w:rsidRDefault="00DC5430">
            <w:pPr>
              <w:pStyle w:val="TableParagraph"/>
              <w:spacing w:before="30"/>
              <w:ind w:left="782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w w:val="95"/>
                <w:sz w:val="17"/>
              </w:rPr>
              <w:t>Hito</w:t>
            </w:r>
            <w:r>
              <w:rPr>
                <w:b/>
                <w:i/>
                <w:smallCaps/>
                <w:spacing w:val="-4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w w:val="95"/>
                <w:sz w:val="17"/>
              </w:rPr>
              <w:t>o</w:t>
            </w:r>
            <w:r>
              <w:rPr>
                <w:b/>
                <w:i/>
                <w:smallCaps/>
                <w:spacing w:val="-2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w w:val="95"/>
                <w:sz w:val="17"/>
              </w:rPr>
              <w:t>Evento</w:t>
            </w:r>
            <w:r>
              <w:rPr>
                <w:b/>
                <w:i/>
                <w:smallCaps/>
                <w:spacing w:val="-2"/>
                <w:w w:val="95"/>
                <w:sz w:val="17"/>
              </w:rPr>
              <w:t xml:space="preserve"> Significativo</w:t>
            </w:r>
          </w:p>
        </w:tc>
        <w:tc>
          <w:tcPr>
            <w:tcW w:w="4401" w:type="dxa"/>
            <w:shd w:val="clear" w:color="auto" w:fill="E0E0E0"/>
          </w:tcPr>
          <w:p w14:paraId="6DAA4052" w14:textId="77777777" w:rsidR="001F1B3F" w:rsidRDefault="00DC5430">
            <w:pPr>
              <w:pStyle w:val="TableParagraph"/>
              <w:spacing w:before="30"/>
              <w:ind w:left="1374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w w:val="95"/>
                <w:sz w:val="17"/>
              </w:rPr>
              <w:t>Fecha</w:t>
            </w:r>
            <w:r>
              <w:rPr>
                <w:b/>
                <w:i/>
                <w:smallCaps/>
                <w:spacing w:val="-3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spacing w:val="-2"/>
                <w:sz w:val="17"/>
              </w:rPr>
              <w:t>Programada</w:t>
            </w:r>
          </w:p>
        </w:tc>
      </w:tr>
      <w:tr w:rsidR="001F1B3F" w14:paraId="11E5A21C" w14:textId="77777777">
        <w:trPr>
          <w:trHeight w:val="212"/>
        </w:trPr>
        <w:tc>
          <w:tcPr>
            <w:tcW w:w="4067" w:type="dxa"/>
          </w:tcPr>
          <w:p w14:paraId="44771354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Cierre de Fase 1 – Análisis: firma del Acta de Conformidad de Requisitos y congelamiento de la Línea Base.</w:t>
            </w:r>
          </w:p>
        </w:tc>
        <w:tc>
          <w:tcPr>
            <w:tcW w:w="4401" w:type="dxa"/>
          </w:tcPr>
          <w:p w14:paraId="272D5110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Semana 3</w:t>
            </w:r>
          </w:p>
        </w:tc>
      </w:tr>
      <w:tr w:rsidR="001F1B3F" w14:paraId="19C47023" w14:textId="77777777">
        <w:trPr>
          <w:trHeight w:val="211"/>
        </w:trPr>
        <w:tc>
          <w:tcPr>
            <w:tcW w:w="4067" w:type="dxa"/>
          </w:tcPr>
          <w:p w14:paraId="108B9A99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Cierre de Fase 2 – Diseño: firma del Acta de Aprobación de Diseño (SDD).</w:t>
            </w:r>
          </w:p>
        </w:tc>
        <w:tc>
          <w:tcPr>
            <w:tcW w:w="4401" w:type="dxa"/>
          </w:tcPr>
          <w:p w14:paraId="56B69382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Semana 6</w:t>
            </w:r>
          </w:p>
        </w:tc>
      </w:tr>
      <w:tr w:rsidR="001F1B3F" w14:paraId="6E1E40E7" w14:textId="77777777">
        <w:trPr>
          <w:trHeight w:val="212"/>
        </w:trPr>
        <w:tc>
          <w:tcPr>
            <w:tcW w:w="4067" w:type="dxa"/>
          </w:tcPr>
          <w:p w14:paraId="3545B759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Cierre de Fase 3 – Desarrollo: integración física del backend con el cliente JavaFX y las vistas web; cierre de Code Review.</w:t>
            </w:r>
          </w:p>
        </w:tc>
        <w:tc>
          <w:tcPr>
            <w:tcW w:w="4401" w:type="dxa"/>
          </w:tcPr>
          <w:p w14:paraId="4E9791FF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Semana 13</w:t>
            </w:r>
          </w:p>
        </w:tc>
      </w:tr>
      <w:tr w:rsidR="001F1B3F" w14:paraId="6EA3B3BE" w14:textId="77777777">
        <w:trPr>
          <w:trHeight w:val="212"/>
        </w:trPr>
        <w:tc>
          <w:tcPr>
            <w:tcW w:w="4067" w:type="dxa"/>
          </w:tcPr>
          <w:p w14:paraId="27C8B41D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Cierre de Fase 4 – QA: emisión del Acta de Aprobación de Calidad.</w:t>
            </w:r>
          </w:p>
        </w:tc>
        <w:tc>
          <w:tcPr>
            <w:tcW w:w="4401" w:type="dxa"/>
          </w:tcPr>
          <w:p w14:paraId="59B27328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Semana 15</w:t>
            </w:r>
          </w:p>
        </w:tc>
      </w:tr>
      <w:tr w:rsidR="001F1B3F" w14:paraId="5B653B84" w14:textId="77777777">
        <w:trPr>
          <w:trHeight w:val="212"/>
        </w:trPr>
        <w:tc>
          <w:tcPr>
            <w:tcW w:w="4067" w:type="dxa"/>
          </w:tcPr>
          <w:p w14:paraId="2DF8AF55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Go-Live: despliegue productivo, pruebas de humo e instalación del ejecutable en agencias piloto de Marvisur.</w:t>
            </w:r>
          </w:p>
        </w:tc>
        <w:tc>
          <w:tcPr>
            <w:tcW w:w="4401" w:type="dxa"/>
          </w:tcPr>
          <w:p w14:paraId="386B15A3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Semana 16</w:t>
            </w:r>
          </w:p>
        </w:tc>
      </w:tr>
      <w:tr w:rsidR="001F1B3F" w14:paraId="3FB0327D" w14:textId="77777777">
        <w:trPr>
          <w:trHeight w:val="212"/>
        </w:trPr>
        <w:tc>
          <w:tcPr>
            <w:tcW w:w="4067" w:type="dxa"/>
          </w:tcPr>
          <w:p w14:paraId="7F29EC2C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Cierre de Fase 5 y del Proyecto: firma del Acta de Cierre Final, transferencia técnica y reserva de contingencia.</w:t>
            </w:r>
          </w:p>
        </w:tc>
        <w:tc>
          <w:tcPr>
            <w:tcW w:w="4401" w:type="dxa"/>
          </w:tcPr>
          <w:p w14:paraId="06564BA6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Semana 16 – 17 (contingencia)</w:t>
            </w:r>
          </w:p>
        </w:tc>
      </w:tr>
    </w:tbl>
    <w:p w14:paraId="658DAE17" w14:textId="77777777" w:rsidR="001F1B3F" w:rsidRDefault="001F1B3F">
      <w:pPr>
        <w:pStyle w:val="Textoindependiente"/>
        <w:spacing w:before="1"/>
        <w:rPr>
          <w:sz w:val="17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7"/>
        <w:gridCol w:w="4401"/>
      </w:tblGrid>
      <w:tr w:rsidR="001F1B3F" w14:paraId="04153D2A" w14:textId="77777777">
        <w:trPr>
          <w:trHeight w:val="266"/>
        </w:trPr>
        <w:tc>
          <w:tcPr>
            <w:tcW w:w="8468" w:type="dxa"/>
            <w:gridSpan w:val="2"/>
            <w:shd w:val="clear" w:color="auto" w:fill="5F5F5F"/>
          </w:tcPr>
          <w:p w14:paraId="075C898B" w14:textId="77777777" w:rsidR="001F1B3F" w:rsidRDefault="00DC5430">
            <w:pPr>
              <w:pStyle w:val="TableParagraph"/>
              <w:spacing w:before="16" w:line="230" w:lineRule="exact"/>
              <w:ind w:left="64"/>
              <w:rPr>
                <w:b/>
                <w:sz w:val="19"/>
              </w:rPr>
            </w:pPr>
            <w:r>
              <w:rPr>
                <w:b/>
                <w:smallCaps/>
                <w:color w:val="FFFFFF"/>
                <w:sz w:val="19"/>
              </w:rPr>
              <w:t>Organizaciones</w:t>
            </w:r>
            <w:r>
              <w:rPr>
                <w:b/>
                <w:smallCaps/>
                <w:color w:val="FFFFFF"/>
                <w:spacing w:val="-11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o</w:t>
            </w:r>
            <w:r>
              <w:rPr>
                <w:b/>
                <w:smallCaps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Grupos</w:t>
            </w:r>
            <w:r>
              <w:rPr>
                <w:b/>
                <w:smallCaps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Organizacionales</w:t>
            </w:r>
            <w:r>
              <w:rPr>
                <w:b/>
                <w:smallCaps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que</w:t>
            </w:r>
            <w:r>
              <w:rPr>
                <w:b/>
                <w:smallCaps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intervienen</w:t>
            </w:r>
            <w:r>
              <w:rPr>
                <w:b/>
                <w:smallCaps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en</w:t>
            </w:r>
            <w:r>
              <w:rPr>
                <w:b/>
                <w:smallCaps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el</w:t>
            </w:r>
            <w:r>
              <w:rPr>
                <w:b/>
                <w:smallCaps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pacing w:val="-2"/>
                <w:sz w:val="19"/>
              </w:rPr>
              <w:t>Proyecto</w:t>
            </w:r>
          </w:p>
        </w:tc>
      </w:tr>
      <w:tr w:rsidR="001F1B3F" w14:paraId="740F29AD" w14:textId="77777777">
        <w:trPr>
          <w:trHeight w:val="266"/>
        </w:trPr>
        <w:tc>
          <w:tcPr>
            <w:tcW w:w="4067" w:type="dxa"/>
            <w:shd w:val="clear" w:color="auto" w:fill="E0E0E0"/>
          </w:tcPr>
          <w:p w14:paraId="3DD8396B" w14:textId="77777777" w:rsidR="001F1B3F" w:rsidRDefault="00DC5430">
            <w:pPr>
              <w:pStyle w:val="TableParagraph"/>
              <w:spacing w:before="30"/>
              <w:ind w:left="307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w w:val="95"/>
                <w:sz w:val="17"/>
              </w:rPr>
              <w:t>Organización</w:t>
            </w:r>
            <w:r>
              <w:rPr>
                <w:b/>
                <w:i/>
                <w:smallCaps/>
                <w:spacing w:val="-6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w w:val="95"/>
                <w:sz w:val="17"/>
              </w:rPr>
              <w:t>o</w:t>
            </w:r>
            <w:r>
              <w:rPr>
                <w:b/>
                <w:i/>
                <w:smallCaps/>
                <w:spacing w:val="-4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w w:val="95"/>
                <w:sz w:val="17"/>
              </w:rPr>
              <w:t>Grupo</w:t>
            </w:r>
            <w:r>
              <w:rPr>
                <w:b/>
                <w:i/>
                <w:smallCaps/>
                <w:spacing w:val="-5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spacing w:val="-2"/>
                <w:w w:val="95"/>
                <w:sz w:val="17"/>
              </w:rPr>
              <w:t>Organizacional</w:t>
            </w:r>
          </w:p>
        </w:tc>
        <w:tc>
          <w:tcPr>
            <w:tcW w:w="4401" w:type="dxa"/>
            <w:shd w:val="clear" w:color="auto" w:fill="E0E0E0"/>
          </w:tcPr>
          <w:p w14:paraId="2B1F8A73" w14:textId="77777777" w:rsidR="001F1B3F" w:rsidRDefault="00DC5430">
            <w:pPr>
              <w:pStyle w:val="TableParagraph"/>
              <w:spacing w:before="30"/>
              <w:ind w:left="1380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w w:val="95"/>
                <w:sz w:val="17"/>
              </w:rPr>
              <w:t>Rol</w:t>
            </w:r>
            <w:r>
              <w:rPr>
                <w:b/>
                <w:i/>
                <w:smallCaps/>
                <w:spacing w:val="-2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w w:val="95"/>
                <w:sz w:val="17"/>
              </w:rPr>
              <w:t>que</w:t>
            </w:r>
            <w:r>
              <w:rPr>
                <w:b/>
                <w:i/>
                <w:smallCaps/>
                <w:spacing w:val="-3"/>
                <w:w w:val="95"/>
                <w:sz w:val="17"/>
              </w:rPr>
              <w:t xml:space="preserve"> </w:t>
            </w:r>
            <w:r>
              <w:rPr>
                <w:b/>
                <w:i/>
                <w:smallCaps/>
                <w:spacing w:val="-2"/>
                <w:w w:val="95"/>
                <w:sz w:val="17"/>
              </w:rPr>
              <w:t>desempeña</w:t>
            </w:r>
          </w:p>
        </w:tc>
      </w:tr>
      <w:tr w:rsidR="001F1B3F" w14:paraId="57B47BF8" w14:textId="77777777">
        <w:trPr>
          <w:trHeight w:val="212"/>
        </w:trPr>
        <w:tc>
          <w:tcPr>
            <w:tcW w:w="4067" w:type="dxa"/>
          </w:tcPr>
          <w:p w14:paraId="37A0D5EE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QuickScan Marvisur</w:t>
            </w:r>
          </w:p>
        </w:tc>
        <w:tc>
          <w:tcPr>
            <w:tcW w:w="4401" w:type="dxa"/>
          </w:tcPr>
          <w:p w14:paraId="303BCEE6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Equipo de proyecto; responsable del diseño, desarrollo, pruebas y despliegue integral del sistema SGL-DQR.</w:t>
            </w:r>
          </w:p>
        </w:tc>
      </w:tr>
      <w:tr w:rsidR="001F1B3F" w14:paraId="3E8239F2" w14:textId="77777777">
        <w:trPr>
          <w:trHeight w:val="212"/>
        </w:trPr>
        <w:tc>
          <w:tcPr>
            <w:tcW w:w="4067" w:type="dxa"/>
          </w:tcPr>
          <w:p w14:paraId="017D1351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Marvisur</w:t>
            </w:r>
          </w:p>
        </w:tc>
        <w:tc>
          <w:tcPr>
            <w:tcW w:w="4401" w:type="dxa"/>
          </w:tcPr>
          <w:p w14:paraId="365AC206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Cliente y Sponsor; provee stakeholders, agencias piloto y personal operativo para el descubrimiento y las pruebas UAT.</w:t>
            </w:r>
          </w:p>
        </w:tc>
      </w:tr>
      <w:tr w:rsidR="001F1B3F" w14:paraId="1D29BC66" w14:textId="77777777">
        <w:trPr>
          <w:trHeight w:val="212"/>
        </w:trPr>
        <w:tc>
          <w:tcPr>
            <w:tcW w:w="4067" w:type="dxa"/>
          </w:tcPr>
          <w:p w14:paraId="52D2317A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SUNAT</w:t>
            </w:r>
          </w:p>
        </w:tc>
        <w:tc>
          <w:tcPr>
            <w:tcW w:w="4401" w:type="dxa"/>
          </w:tcPr>
          <w:p w14:paraId="64C0FDB2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Ente regulador; define la normativa de la Guía de Remisión Electrónica considerada en el diseño normativo del proyecto.</w:t>
            </w:r>
          </w:p>
        </w:tc>
      </w:tr>
      <w:tr w:rsidR="001F1B3F" w14:paraId="036CE78D" w14:textId="77777777">
        <w:trPr>
          <w:trHeight w:val="212"/>
        </w:trPr>
        <w:tc>
          <w:tcPr>
            <w:tcW w:w="4067" w:type="dxa"/>
          </w:tcPr>
          <w:p w14:paraId="5AD1707A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Personal operativo de Marvisur (Almaceneros, Choferes, Recepcionistas)</w:t>
            </w:r>
          </w:p>
        </w:tc>
        <w:tc>
          <w:tcPr>
            <w:tcW w:w="4401" w:type="dxa"/>
          </w:tcPr>
          <w:p w14:paraId="2FD4D7DB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Usuarios finales de la App de escritorio JavaFX; participan en las pruebas de aceptación (UAT) con hardware real.</w:t>
            </w:r>
          </w:p>
        </w:tc>
      </w:tr>
      <w:tr w:rsidR="001F1B3F" w14:paraId="0DBEF9C0" w14:textId="77777777">
        <w:trPr>
          <w:trHeight w:val="212"/>
        </w:trPr>
        <w:tc>
          <w:tcPr>
            <w:tcW w:w="4067" w:type="dxa"/>
          </w:tcPr>
          <w:p w14:paraId="1369B6BE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Clientes finales (Remitentes y Destinatarios)</w:t>
            </w:r>
          </w:p>
        </w:tc>
        <w:tc>
          <w:tcPr>
            <w:tcW w:w="4401" w:type="dxa"/>
          </w:tcPr>
          <w:p w14:paraId="599443C1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Usuarios del Portal Web y la Billetera Digital; validan la usabilidad del flujo de tracking y retiro.</w:t>
            </w:r>
          </w:p>
        </w:tc>
      </w:tr>
      <w:tr w:rsidR="001F1B3F" w14:paraId="3037ECEF" w14:textId="77777777">
        <w:trPr>
          <w:trHeight w:val="212"/>
        </w:trPr>
        <w:tc>
          <w:tcPr>
            <w:tcW w:w="4067" w:type="dxa"/>
          </w:tcPr>
          <w:p w14:paraId="27F82DD0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Proveedor de Infraestructura Cloud/VPS</w:t>
            </w:r>
          </w:p>
        </w:tc>
        <w:tc>
          <w:tcPr>
            <w:tcW w:w="4401" w:type="dxa"/>
          </w:tcPr>
          <w:p w14:paraId="77025136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Hosting del entorno productivo: base de datos PostgreSQL, certificado SSL y backups automatizados.</w:t>
            </w:r>
          </w:p>
        </w:tc>
      </w:tr>
    </w:tbl>
    <w:p w14:paraId="6C895068" w14:textId="77777777" w:rsidR="001F1B3F" w:rsidRDefault="001F1B3F">
      <w:pPr>
        <w:pStyle w:val="Textoindependiente"/>
        <w:rPr>
          <w:sz w:val="17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68"/>
      </w:tblGrid>
      <w:tr w:rsidR="001F1B3F" w14:paraId="79A6D0E5" w14:textId="77777777">
        <w:trPr>
          <w:trHeight w:val="266"/>
        </w:trPr>
        <w:tc>
          <w:tcPr>
            <w:tcW w:w="8468" w:type="dxa"/>
            <w:shd w:val="clear" w:color="auto" w:fill="5F5F5F"/>
          </w:tcPr>
          <w:p w14:paraId="6ADE9FD6" w14:textId="77777777" w:rsidR="001F1B3F" w:rsidRDefault="00DC5430">
            <w:pPr>
              <w:pStyle w:val="TableParagraph"/>
              <w:spacing w:before="16" w:line="230" w:lineRule="exact"/>
              <w:ind w:left="64"/>
              <w:rPr>
                <w:i/>
                <w:sz w:val="17"/>
              </w:rPr>
            </w:pPr>
            <w:r>
              <w:rPr>
                <w:b/>
                <w:color w:val="FFFFFF"/>
                <w:sz w:val="19"/>
              </w:rPr>
              <w:t>P</w:t>
            </w:r>
            <w:r>
              <w:rPr>
                <w:b/>
                <w:color w:val="FFFFFF"/>
                <w:sz w:val="15"/>
              </w:rPr>
              <w:t>RINCIPALES</w:t>
            </w:r>
            <w:r>
              <w:rPr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b/>
                <w:color w:val="FFFFFF"/>
                <w:sz w:val="19"/>
              </w:rPr>
              <w:t>A</w:t>
            </w:r>
            <w:r>
              <w:rPr>
                <w:b/>
                <w:color w:val="FFFFFF"/>
                <w:sz w:val="15"/>
              </w:rPr>
              <w:t>MENAZAS</w:t>
            </w:r>
            <w:r>
              <w:rPr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DEL</w:t>
            </w:r>
            <w:r>
              <w:rPr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b/>
                <w:color w:val="FFFFFF"/>
                <w:sz w:val="19"/>
              </w:rPr>
              <w:t>P</w:t>
            </w:r>
            <w:r>
              <w:rPr>
                <w:b/>
                <w:color w:val="FFFFFF"/>
                <w:sz w:val="15"/>
              </w:rPr>
              <w:t>ROYECTO</w:t>
            </w:r>
            <w:r>
              <w:rPr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i/>
                <w:color w:val="FFFFFF"/>
                <w:sz w:val="17"/>
              </w:rPr>
              <w:t>(R</w:t>
            </w:r>
            <w:r>
              <w:rPr>
                <w:i/>
                <w:color w:val="FFFFFF"/>
                <w:sz w:val="13"/>
              </w:rPr>
              <w:t>IESGOS</w:t>
            </w:r>
            <w:r>
              <w:rPr>
                <w:i/>
                <w:color w:val="FFFFFF"/>
                <w:spacing w:val="-8"/>
                <w:sz w:val="13"/>
              </w:rPr>
              <w:t xml:space="preserve"> </w:t>
            </w:r>
            <w:r>
              <w:rPr>
                <w:i/>
                <w:color w:val="FFFFFF"/>
                <w:spacing w:val="-2"/>
                <w:sz w:val="17"/>
              </w:rPr>
              <w:t>N</w:t>
            </w:r>
            <w:r>
              <w:rPr>
                <w:i/>
                <w:color w:val="FFFFFF"/>
                <w:spacing w:val="-2"/>
                <w:sz w:val="13"/>
              </w:rPr>
              <w:t>EGATIVOS</w:t>
            </w:r>
            <w:r>
              <w:rPr>
                <w:i/>
                <w:color w:val="FFFFFF"/>
                <w:spacing w:val="-2"/>
                <w:sz w:val="17"/>
              </w:rPr>
              <w:t>)</w:t>
            </w:r>
          </w:p>
        </w:tc>
      </w:tr>
      <w:tr w:rsidR="001F1B3F" w14:paraId="5CBEF2BB" w14:textId="77777777">
        <w:trPr>
          <w:trHeight w:val="212"/>
        </w:trPr>
        <w:tc>
          <w:tcPr>
            <w:tcW w:w="8468" w:type="dxa"/>
          </w:tcPr>
          <w:p w14:paraId="2EF27DDA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Colisiones de datos durante la sincronización asíncrona local-nube tras una caída de red (Failover), con riesgo de duplicidad o corrupción de registros operativos al reconectar la sucursal.</w:t>
            </w:r>
          </w:p>
        </w:tc>
      </w:tr>
      <w:tr w:rsidR="001F1B3F" w14:paraId="641AD26F" w14:textId="77777777">
        <w:trPr>
          <w:trHeight w:val="212"/>
        </w:trPr>
        <w:tc>
          <w:tcPr>
            <w:tcW w:w="8468" w:type="dxa"/>
          </w:tcPr>
          <w:p w14:paraId="27D2EA24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Incompatibilidad de los drivers de hardware (USB / comandos ESC/POS) en equipos antiguos de las agencias interprovinciales.</w:t>
            </w:r>
          </w:p>
        </w:tc>
      </w:tr>
      <w:tr w:rsidR="001F1B3F" w14:paraId="6C8305D0" w14:textId="77777777">
        <w:trPr>
          <w:trHeight w:val="212"/>
        </w:trPr>
        <w:tc>
          <w:tcPr>
            <w:tcW w:w="8468" w:type="dxa"/>
          </w:tcPr>
          <w:p w14:paraId="616D27AA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Interceptación o suplantación del token QR2 (Llave Digital) durante su transmisión al cliente final.</w:t>
            </w:r>
          </w:p>
        </w:tc>
      </w:tr>
      <w:tr w:rsidR="001F1B3F" w14:paraId="2C53B490" w14:textId="77777777">
        <w:trPr>
          <w:trHeight w:val="212"/>
        </w:trPr>
        <w:tc>
          <w:tcPr>
            <w:tcW w:w="8468" w:type="dxa"/>
          </w:tcPr>
          <w:p w14:paraId="339794A0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Incumplimiento del RNF-03 (latencia superior a 1000 ms) bajo el escenario de carga de 50 lecturas ópticas por minuto en almacén.</w:t>
            </w:r>
          </w:p>
        </w:tc>
      </w:tr>
      <w:tr w:rsidR="001F1B3F" w14:paraId="74DBDDFF" w14:textId="77777777">
        <w:trPr>
          <w:trHeight w:val="212"/>
        </w:trPr>
        <w:tc>
          <w:tcPr>
            <w:tcW w:w="8468" w:type="dxa"/>
          </w:tcPr>
          <w:p w14:paraId="592D9F3B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Vulnerabilidades críticas detectadas en las pruebas de penetración sobre los endpoints de validación cruzada del QR2 (RNF-01).</w:t>
            </w:r>
          </w:p>
        </w:tc>
      </w:tr>
      <w:tr w:rsidR="001F1B3F" w14:paraId="0CA0AC57" w14:textId="77777777">
        <w:trPr>
          <w:trHeight w:val="212"/>
        </w:trPr>
        <w:tc>
          <w:tcPr>
            <w:tcW w:w="8468" w:type="dxa"/>
          </w:tcPr>
          <w:p w14:paraId="464283DC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Retrasos en la certificación de calidad por bugs críticos no resueltos durante la Fase 4 de QA.</w:t>
            </w:r>
          </w:p>
        </w:tc>
      </w:tr>
    </w:tbl>
    <w:p w14:paraId="0B002F1F" w14:textId="77777777" w:rsidR="001F1B3F" w:rsidRDefault="001F1B3F">
      <w:pPr>
        <w:pStyle w:val="Textoindependiente"/>
        <w:spacing w:before="11"/>
        <w:rPr>
          <w:sz w:val="16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68"/>
      </w:tblGrid>
      <w:tr w:rsidR="001F1B3F" w14:paraId="583BDBE7" w14:textId="77777777">
        <w:trPr>
          <w:trHeight w:val="266"/>
        </w:trPr>
        <w:tc>
          <w:tcPr>
            <w:tcW w:w="8468" w:type="dxa"/>
            <w:shd w:val="clear" w:color="auto" w:fill="5F5F5F"/>
          </w:tcPr>
          <w:p w14:paraId="211C5D81" w14:textId="77777777" w:rsidR="001F1B3F" w:rsidRDefault="00DC5430">
            <w:pPr>
              <w:pStyle w:val="TableParagraph"/>
              <w:spacing w:before="16" w:line="230" w:lineRule="exact"/>
              <w:ind w:left="64"/>
              <w:rPr>
                <w:i/>
                <w:sz w:val="17"/>
              </w:rPr>
            </w:pPr>
            <w:r>
              <w:rPr>
                <w:b/>
                <w:color w:val="FFFFFF"/>
                <w:sz w:val="19"/>
              </w:rPr>
              <w:t>P</w:t>
            </w:r>
            <w:r>
              <w:rPr>
                <w:b/>
                <w:color w:val="FFFFFF"/>
                <w:sz w:val="15"/>
              </w:rPr>
              <w:t>RINCIPALES</w:t>
            </w:r>
            <w:r>
              <w:rPr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b/>
                <w:color w:val="FFFFFF"/>
                <w:sz w:val="19"/>
              </w:rPr>
              <w:t>O</w:t>
            </w:r>
            <w:r>
              <w:rPr>
                <w:b/>
                <w:color w:val="FFFFFF"/>
                <w:sz w:val="15"/>
              </w:rPr>
              <w:t>PORTUNIDADES</w:t>
            </w:r>
            <w:r>
              <w:rPr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DEL</w:t>
            </w:r>
            <w:r>
              <w:rPr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b/>
                <w:color w:val="FFFFFF"/>
                <w:sz w:val="19"/>
              </w:rPr>
              <w:t>P</w:t>
            </w:r>
            <w:r>
              <w:rPr>
                <w:b/>
                <w:color w:val="FFFFFF"/>
                <w:sz w:val="15"/>
              </w:rPr>
              <w:t>ROYECTO</w:t>
            </w:r>
            <w:r>
              <w:rPr>
                <w:b/>
                <w:color w:val="FFFFFF"/>
                <w:spacing w:val="34"/>
                <w:sz w:val="15"/>
              </w:rPr>
              <w:t xml:space="preserve"> </w:t>
            </w:r>
            <w:r>
              <w:rPr>
                <w:i/>
                <w:color w:val="FFFFFF"/>
                <w:sz w:val="17"/>
              </w:rPr>
              <w:t>(R</w:t>
            </w:r>
            <w:r>
              <w:rPr>
                <w:i/>
                <w:color w:val="FFFFFF"/>
                <w:sz w:val="13"/>
              </w:rPr>
              <w:t>IESGOS</w:t>
            </w:r>
            <w:r>
              <w:rPr>
                <w:i/>
                <w:color w:val="FFFFFF"/>
                <w:spacing w:val="-8"/>
                <w:sz w:val="13"/>
              </w:rPr>
              <w:t xml:space="preserve"> </w:t>
            </w:r>
            <w:r>
              <w:rPr>
                <w:i/>
                <w:color w:val="FFFFFF"/>
                <w:spacing w:val="-2"/>
                <w:sz w:val="17"/>
              </w:rPr>
              <w:t>P</w:t>
            </w:r>
            <w:r>
              <w:rPr>
                <w:i/>
                <w:color w:val="FFFFFF"/>
                <w:spacing w:val="-2"/>
                <w:sz w:val="13"/>
              </w:rPr>
              <w:t>OSITIVOS</w:t>
            </w:r>
            <w:r>
              <w:rPr>
                <w:i/>
                <w:color w:val="FFFFFF"/>
                <w:spacing w:val="-2"/>
                <w:sz w:val="17"/>
              </w:rPr>
              <w:t>)</w:t>
            </w:r>
          </w:p>
        </w:tc>
      </w:tr>
      <w:tr w:rsidR="001F1B3F" w14:paraId="660A77C4" w14:textId="77777777">
        <w:trPr>
          <w:trHeight w:val="212"/>
        </w:trPr>
        <w:tc>
          <w:tcPr>
            <w:tcW w:w="8468" w:type="dxa"/>
          </w:tcPr>
          <w:p w14:paraId="00C95835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Diferenciación competitiva en el mercado de logística interprovincial gracias a la garantía de "Parada Cero" (uptime operativo del 100% en modo offline).</w:t>
            </w:r>
          </w:p>
        </w:tc>
      </w:tr>
      <w:tr w:rsidR="001F1B3F" w14:paraId="5F5AD6C1" w14:textId="77777777">
        <w:trPr>
          <w:trHeight w:val="212"/>
        </w:trPr>
        <w:tc>
          <w:tcPr>
            <w:tcW w:w="8468" w:type="dxa"/>
          </w:tcPr>
          <w:p w14:paraId="47498F18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Reducción del fraude y de los recojos duplicados de encomiendas mediante la invalidación irreversible del QR2 en el punto de entrega (RF-07).</w:t>
            </w:r>
          </w:p>
        </w:tc>
      </w:tr>
      <w:tr w:rsidR="001F1B3F" w14:paraId="4461FF85" w14:textId="77777777">
        <w:trPr>
          <w:trHeight w:val="212"/>
        </w:trPr>
        <w:tc>
          <w:tcPr>
            <w:tcW w:w="8468" w:type="dxa"/>
          </w:tcPr>
          <w:p w14:paraId="6C035B24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Mejora de la conversión y satisfacción del cliente final gracias al acceso sin contraseñas ("Fricción Cero") y al Pre-registro "Código Express" (RF-10).</w:t>
            </w:r>
          </w:p>
        </w:tc>
      </w:tr>
      <w:tr w:rsidR="001F1B3F" w14:paraId="1FB465A3" w14:textId="77777777">
        <w:trPr>
          <w:trHeight w:val="212"/>
        </w:trPr>
        <w:tc>
          <w:tcPr>
            <w:tcW w:w="8468" w:type="dxa"/>
          </w:tcPr>
          <w:p w14:paraId="57CC6E0F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Base arquitectónica (Hexagonal) lista para escalar hacia la integración técnica con SUNAT y el desarrollo de apps móviles nativas en una fase Post-MVP.</w:t>
            </w:r>
          </w:p>
        </w:tc>
      </w:tr>
      <w:tr w:rsidR="001F1B3F" w14:paraId="68D1C262" w14:textId="77777777">
        <w:trPr>
          <w:trHeight w:val="212"/>
        </w:trPr>
        <w:tc>
          <w:tcPr>
            <w:tcW w:w="8468" w:type="dxa"/>
          </w:tcPr>
          <w:p w14:paraId="58A72A90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Optimización de decisiones operativas mediante los KPIs en tiempo real del Dashboard administrativo (RF-02).</w:t>
            </w:r>
          </w:p>
        </w:tc>
      </w:tr>
      <w:tr w:rsidR="001F1B3F" w14:paraId="7633E01C" w14:textId="77777777">
        <w:trPr>
          <w:trHeight w:val="212"/>
        </w:trPr>
        <w:tc>
          <w:tcPr>
            <w:tcW w:w="8468" w:type="dxa"/>
          </w:tcPr>
          <w:p w14:paraId="2018AC7B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Fortalecimiento de la reputación tecnológica de Marvisur tras la validación exitosa del sistema en sus agencias piloto (UAT).</w:t>
            </w:r>
          </w:p>
        </w:tc>
      </w:tr>
    </w:tbl>
    <w:p w14:paraId="3F298A95" w14:textId="77777777" w:rsidR="001F1B3F" w:rsidRDefault="001F1B3F">
      <w:pPr>
        <w:pStyle w:val="Textoindependiente"/>
        <w:rPr>
          <w:sz w:val="17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7"/>
        <w:gridCol w:w="4401"/>
      </w:tblGrid>
      <w:tr w:rsidR="001F1B3F" w14:paraId="6791357D" w14:textId="77777777">
        <w:trPr>
          <w:trHeight w:val="266"/>
        </w:trPr>
        <w:tc>
          <w:tcPr>
            <w:tcW w:w="8468" w:type="dxa"/>
            <w:gridSpan w:val="2"/>
            <w:shd w:val="clear" w:color="auto" w:fill="5F5F5F"/>
          </w:tcPr>
          <w:p w14:paraId="37B64C13" w14:textId="77777777" w:rsidR="001F1B3F" w:rsidRDefault="00DC5430">
            <w:pPr>
              <w:pStyle w:val="TableParagraph"/>
              <w:spacing w:before="17" w:line="230" w:lineRule="exact"/>
              <w:ind w:left="64"/>
              <w:rPr>
                <w:b/>
                <w:sz w:val="19"/>
              </w:rPr>
            </w:pPr>
            <w:r>
              <w:rPr>
                <w:b/>
                <w:smallCaps/>
                <w:color w:val="FFFFFF"/>
                <w:sz w:val="19"/>
              </w:rPr>
              <w:t>Presupuesto</w:t>
            </w:r>
            <w:r>
              <w:rPr>
                <w:b/>
                <w:smallCaps/>
                <w:color w:val="FFFFFF"/>
                <w:spacing w:val="-12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Preliminar</w:t>
            </w:r>
            <w:r>
              <w:rPr>
                <w:b/>
                <w:smallCaps/>
                <w:color w:val="FFFFFF"/>
                <w:spacing w:val="-12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del</w:t>
            </w:r>
            <w:r>
              <w:rPr>
                <w:b/>
                <w:smallCaps/>
                <w:color w:val="FFFFFF"/>
                <w:spacing w:val="-11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pacing w:val="-2"/>
                <w:sz w:val="19"/>
              </w:rPr>
              <w:t>Proyecto</w:t>
            </w:r>
          </w:p>
        </w:tc>
      </w:tr>
      <w:tr w:rsidR="001F1B3F" w14:paraId="58ACA0FA" w14:textId="77777777">
        <w:trPr>
          <w:trHeight w:val="266"/>
        </w:trPr>
        <w:tc>
          <w:tcPr>
            <w:tcW w:w="4067" w:type="dxa"/>
            <w:shd w:val="clear" w:color="auto" w:fill="E0E0E0"/>
          </w:tcPr>
          <w:p w14:paraId="48BDEC47" w14:textId="77777777" w:rsidR="001F1B3F" w:rsidRDefault="00DC5430">
            <w:pPr>
              <w:pStyle w:val="TableParagraph"/>
              <w:spacing w:before="29"/>
              <w:ind w:left="1582" w:right="1575"/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spacing w:val="-2"/>
                <w:sz w:val="17"/>
              </w:rPr>
              <w:t>Concepto</w:t>
            </w:r>
          </w:p>
        </w:tc>
        <w:tc>
          <w:tcPr>
            <w:tcW w:w="4401" w:type="dxa"/>
            <w:shd w:val="clear" w:color="auto" w:fill="E0E0E0"/>
          </w:tcPr>
          <w:p w14:paraId="391E40E7" w14:textId="77777777" w:rsidR="001F1B3F" w:rsidRDefault="00DC5430">
            <w:pPr>
              <w:pStyle w:val="TableParagraph"/>
              <w:spacing w:before="29"/>
              <w:ind w:left="1877" w:right="1869"/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spacing w:val="-2"/>
                <w:sz w:val="17"/>
              </w:rPr>
              <w:t>Monto</w:t>
            </w:r>
          </w:p>
        </w:tc>
      </w:tr>
      <w:tr w:rsidR="001F1B3F" w14:paraId="236324D3" w14:textId="77777777">
        <w:trPr>
          <w:trHeight w:val="212"/>
        </w:trPr>
        <w:tc>
          <w:tcPr>
            <w:tcW w:w="4067" w:type="dxa"/>
          </w:tcPr>
          <w:p w14:paraId="6D9DC02D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Infraestructura Cloud (servidor VPS, PostgreSQL productivo, certificado SSL, backups)</w:t>
            </w:r>
          </w:p>
        </w:tc>
        <w:tc>
          <w:tcPr>
            <w:tcW w:w="4401" w:type="dxa"/>
          </w:tcPr>
          <w:p w14:paraId="57E261DA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 definir</w:t>
            </w:r>
          </w:p>
        </w:tc>
      </w:tr>
      <w:tr w:rsidR="001F1B3F" w14:paraId="1470BB71" w14:textId="77777777">
        <w:trPr>
          <w:trHeight w:val="212"/>
        </w:trPr>
        <w:tc>
          <w:tcPr>
            <w:tcW w:w="4067" w:type="dxa"/>
          </w:tcPr>
          <w:p w14:paraId="22D0CA6E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Hardware de agencia (ticketeras térmicas de 58 mm, escáneres ópticos USB)</w:t>
            </w:r>
          </w:p>
        </w:tc>
        <w:tc>
          <w:tcPr>
            <w:tcW w:w="4401" w:type="dxa"/>
          </w:tcPr>
          <w:p w14:paraId="3EF29675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 definir</w:t>
            </w:r>
          </w:p>
        </w:tc>
      </w:tr>
      <w:tr w:rsidR="001F1B3F" w14:paraId="56772E08" w14:textId="77777777">
        <w:trPr>
          <w:trHeight w:val="212"/>
        </w:trPr>
        <w:tc>
          <w:tcPr>
            <w:tcW w:w="4067" w:type="dxa"/>
          </w:tcPr>
          <w:p w14:paraId="7B82DEB1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Desarrollo y control de versiones (entornos de testing, Git/CI)</w:t>
            </w:r>
          </w:p>
        </w:tc>
        <w:tc>
          <w:tcPr>
            <w:tcW w:w="4401" w:type="dxa"/>
          </w:tcPr>
          <w:p w14:paraId="66A6247C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 definir</w:t>
            </w:r>
          </w:p>
        </w:tc>
      </w:tr>
      <w:tr w:rsidR="001F1B3F" w14:paraId="455F1294" w14:textId="77777777">
        <w:trPr>
          <w:trHeight w:val="212"/>
        </w:trPr>
        <w:tc>
          <w:tcPr>
            <w:tcW w:w="4067" w:type="dxa"/>
          </w:tcPr>
          <w:p w14:paraId="0ED29060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Diseño UX/UI (Figma) y documentación técnica (SRS, SDD, UML)</w:t>
            </w:r>
          </w:p>
        </w:tc>
        <w:tc>
          <w:tcPr>
            <w:tcW w:w="4401" w:type="dxa"/>
          </w:tcPr>
          <w:p w14:paraId="3EF978DC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 definir</w:t>
            </w:r>
          </w:p>
        </w:tc>
      </w:tr>
      <w:tr w:rsidR="001F1B3F" w14:paraId="31B46F58" w14:textId="77777777">
        <w:trPr>
          <w:trHeight w:val="212"/>
        </w:trPr>
        <w:tc>
          <w:tcPr>
            <w:tcW w:w="4067" w:type="dxa"/>
          </w:tcPr>
          <w:p w14:paraId="039E5C6D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Capacitación técnica y transferencia operativa</w:t>
            </w:r>
          </w:p>
        </w:tc>
        <w:tc>
          <w:tcPr>
            <w:tcW w:w="4401" w:type="dxa"/>
          </w:tcPr>
          <w:p w14:paraId="6D4C8687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 definir</w:t>
            </w:r>
          </w:p>
        </w:tc>
      </w:tr>
      <w:tr w:rsidR="001F1B3F" w14:paraId="25837C34" w14:textId="77777777">
        <w:trPr>
          <w:trHeight w:val="211"/>
        </w:trPr>
        <w:tc>
          <w:tcPr>
            <w:tcW w:w="4067" w:type="dxa"/>
          </w:tcPr>
          <w:p w14:paraId="2BD1ED71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Reserva de contingencia (1 semana operativa adicional)</w:t>
            </w:r>
          </w:p>
        </w:tc>
        <w:tc>
          <w:tcPr>
            <w:tcW w:w="4401" w:type="dxa"/>
          </w:tcPr>
          <w:p w14:paraId="2F8EE064" w14:textId="77777777" w:rsidR="005C1E7A" w:rsidRDefault="00000000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 definir</w:t>
            </w:r>
          </w:p>
        </w:tc>
      </w:tr>
    </w:tbl>
    <w:p w14:paraId="4040A784" w14:textId="77777777" w:rsidR="001F1B3F" w:rsidRDefault="001F1B3F">
      <w:pPr>
        <w:pStyle w:val="Textoindependiente"/>
        <w:spacing w:before="4"/>
        <w:rPr>
          <w:sz w:val="18"/>
        </w:rPr>
      </w:pPr>
    </w:p>
    <w:tbl>
      <w:tblPr>
        <w:tblStyle w:val="TableNormal"/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3"/>
        <w:gridCol w:w="2035"/>
        <w:gridCol w:w="2201"/>
        <w:gridCol w:w="2200"/>
      </w:tblGrid>
      <w:tr w:rsidR="001F1B3F" w14:paraId="11C97E26" w14:textId="77777777">
        <w:trPr>
          <w:trHeight w:val="266"/>
        </w:trPr>
        <w:tc>
          <w:tcPr>
            <w:tcW w:w="8469" w:type="dxa"/>
            <w:gridSpan w:val="4"/>
            <w:shd w:val="clear" w:color="auto" w:fill="5F5F5F"/>
          </w:tcPr>
          <w:p w14:paraId="0B673784" w14:textId="77777777" w:rsidR="001F1B3F" w:rsidRDefault="00DC5430">
            <w:pPr>
              <w:pStyle w:val="TableParagraph"/>
              <w:spacing w:before="17" w:line="230" w:lineRule="exact"/>
              <w:ind w:left="64"/>
              <w:rPr>
                <w:b/>
                <w:sz w:val="19"/>
              </w:rPr>
            </w:pPr>
            <w:r>
              <w:rPr>
                <w:b/>
                <w:smallCaps/>
                <w:color w:val="FFFFFF"/>
                <w:sz w:val="19"/>
              </w:rPr>
              <w:t>sponsor</w:t>
            </w:r>
            <w:r>
              <w:rPr>
                <w:b/>
                <w:smallCaps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que</w:t>
            </w:r>
            <w:r>
              <w:rPr>
                <w:b/>
                <w:smallCaps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autoriza</w:t>
            </w:r>
            <w:r>
              <w:rPr>
                <w:b/>
                <w:smallCaps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z w:val="19"/>
              </w:rPr>
              <w:t>el</w:t>
            </w:r>
            <w:r>
              <w:rPr>
                <w:b/>
                <w:smallCaps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smallCaps/>
                <w:color w:val="FFFFFF"/>
                <w:spacing w:val="-2"/>
                <w:sz w:val="19"/>
              </w:rPr>
              <w:t>Proyecto</w:t>
            </w:r>
          </w:p>
        </w:tc>
      </w:tr>
      <w:tr w:rsidR="001F1B3F" w14:paraId="55C04C34" w14:textId="77777777">
        <w:trPr>
          <w:trHeight w:val="266"/>
        </w:trPr>
        <w:tc>
          <w:tcPr>
            <w:tcW w:w="2033" w:type="dxa"/>
            <w:shd w:val="clear" w:color="auto" w:fill="E0E0E0"/>
          </w:tcPr>
          <w:p w14:paraId="79F93E4F" w14:textId="77777777" w:rsidR="001F1B3F" w:rsidRDefault="00DC5430">
            <w:pPr>
              <w:pStyle w:val="TableParagraph"/>
              <w:spacing w:before="29"/>
              <w:ind w:left="677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spacing w:val="-2"/>
                <w:sz w:val="17"/>
              </w:rPr>
              <w:t>Nombre</w:t>
            </w:r>
          </w:p>
        </w:tc>
        <w:tc>
          <w:tcPr>
            <w:tcW w:w="2035" w:type="dxa"/>
            <w:shd w:val="clear" w:color="auto" w:fill="E0E0E0"/>
          </w:tcPr>
          <w:p w14:paraId="69D859FA" w14:textId="77777777" w:rsidR="001F1B3F" w:rsidRDefault="00DC5430">
            <w:pPr>
              <w:pStyle w:val="TableParagraph"/>
              <w:spacing w:before="29"/>
              <w:ind w:left="652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spacing w:val="-2"/>
                <w:sz w:val="17"/>
              </w:rPr>
              <w:t>Empresa</w:t>
            </w:r>
          </w:p>
        </w:tc>
        <w:tc>
          <w:tcPr>
            <w:tcW w:w="2201" w:type="dxa"/>
            <w:shd w:val="clear" w:color="auto" w:fill="E0E0E0"/>
          </w:tcPr>
          <w:p w14:paraId="2C00C0A3" w14:textId="77777777" w:rsidR="001F1B3F" w:rsidRDefault="00DC5430">
            <w:pPr>
              <w:pStyle w:val="TableParagraph"/>
              <w:spacing w:before="29"/>
              <w:ind w:left="796" w:right="790"/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spacing w:val="-2"/>
                <w:sz w:val="17"/>
              </w:rPr>
              <w:t>Cargo</w:t>
            </w:r>
          </w:p>
        </w:tc>
        <w:tc>
          <w:tcPr>
            <w:tcW w:w="2200" w:type="dxa"/>
            <w:shd w:val="clear" w:color="auto" w:fill="E0E0E0"/>
          </w:tcPr>
          <w:p w14:paraId="33EAE783" w14:textId="77777777" w:rsidR="001F1B3F" w:rsidRDefault="00DC5430">
            <w:pPr>
              <w:pStyle w:val="TableParagraph"/>
              <w:spacing w:before="29"/>
              <w:ind w:left="815" w:right="810"/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mallCaps/>
                <w:spacing w:val="-2"/>
                <w:sz w:val="17"/>
              </w:rPr>
              <w:t>Fecha</w:t>
            </w:r>
          </w:p>
        </w:tc>
      </w:tr>
      <w:tr w:rsidR="006F65A7" w14:paraId="1CA82E97" w14:textId="77777777">
        <w:trPr>
          <w:trHeight w:val="266"/>
        </w:trPr>
        <w:tc>
          <w:tcPr>
            <w:tcW w:w="2033" w:type="dxa"/>
          </w:tcPr>
          <w:p w14:paraId="17433C17" w14:textId="6E85D1F5" w:rsidR="006F65A7" w:rsidRDefault="006F65A7" w:rsidP="006F65A7">
            <w:pPr>
              <w:pStyle w:val="TableParagraph"/>
              <w:rPr>
                <w:sz w:val="16"/>
                <w:szCs w:val="16"/>
              </w:rPr>
            </w:pPr>
            <w:r w:rsidRPr="003C6356">
              <w:rPr>
                <w:rFonts w:ascii="Times New Roman"/>
              </w:rPr>
              <w:t>Anthony Vladimir Mora Bonilla</w:t>
            </w:r>
          </w:p>
        </w:tc>
        <w:tc>
          <w:tcPr>
            <w:tcW w:w="2035" w:type="dxa"/>
          </w:tcPr>
          <w:p w14:paraId="0964F714" w14:textId="77777777" w:rsidR="006F65A7" w:rsidRDefault="006F65A7" w:rsidP="006F65A7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Marvisur</w:t>
            </w:r>
          </w:p>
        </w:tc>
        <w:tc>
          <w:tcPr>
            <w:tcW w:w="2201" w:type="dxa"/>
          </w:tcPr>
          <w:p w14:paraId="01678101" w14:textId="4474A38E" w:rsidR="006F65A7" w:rsidRDefault="006F65A7" w:rsidP="006F65A7">
            <w:pPr>
              <w:pStyle w:val="TableParagraph"/>
              <w:rPr>
                <w:sz w:val="16"/>
                <w:szCs w:val="16"/>
              </w:rPr>
            </w:pPr>
            <w:r w:rsidRPr="00D87A38">
              <w:rPr>
                <w:rFonts w:ascii="Times New Roman" w:hAnsi="Times New Roman" w:cs="Times New Roman"/>
              </w:rPr>
              <w:t>Docente del Curso de Ingeniería de Software / Sponsor del Proyecto</w:t>
            </w:r>
          </w:p>
        </w:tc>
        <w:tc>
          <w:tcPr>
            <w:tcW w:w="2200" w:type="dxa"/>
          </w:tcPr>
          <w:p w14:paraId="7ACCA275" w14:textId="11F0460F" w:rsidR="006F65A7" w:rsidRDefault="006F65A7" w:rsidP="006F65A7">
            <w:pPr>
              <w:pStyle w:val="TableParagraph"/>
              <w:rPr>
                <w:sz w:val="16"/>
                <w:szCs w:val="16"/>
              </w:rPr>
            </w:pPr>
            <w:r w:rsidRPr="00D87A38">
              <w:rPr>
                <w:rFonts w:ascii="Times New Roman" w:hAnsi="Times New Roman" w:cs="Times New Roman"/>
              </w:rPr>
              <w:t>20/08/2026</w:t>
            </w:r>
          </w:p>
        </w:tc>
      </w:tr>
    </w:tbl>
    <w:p w14:paraId="7B102B39" w14:textId="77777777" w:rsidR="001F1B3F" w:rsidRDefault="001F1B3F">
      <w:pPr>
        <w:pStyle w:val="Textoindependiente"/>
        <w:rPr>
          <w:sz w:val="20"/>
        </w:rPr>
      </w:pPr>
    </w:p>
    <w:p w14:paraId="365717C7" w14:textId="77777777" w:rsidR="001F1B3F" w:rsidRDefault="00000000">
      <w:pPr>
        <w:pStyle w:val="Textoindependiente"/>
        <w:spacing w:before="1"/>
        <w:rPr>
          <w:sz w:val="21"/>
        </w:rPr>
      </w:pPr>
      <w:r>
        <w:pict w14:anchorId="6D7F4025">
          <v:rect id="docshape3" o:spid="_x0000_s2050" style="position:absolute;margin-left:87.5pt;margin-top:14pt;width:433.45pt;height:.4pt;z-index:-15728128;mso-wrap-distance-left:0;mso-wrap-distance-right:0;mso-position-horizontal-relative:page" fillcolor="black" stroked="f">
            <w10:wrap type="topAndBottom" anchorx="page"/>
          </v:rect>
        </w:pict>
      </w:r>
    </w:p>
    <w:sectPr w:rsidR="001F1B3F">
      <w:pgSz w:w="12240" w:h="15840"/>
      <w:pgMar w:top="1840" w:right="1720" w:bottom="280" w:left="1720" w:header="14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7F4B4E" w14:textId="77777777" w:rsidR="00E14037" w:rsidRDefault="00E14037">
      <w:r>
        <w:separator/>
      </w:r>
    </w:p>
  </w:endnote>
  <w:endnote w:type="continuationSeparator" w:id="0">
    <w:p w14:paraId="4C6214B1" w14:textId="77777777" w:rsidR="00E14037" w:rsidRDefault="00E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D2517A" w14:textId="77777777" w:rsidR="00E14037" w:rsidRDefault="00E14037">
      <w:r>
        <w:separator/>
      </w:r>
    </w:p>
  </w:footnote>
  <w:footnote w:type="continuationSeparator" w:id="0">
    <w:p w14:paraId="3D5D4096" w14:textId="77777777" w:rsidR="00E14037" w:rsidRDefault="00E14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63442E" w14:textId="77777777" w:rsidR="001F1B3F" w:rsidRDefault="00000000">
    <w:pPr>
      <w:pStyle w:val="Textoindependiente"/>
      <w:spacing w:line="14" w:lineRule="auto"/>
      <w:rPr>
        <w:i w:val="0"/>
        <w:sz w:val="20"/>
      </w:rPr>
    </w:pPr>
    <w:r>
      <w:pict w14:anchorId="53A7D791">
        <v:shape id="docshape1" o:spid="_x0000_s1025" style="position:absolute;margin-left:86.8pt;margin-top:84.1pt;width:434.1pt;height:.45pt;z-index:-251658752;mso-position-horizontal-relative:page;mso-position-vertical-relative:page" coordorigin="1736,1682" coordsize="8682,9" path="m10418,1682r-4335,l6070,1682r-4334,l1736,1691r4334,l6083,1691r4335,l10418,1682xe" fillcolor="black" stroked="f">
          <v:path arrowok="t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1B3F"/>
    <w:rsid w:val="001178B2"/>
    <w:rsid w:val="001F1B3F"/>
    <w:rsid w:val="002423AA"/>
    <w:rsid w:val="002472DE"/>
    <w:rsid w:val="002F0148"/>
    <w:rsid w:val="003230E1"/>
    <w:rsid w:val="005C1E7A"/>
    <w:rsid w:val="006F65A7"/>
    <w:rsid w:val="00761329"/>
    <w:rsid w:val="00CA6685"/>
    <w:rsid w:val="00DC5430"/>
    <w:rsid w:val="00E123BD"/>
    <w:rsid w:val="00E14037"/>
    <w:rsid w:val="00E3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;"/>
  <w14:docId w14:val="1E417D8D"/>
  <w15:docId w15:val="{DC5C7763-9FA6-4684-9958-9E15E585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30"/>
      <w:szCs w:val="3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2213</Words>
  <Characters>12172</Characters>
  <Application>Microsoft Office Word</Application>
  <DocSecurity>0</DocSecurity>
  <Lines>101</Lines>
  <Paragraphs>28</Paragraphs>
  <ScaleCrop>false</ScaleCrop>
  <Company/>
  <LinksUpToDate>false</LinksUpToDate>
  <CharactersWithSpaces>14357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Project Charter</dc:title>
  <dc:subject>Formatos de GP</dc:subject>
  <dc:creator>Dharma Consulting</dc:creator>
  <cp:lastModifiedBy>jean Pool Oroncuy</cp:lastModifiedBy>
  <cp:revision>10</cp:revision>
  <dcterms:created xsi:type="dcterms:W3CDTF">2024-04-05T14:49:00Z</dcterms:created>
  <dcterms:modified xsi:type="dcterms:W3CDTF">2026-09-16T12:44:00Z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2009-07-09T00:00:00Z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2024-04-05T00:00:00Z</vt:filetime>
  </property>
  <property fmtid="{D5CDD505-2E9C-101B-9397-08002B2CF9AE}" pid="5" name="Producer">
    <vt:lpwstr>Acrobat Distiller 7.0 (Windows)</vt:lpwstr>
  </property>
</Properties>
</file>