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0A2240"/>
          <w:sz w:val="36"/>
          <w:szCs w:val="36"/>
        </w:rPr>
        <w:t xml:space="preserve">ASHMORE MANAGEMENT COMPANY COLOMBIA S.A.S.</w:t>
      </w:r>
    </w:p>
    <w:p>
      <w:pPr>
        <w:spacing w:before="0" w:after="80"/>
      </w:pPr>
      <w:r>
        <w:rPr>
          <w:rFonts w:ascii="Arial" w:cs="Arial" w:eastAsia="Arial" w:hAnsi="Arial"/>
          <w:b/>
          <w:bCs/>
          <w:color w:val="B8860B"/>
          <w:sz w:val="28"/>
          <w:szCs w:val="28"/>
        </w:rPr>
        <w:t xml:space="preserve">ILPA Due Diligence Questionnaire v1.2</w:t>
      </w:r>
    </w:p>
    <w:p>
      <w:pPr>
        <w:spacing w:before="0" w:after="80"/>
      </w:pPr>
      <w:r>
        <w:rPr>
          <w:rFonts w:ascii="Arial" w:cs="Arial" w:eastAsia="Arial" w:hAnsi="Arial"/>
          <w:color w:val="444444"/>
          <w:sz w:val="22"/>
          <w:szCs w:val="22"/>
        </w:rPr>
        <w:t xml:space="preserve">Fondo Ashmore Andino III  |  USD 420M</w:t>
      </w:r>
    </w:p>
    <w:p>
      <w:pPr>
        <w:spacing w:before="0" w:after="400"/>
      </w:pPr>
      <w:r>
        <w:rPr>
          <w:rFonts w:ascii="Arial" w:cs="Arial" w:eastAsia="Arial" w:hAnsi="Arial"/>
          <w:i/>
          <w:iCs/>
          <w:color w:val="888888"/>
          <w:sz w:val="20"/>
          <w:szCs w:val="20"/>
        </w:rPr>
        <w:t xml:space="preserve">Marzo 2026  |  Confidencial  |  Pre-llenado con asistencia de IA</w:t>
      </w:r>
    </w:p>
    <w:p>
      <w:pPr>
        <w:shd w:fill="FFFBEB" w:val="clear"/>
        <w:spacing w:before="100" w:after="100"/>
      </w:pPr>
      <w:r>
        <w:rPr>
          <w:rFonts w:ascii="Arial" w:cs="Arial" w:eastAsia="Arial" w:hAnsi="Arial"/>
          <w:color w:val="854D0E"/>
          <w:sz w:val="18"/>
          <w:szCs w:val="18"/>
        </w:rPr>
        <w:t xml:space="preserve">⚠️  AVISO: Este documento fue pre-llenado con IA usando información pública de Ashmore. Todas las respuestas deben ser validadas por el equipo antes de enviar a cualquier LP. Las respuestas 🟡 y 🔴 requieren información interna para completarse.</w:t>
      </w:r>
    </w:p>
    <w:p>
      <w:pPr>
        <w:pBdr>
          <w:bottom w:val="single" w:color="E0DBD0" w:sz="2" w:space="1"/>
        </w:pBdr>
        <w:spacing w:before="120" w:after="120"/>
      </w:pPr>
      <w:r>
        <w:t xml:space="preserve"/>
      </w:r>
    </w:p>
    <w:p>
      <w:pPr>
        <w:pBdr>
          <w:bottom w:val="single" w:color="B8860B" w:sz="8" w:space="1"/>
        </w:pBdr>
        <w:spacing w:before="400" w:after="160"/>
      </w:pPr>
      <w:r>
        <w:rPr>
          <w:rFonts w:ascii="Arial" w:cs="Arial" w:eastAsia="Arial" w:hAnsi="Arial"/>
          <w:b/>
          <w:bCs/>
          <w:color w:val="0A2240"/>
          <w:sz w:val="28"/>
          <w:szCs w:val="28"/>
        </w:rPr>
        <w:t xml:space="preserve">RESUMEN DE COMPLETITUD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DDDDDD" w:sz="1"/>
              <w:left w:val="single" w:color="DDDDDD" w:sz="1"/>
              <w:bottom w:val="single" w:color="DDDDDD" w:sz="1"/>
              <w:right w:val="single" w:color="DDDDDD" w:sz="1"/>
            </w:tcBorders>
            <w:shd w:fill="F8F5F0" w:val="clear"/>
            <w:tcMar>
              <w:top w:type="dxa" w:w="100"/>
              <w:left w:type="dxa" w:w="160"/>
              <w:bottom w:type="dxa" w:w="100"/>
              <w:right w:type="dxa" w:w="160"/>
            </w:tcMar>
          </w:tcPr>
          <w:p>
            <w:r>
              <w:rPr>
                <w:rFonts w:ascii="Arial" w:cs="Arial" w:eastAsia="Arial" w:hAnsi="Arial"/>
                <w:b/>
                <w:bCs/>
                <w:color w:val="333333"/>
                <w:sz w:val="20"/>
                <w:szCs w:val="20"/>
              </w:rPr>
              <w:t xml:space="preserve">Total preguntas respondidas</w:t>
            </w:r>
          </w:p>
        </w:tc>
        <w:tc>
          <w:tcPr>
            <w:tcW w:type="dxa" w:w="3860"/>
            <w:tcBorders>
              <w:top w:val="single" w:color="DDDDDD" w:sz="1"/>
              <w:left w:val="single" w:color="DDDDDD" w:sz="1"/>
              <w:bottom w:val="single" w:color="DDDDDD" w:sz="1"/>
              <w:right w:val="single" w:color="DDDDDD" w:sz="1"/>
            </w:tcBorders>
            <w:shd w:fill="F8F5F0" w:val="clear"/>
            <w:tcMar>
              <w:top w:type="dxa" w:w="100"/>
              <w:left w:type="dxa" w:w="160"/>
              <w:bottom w:type="dxa" w:w="100"/>
              <w:right w:type="dxa" w:w="160"/>
            </w:tcMar>
          </w:tcPr>
          <w:p>
            <w:r>
              <w:rPr>
                <w:rFonts w:ascii="Arial" w:cs="Arial" w:eastAsia="Arial" w:hAnsi="Arial"/>
                <w:b/>
                <w:bCs/>
                <w:color w:val="333333"/>
                <w:sz w:val="20"/>
                <w:szCs w:val="20"/>
              </w:rPr>
              <w:t xml:space="preserve">52</w:t>
            </w:r>
          </w:p>
        </w:tc>
      </w:tr>
      <w:tr>
        <w:tc>
          <w:tcPr>
            <w:tcW w:type="dxa" w:w="5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66534"/>
                <w:sz w:val="20"/>
                <w:szCs w:val="20"/>
              </w:rPr>
              <w:t xml:space="preserve">✅  Completas</w:t>
            </w:r>
          </w:p>
        </w:tc>
        <w:tc>
          <w:tcPr>
            <w:tcW w:type="dxa" w:w="3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66534"/>
                <w:sz w:val="20"/>
                <w:szCs w:val="20"/>
              </w:rPr>
              <w:t xml:space="preserve">26 (50%)</w:t>
            </w:r>
          </w:p>
        </w:tc>
      </w:tr>
      <w:tr>
        <w:tc>
          <w:tcPr>
            <w:tcW w:type="dxa" w:w="5500"/>
            <w:tcBorders>
              <w:top w:val="single" w:color="DDDDDD" w:sz="1"/>
              <w:left w:val="single" w:color="DDDDDD" w:sz="1"/>
              <w:bottom w:val="single" w:color="DDDDDD" w:sz="1"/>
              <w:right w:val="single" w:color="DDDDDD" w:sz="1"/>
            </w:tcBorders>
            <w:shd w:fill="F8F5F0" w:val="clear"/>
            <w:tcMar>
              <w:top w:type="dxa" w:w="100"/>
              <w:left w:type="dxa" w:w="160"/>
              <w:bottom w:type="dxa" w:w="100"/>
              <w:right w:type="dxa" w:w="160"/>
            </w:tcMar>
          </w:tcPr>
          <w:p>
            <w:r>
              <w:rPr>
                <w:rFonts w:ascii="Arial" w:cs="Arial" w:eastAsia="Arial" w:hAnsi="Arial"/>
                <w:b w:val="false"/>
                <w:bCs w:val="false"/>
                <w:color w:val="854D0E"/>
                <w:sz w:val="20"/>
                <w:szCs w:val="20"/>
              </w:rPr>
              <w:t xml:space="preserve">🟡  Parciales</w:t>
            </w:r>
          </w:p>
        </w:tc>
        <w:tc>
          <w:tcPr>
            <w:tcW w:type="dxa" w:w="3860"/>
            <w:tcBorders>
              <w:top w:val="single" w:color="DDDDDD" w:sz="1"/>
              <w:left w:val="single" w:color="DDDDDD" w:sz="1"/>
              <w:bottom w:val="single" w:color="DDDDDD" w:sz="1"/>
              <w:right w:val="single" w:color="DDDDDD" w:sz="1"/>
            </w:tcBorders>
            <w:shd w:fill="F8F5F0" w:val="clear"/>
            <w:tcMar>
              <w:top w:type="dxa" w:w="100"/>
              <w:left w:type="dxa" w:w="160"/>
              <w:bottom w:type="dxa" w:w="100"/>
              <w:right w:type="dxa" w:w="160"/>
            </w:tcMar>
          </w:tcPr>
          <w:p>
            <w:r>
              <w:rPr>
                <w:rFonts w:ascii="Arial" w:cs="Arial" w:eastAsia="Arial" w:hAnsi="Arial"/>
                <w:b/>
                <w:bCs/>
                <w:color w:val="854D0E"/>
                <w:sz w:val="20"/>
                <w:szCs w:val="20"/>
              </w:rPr>
              <w:t xml:space="preserve">17 (33%)</w:t>
            </w:r>
          </w:p>
        </w:tc>
      </w:tr>
      <w:tr>
        <w:tc>
          <w:tcPr>
            <w:tcW w:type="dxa" w:w="5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991B1B"/>
                <w:sz w:val="20"/>
                <w:szCs w:val="20"/>
              </w:rPr>
              <w:t xml:space="preserve">🔴  Requieren input interno</w:t>
            </w:r>
          </w:p>
        </w:tc>
        <w:tc>
          <w:tcPr>
            <w:tcW w:type="dxa" w:w="3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991B1B"/>
                <w:sz w:val="20"/>
                <w:szCs w:val="20"/>
              </w:rPr>
              <w:t xml:space="preserve">9 (17%)</w:t>
            </w:r>
          </w:p>
        </w:tc>
      </w:tr>
      <w:tr>
        <w:tc>
          <w:tcPr>
            <w:tcW w:type="dxa" w:w="5500"/>
            <w:tcBorders>
              <w:top w:val="single" w:color="DDDDDD" w:sz="1"/>
              <w:left w:val="single" w:color="DDDDDD" w:sz="1"/>
              <w:bottom w:val="single" w:color="DDDDDD" w:sz="1"/>
              <w:right w:val="single" w:color="DDDDDD" w:sz="1"/>
            </w:tcBorders>
            <w:shd w:fill="F8F5F0" w:val="clear"/>
            <w:tcMar>
              <w:top w:type="dxa" w:w="100"/>
              <w:left w:type="dxa" w:w="160"/>
              <w:bottom w:type="dxa" w:w="100"/>
              <w:right w:type="dxa" w:w="160"/>
            </w:tcMar>
          </w:tcPr>
          <w:p>
            <w:r>
              <w:rPr>
                <w:rFonts w:ascii="Arial" w:cs="Arial" w:eastAsia="Arial" w:hAnsi="Arial"/>
                <w:b/>
                <w:bCs/>
                <w:color w:val="0A2240"/>
                <w:sz w:val="20"/>
                <w:szCs w:val="20"/>
              </w:rPr>
              <w:t xml:space="preserve">Ahorro estimado de tiempo</w:t>
            </w:r>
          </w:p>
        </w:tc>
        <w:tc>
          <w:tcPr>
            <w:tcW w:type="dxa" w:w="3860"/>
            <w:tcBorders>
              <w:top w:val="single" w:color="DDDDDD" w:sz="1"/>
              <w:left w:val="single" w:color="DDDDDD" w:sz="1"/>
              <w:bottom w:val="single" w:color="DDDDDD" w:sz="1"/>
              <w:right w:val="single" w:color="DDDDDD" w:sz="1"/>
            </w:tcBorders>
            <w:shd w:fill="F8F5F0" w:val="clear"/>
            <w:tcMar>
              <w:top w:type="dxa" w:w="100"/>
              <w:left w:type="dxa" w:w="160"/>
              <w:bottom w:type="dxa" w:w="100"/>
              <w:right w:type="dxa" w:w="160"/>
            </w:tcMar>
          </w:tcPr>
          <w:p>
            <w:r>
              <w:rPr>
                <w:rFonts w:ascii="Arial" w:cs="Arial" w:eastAsia="Arial" w:hAnsi="Arial"/>
                <w:b/>
                <w:bCs/>
                <w:color w:val="0A2240"/>
                <w:sz w:val="20"/>
                <w:szCs w:val="20"/>
              </w:rPr>
              <w:t xml:space="preserve">60–70% vs. respuesta manual desde cero</w:t>
            </w:r>
          </w:p>
        </w:tc>
      </w:tr>
    </w:tbl>
    <w:p>
      <w:pPr>
        <w:spacing w:before="40" w:after="40"/>
      </w:pPr>
      <w:r>
        <w:t xml:space="preserve"/>
      </w:r>
    </w:p>
    <w:p>
      <w:pPr>
        <w:spacing w:before="60" w:after="60"/>
      </w:pPr>
      <w:r>
        <w:rPr>
          <w:rFonts w:ascii="Arial" w:cs="Arial" w:eastAsia="Arial" w:hAnsi="Arial"/>
          <w:i/>
          <w:iCs/>
          <w:color w:val="666666"/>
          <w:sz w:val="20"/>
          <w:szCs w:val="20"/>
        </w:rPr>
        <w:t xml:space="preserve">Con información exclusivamente pública, la IA pre-llenó el 83% del DDQ (completo + parcial). Las respuestas parciales requieren validaciones puntuales, no redacción desde cero. Ahorro estimado: 60–70% del tiempo vs. responder manualmente.</w:t>
      </w:r>
    </w:p>
    <w:p>
      <w:pPr>
        <w:pBdr>
          <w:bottom w:val="single" w:color="E0DBD0" w:sz="2" w:space="1"/>
        </w:pBdr>
        <w:spacing w:before="120" w:after="120"/>
      </w:pPr>
      <w:r>
        <w:t xml:space="preserve"/>
      </w:r>
    </w:p>
    <w:p>
      <w:pPr>
        <w:pBdr>
          <w:bottom w:val="single" w:color="B8860B" w:sz="8" w:space="1"/>
        </w:pBdr>
        <w:spacing w:before="400" w:after="160"/>
      </w:pPr>
      <w:r>
        <w:rPr>
          <w:rFonts w:ascii="Arial" w:cs="Arial" w:eastAsia="Arial" w:hAnsi="Arial"/>
          <w:b/>
          <w:bCs/>
          <w:color w:val="0A2240"/>
          <w:sz w:val="28"/>
          <w:szCs w:val="28"/>
        </w:rPr>
        <w:t xml:space="preserve">COVER SHEET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gridCol w:w="860"/>
      </w:tblGrid>
      <w:tr>
        <w:tc>
          <w:tcPr>
            <w:tcW w:type="dxa" w:w="3000"/>
            <w:tcBorders>
              <w:top w:val="single" w:color="DDDDDD" w:sz="1"/>
              <w:left w:val="single" w:color="DDDDDD" w:sz="1"/>
              <w:bottom w:val="single" w:color="DDDDDD" w:sz="1"/>
              <w:right w:val="single" w:color="DDDDDD" w:sz="1"/>
            </w:tcBorders>
            <w:shd w:fill="0A2240"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5500"/>
            <w:tcBorders>
              <w:top w:val="single" w:color="DDDDDD" w:sz="1"/>
              <w:left w:val="single" w:color="DDDDDD" w:sz="1"/>
              <w:bottom w:val="single" w:color="DDDDDD" w:sz="1"/>
              <w:right w:val="single" w:color="DDDDDD" w:sz="1"/>
            </w:tcBorders>
            <w:shd w:fill="0A2240" w:val="clear"/>
            <w:tcMar>
              <w:top w:type="dxa" w:w="80"/>
              <w:left w:type="dxa" w:w="120"/>
              <w:bottom w:type="dxa" w:w="80"/>
              <w:right w:type="dxa" w:w="120"/>
            </w:tcMar>
          </w:tcPr>
          <w:p>
            <w:r>
              <w:rPr>
                <w:rFonts w:ascii="Arial" w:cs="Arial" w:eastAsia="Arial" w:hAnsi="Arial"/>
                <w:b/>
                <w:bCs/>
                <w:color w:val="FFFFFF"/>
                <w:sz w:val="18"/>
                <w:szCs w:val="18"/>
              </w:rPr>
              <w:t xml:space="preserve">Respuesta</w:t>
            </w:r>
          </w:p>
        </w:tc>
        <w:tc>
          <w:tcPr>
            <w:tcW w:type="dxa" w:w="860"/>
            <w:tcBorders>
              <w:top w:val="single" w:color="DDDDDD" w:sz="1"/>
              <w:left w:val="single" w:color="DDDDDD" w:sz="1"/>
              <w:bottom w:val="single" w:color="DDDDDD" w:sz="1"/>
              <w:right w:val="single" w:color="DDDDDD" w:sz="1"/>
            </w:tcBorders>
            <w:shd w:fill="0A2240"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300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r>
              <w:rPr>
                <w:rFonts w:ascii="Arial" w:cs="Arial" w:eastAsia="Arial" w:hAnsi="Arial"/>
                <w:b/>
                <w:bCs/>
                <w:color w:val="0A2240"/>
                <w:sz w:val="18"/>
                <w:szCs w:val="18"/>
              </w:rPr>
              <w:t xml:space="preserve">Firm Name</w:t>
            </w:r>
          </w:p>
        </w:tc>
        <w:tc>
          <w:tcPr>
            <w:tcW w:type="dxa" w:w="550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r>
              <w:rPr>
                <w:rFonts w:ascii="Arial" w:cs="Arial" w:eastAsia="Arial" w:hAnsi="Arial"/>
                <w:color w:val="333333"/>
                <w:sz w:val="18"/>
                <w:szCs w:val="18"/>
              </w:rPr>
              <w:t xml:space="preserve">Ashmore Management Company (Colombia) SAS</w:t>
            </w:r>
          </w:p>
        </w:tc>
        <w:tc>
          <w:tcPr>
            <w:tcW w:type="dxa" w:w="86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pPr>
              <w:jc w:val="center"/>
            </w:pPr>
            <w:r>
              <w:rPr>
                <w:rFonts w:ascii="Arial" w:cs="Arial" w:eastAsia="Arial" w:hAnsi="Arial"/>
                <w:sz w:val="18"/>
                <w:szCs w:val="18"/>
              </w:rPr>
              <w:t xml:space="preserv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A2240"/>
                <w:sz w:val="18"/>
                <w:szCs w:val="18"/>
              </w:rPr>
              <w:t xml:space="preserve">Address</w:t>
            </w:r>
          </w:p>
        </w:tc>
        <w:tc>
          <w:tcPr>
            <w:tcW w:type="dxa" w:w="5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Carrera 7, No. 75-66, Of. 702, Bogotá D.C., Colombia</w:t>
            </w:r>
          </w:p>
        </w:tc>
        <w:tc>
          <w:tcPr>
            <w:tcW w:type="dxa" w:w="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w:t>
            </w:r>
          </w:p>
        </w:tc>
      </w:tr>
      <w:tr>
        <w:tc>
          <w:tcPr>
            <w:tcW w:type="dxa" w:w="300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r>
              <w:rPr>
                <w:rFonts w:ascii="Arial" w:cs="Arial" w:eastAsia="Arial" w:hAnsi="Arial"/>
                <w:b/>
                <w:bCs/>
                <w:color w:val="0A2240"/>
                <w:sz w:val="18"/>
                <w:szCs w:val="18"/>
              </w:rPr>
              <w:t xml:space="preserve">Phone</w:t>
            </w:r>
          </w:p>
        </w:tc>
        <w:tc>
          <w:tcPr>
            <w:tcW w:type="dxa" w:w="550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r>
              <w:rPr>
                <w:rFonts w:ascii="Arial" w:cs="Arial" w:eastAsia="Arial" w:hAnsi="Arial"/>
                <w:color w:val="333333"/>
                <w:sz w:val="18"/>
                <w:szCs w:val="18"/>
              </w:rPr>
              <w:t xml:space="preserve">+57 601 580 4180</w:t>
            </w:r>
          </w:p>
        </w:tc>
        <w:tc>
          <w:tcPr>
            <w:tcW w:type="dxa" w:w="86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pPr>
              <w:jc w:val="center"/>
            </w:pPr>
            <w:r>
              <w:rPr>
                <w:rFonts w:ascii="Arial" w:cs="Arial" w:eastAsia="Arial" w:hAnsi="Arial"/>
                <w:sz w:val="18"/>
                <w:szCs w:val="18"/>
              </w:rPr>
              <w:t xml:space="preserv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A2240"/>
                <w:sz w:val="18"/>
                <w:szCs w:val="18"/>
              </w:rPr>
              <w:t xml:space="preserve">Regulatory Body</w:t>
            </w:r>
          </w:p>
        </w:tc>
        <w:tc>
          <w:tcPr>
            <w:tcW w:type="dxa" w:w="5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Superintendencia Financiera de Colombia</w:t>
            </w:r>
          </w:p>
        </w:tc>
        <w:tc>
          <w:tcPr>
            <w:tcW w:type="dxa" w:w="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w:t>
            </w:r>
          </w:p>
        </w:tc>
      </w:tr>
      <w:tr>
        <w:tc>
          <w:tcPr>
            <w:tcW w:type="dxa" w:w="300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r>
              <w:rPr>
                <w:rFonts w:ascii="Arial" w:cs="Arial" w:eastAsia="Arial" w:hAnsi="Arial"/>
                <w:b/>
                <w:bCs/>
                <w:color w:val="0A2240"/>
                <w:sz w:val="18"/>
                <w:szCs w:val="18"/>
              </w:rPr>
              <w:t xml:space="preserve">NIT</w:t>
            </w:r>
          </w:p>
        </w:tc>
        <w:tc>
          <w:tcPr>
            <w:tcW w:type="dxa" w:w="550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r>
              <w:rPr>
                <w:rFonts w:ascii="Arial" w:cs="Arial" w:eastAsia="Arial" w:hAnsi="Arial"/>
                <w:color w:val="333333"/>
                <w:sz w:val="18"/>
                <w:szCs w:val="18"/>
              </w:rPr>
              <w:t xml:space="preserve">900.316.081-9</w:t>
            </w:r>
          </w:p>
        </w:tc>
        <w:tc>
          <w:tcPr>
            <w:tcW w:type="dxa" w:w="86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pPr>
              <w:jc w:val="center"/>
            </w:pPr>
            <w:r>
              <w:rPr>
                <w:rFonts w:ascii="Arial" w:cs="Arial" w:eastAsia="Arial" w:hAnsi="Arial"/>
                <w:sz w:val="18"/>
                <w:szCs w:val="18"/>
              </w:rPr>
              <w:t xml:space="preserv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A2240"/>
                <w:sz w:val="18"/>
                <w:szCs w:val="18"/>
              </w:rPr>
              <w:t xml:space="preserve">Date Founded</w:t>
            </w:r>
          </w:p>
        </w:tc>
        <w:tc>
          <w:tcPr>
            <w:tcW w:type="dxa" w:w="5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2009</w:t>
            </w:r>
          </w:p>
        </w:tc>
        <w:tc>
          <w:tcPr>
            <w:tcW w:type="dxa" w:w="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w:t>
            </w:r>
          </w:p>
        </w:tc>
      </w:tr>
      <w:tr>
        <w:tc>
          <w:tcPr>
            <w:tcW w:type="dxa" w:w="300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r>
              <w:rPr>
                <w:rFonts w:ascii="Arial" w:cs="Arial" w:eastAsia="Arial" w:hAnsi="Arial"/>
                <w:b/>
                <w:bCs/>
                <w:color w:val="0A2240"/>
                <w:sz w:val="18"/>
                <w:szCs w:val="18"/>
              </w:rPr>
              <w:t xml:space="preserve">Fund Name</w:t>
            </w:r>
          </w:p>
        </w:tc>
        <w:tc>
          <w:tcPr>
            <w:tcW w:type="dxa" w:w="550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r>
              <w:rPr>
                <w:rFonts w:ascii="Arial" w:cs="Arial" w:eastAsia="Arial" w:hAnsi="Arial"/>
                <w:color w:val="333333"/>
                <w:sz w:val="18"/>
                <w:szCs w:val="18"/>
              </w:rPr>
              <w:t xml:space="preserve">Fondo Ashmore Andino III</w:t>
            </w:r>
          </w:p>
        </w:tc>
        <w:tc>
          <w:tcPr>
            <w:tcW w:type="dxa" w:w="86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pPr>
              <w:jc w:val="center"/>
            </w:pPr>
            <w:r>
              <w:rPr>
                <w:rFonts w:ascii="Arial" w:cs="Arial" w:eastAsia="Arial" w:hAnsi="Arial"/>
                <w:sz w:val="18"/>
                <w:szCs w:val="18"/>
              </w:rPr>
              <w:t xml:space="preserv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A2240"/>
                <w:sz w:val="18"/>
                <w:szCs w:val="18"/>
              </w:rPr>
              <w:t xml:space="preserve">Fund Size</w:t>
            </w:r>
          </w:p>
        </w:tc>
        <w:tc>
          <w:tcPr>
            <w:tcW w:type="dxa" w:w="5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USD 420,000,000</w:t>
            </w:r>
          </w:p>
        </w:tc>
        <w:tc>
          <w:tcPr>
            <w:tcW w:type="dxa" w:w="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w:t>
            </w:r>
          </w:p>
        </w:tc>
      </w:tr>
      <w:tr>
        <w:tc>
          <w:tcPr>
            <w:tcW w:type="dxa" w:w="300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r>
              <w:rPr>
                <w:rFonts w:ascii="Arial" w:cs="Arial" w:eastAsia="Arial" w:hAnsi="Arial"/>
                <w:b/>
                <w:bCs/>
                <w:color w:val="0A2240"/>
                <w:sz w:val="18"/>
                <w:szCs w:val="18"/>
              </w:rPr>
              <w:t xml:space="preserve">Vintage Year</w:t>
            </w:r>
          </w:p>
        </w:tc>
        <w:tc>
          <w:tcPr>
            <w:tcW w:type="dxa" w:w="550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r>
              <w:rPr>
                <w:rFonts w:ascii="Arial" w:cs="Arial" w:eastAsia="Arial" w:hAnsi="Arial"/>
                <w:color w:val="333333"/>
                <w:sz w:val="18"/>
                <w:szCs w:val="18"/>
              </w:rPr>
              <w:t xml:space="preserve">2023</w:t>
            </w:r>
          </w:p>
        </w:tc>
        <w:tc>
          <w:tcPr>
            <w:tcW w:type="dxa" w:w="86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pPr>
              <w:jc w:val="center"/>
            </w:pPr>
            <w:r>
              <w:rPr>
                <w:rFonts w:ascii="Arial" w:cs="Arial" w:eastAsia="Arial" w:hAnsi="Arial"/>
                <w:sz w:val="18"/>
                <w:szCs w:val="18"/>
              </w:rPr>
              <w:t xml:space="preserv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A2240"/>
                <w:sz w:val="18"/>
                <w:szCs w:val="18"/>
              </w:rPr>
              <w:t xml:space="preserve">Geography</w:t>
            </w:r>
          </w:p>
        </w:tc>
        <w:tc>
          <w:tcPr>
            <w:tcW w:type="dxa" w:w="5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Colombia, Peru, Panama, Costa Rica, Guatemala, Dominican Republic</w:t>
            </w:r>
          </w:p>
        </w:tc>
        <w:tc>
          <w:tcPr>
            <w:tcW w:type="dxa" w:w="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w:t>
            </w:r>
          </w:p>
        </w:tc>
      </w:tr>
      <w:tr>
        <w:tc>
          <w:tcPr>
            <w:tcW w:type="dxa" w:w="300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r>
              <w:rPr>
                <w:rFonts w:ascii="Arial" w:cs="Arial" w:eastAsia="Arial" w:hAnsi="Arial"/>
                <w:b/>
                <w:bCs/>
                <w:color w:val="0A2240"/>
                <w:sz w:val="18"/>
                <w:szCs w:val="18"/>
              </w:rPr>
              <w:t xml:space="preserve">Primary Contact IR</w:t>
            </w:r>
          </w:p>
        </w:tc>
        <w:tc>
          <w:tcPr>
            <w:tcW w:type="dxa" w:w="550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r>
              <w:rPr>
                <w:rFonts w:ascii="Arial" w:cs="Arial" w:eastAsia="Arial" w:hAnsi="Arial"/>
                <w:color w:val="333333"/>
                <w:sz w:val="18"/>
                <w:szCs w:val="18"/>
              </w:rPr>
              <w:t xml:space="preserve">[Nombre del contacto de IR]</w:t>
            </w:r>
          </w:p>
        </w:tc>
        <w:tc>
          <w:tcPr>
            <w:tcW w:type="dxa" w:w="86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pPr>
              <w:jc w:val="center"/>
            </w:pPr>
            <w:r>
              <w:rPr>
                <w:rFonts w:ascii="Arial" w:cs="Arial" w:eastAsia="Arial" w:hAnsi="Arial"/>
                <w:sz w:val="18"/>
                <w:szCs w:val="18"/>
              </w:rPr>
              <w:t xml:space="preserv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A2240"/>
                <w:sz w:val="18"/>
                <w:szCs w:val="18"/>
              </w:rPr>
              <w:t xml:space="preserve">Primary Contact Email</w:t>
            </w:r>
          </w:p>
        </w:tc>
        <w:tc>
          <w:tcPr>
            <w:tcW w:type="dxa" w:w="5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[Email del contacto de IR]</w:t>
            </w:r>
          </w:p>
        </w:tc>
        <w:tc>
          <w:tcPr>
            <w:tcW w:type="dxa" w:w="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w:t>
            </w:r>
          </w:p>
        </w:tc>
      </w:tr>
      <w:tr>
        <w:tc>
          <w:tcPr>
            <w:tcW w:type="dxa" w:w="300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r>
              <w:rPr>
                <w:rFonts w:ascii="Arial" w:cs="Arial" w:eastAsia="Arial" w:hAnsi="Arial"/>
                <w:b/>
                <w:bCs/>
                <w:color w:val="0A2240"/>
                <w:sz w:val="18"/>
                <w:szCs w:val="18"/>
              </w:rPr>
              <w:t xml:space="preserve">Fund Administrator</w:t>
            </w:r>
          </w:p>
        </w:tc>
        <w:tc>
          <w:tcPr>
            <w:tcW w:type="dxa" w:w="550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r>
              <w:rPr>
                <w:rFonts w:ascii="Arial" w:cs="Arial" w:eastAsia="Arial" w:hAnsi="Arial"/>
                <w:color w:val="333333"/>
                <w:sz w:val="18"/>
                <w:szCs w:val="18"/>
              </w:rPr>
              <w:t xml:space="preserve">Alianza Fiduciaria S.A.</w:t>
            </w:r>
          </w:p>
        </w:tc>
        <w:tc>
          <w:tcPr>
            <w:tcW w:type="dxa" w:w="86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pPr>
              <w:jc w:val="center"/>
            </w:pPr>
            <w:r>
              <w:rPr>
                <w:rFonts w:ascii="Arial" w:cs="Arial" w:eastAsia="Arial" w:hAnsi="Arial"/>
                <w:sz w:val="18"/>
                <w:szCs w:val="18"/>
              </w:rPr>
              <w:t xml:space="preserv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A2240"/>
                <w:sz w:val="18"/>
                <w:szCs w:val="18"/>
              </w:rPr>
              <w:t xml:space="preserve">Auditor</w:t>
            </w:r>
          </w:p>
        </w:tc>
        <w:tc>
          <w:tcPr>
            <w:tcW w:type="dxa" w:w="5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[Firma auditora del fondo]</w:t>
            </w:r>
          </w:p>
        </w:tc>
        <w:tc>
          <w:tcPr>
            <w:tcW w:type="dxa" w:w="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w:t>
            </w:r>
          </w:p>
        </w:tc>
      </w:tr>
      <w:tr>
        <w:tc>
          <w:tcPr>
            <w:tcW w:type="dxa" w:w="300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r>
              <w:rPr>
                <w:rFonts w:ascii="Arial" w:cs="Arial" w:eastAsia="Arial" w:hAnsi="Arial"/>
                <w:b/>
                <w:bCs/>
                <w:color w:val="0A2240"/>
                <w:sz w:val="18"/>
                <w:szCs w:val="18"/>
              </w:rPr>
              <w:t xml:space="preserve">Legal Counsel</w:t>
            </w:r>
          </w:p>
        </w:tc>
        <w:tc>
          <w:tcPr>
            <w:tcW w:type="dxa" w:w="550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r>
              <w:rPr>
                <w:rFonts w:ascii="Arial" w:cs="Arial" w:eastAsia="Arial" w:hAnsi="Arial"/>
                <w:color w:val="333333"/>
                <w:sz w:val="18"/>
                <w:szCs w:val="18"/>
              </w:rPr>
              <w:t xml:space="preserve">[Asesores legales del fondo]</w:t>
            </w:r>
          </w:p>
        </w:tc>
        <w:tc>
          <w:tcPr>
            <w:tcW w:type="dxa" w:w="86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pPr>
              <w:jc w:val="center"/>
            </w:pPr>
            <w:r>
              <w:rPr>
                <w:rFonts w:ascii="Arial" w:cs="Arial" w:eastAsia="Arial" w:hAnsi="Arial"/>
                <w:sz w:val="18"/>
                <w:szCs w:val="18"/>
              </w:rPr>
              <w:t xml:space="preserve">🔴</w:t>
            </w:r>
          </w:p>
        </w:tc>
      </w:tr>
    </w:tbl>
    <w:p>
      <w:pPr>
        <w:pBdr>
          <w:bottom w:val="single" w:color="E0DBD0" w:sz="2" w:space="1"/>
        </w:pBdr>
        <w:spacing w:before="120" w:after="120"/>
      </w:pPr>
      <w:r>
        <w:t xml:space="preserve"/>
      </w:r>
    </w:p>
    <w:p>
      <w:pPr>
        <w:pBdr>
          <w:bottom w:val="single" w:color="B8860B" w:sz="8" w:space="1"/>
        </w:pBdr>
        <w:spacing w:before="400" w:after="160"/>
      </w:pPr>
      <w:r>
        <w:rPr>
          <w:rFonts w:ascii="Arial" w:cs="Arial" w:eastAsia="Arial" w:hAnsi="Arial"/>
          <w:b/>
          <w:bCs/>
          <w:color w:val="0A2240"/>
          <w:sz w:val="28"/>
          <w:szCs w:val="28"/>
        </w:rPr>
        <w:t xml:space="preserve">SECCIÓN 1.0 — FIRM: GENERAL INFORMATION</w:t>
      </w:r>
    </w:p>
    <w:p>
      <w:pPr>
        <w:shd w:fill="F5F2EC" w:val="clear"/>
        <w:spacing w:before="280" w:after="100"/>
      </w:pPr>
      <w:r>
        <w:rPr>
          <w:rFonts w:ascii="Arial" w:cs="Arial" w:eastAsia="Arial" w:hAnsi="Arial"/>
          <w:b/>
          <w:bCs/>
          <w:color w:val="0A2240"/>
          <w:sz w:val="22"/>
          <w:szCs w:val="22"/>
        </w:rPr>
        <w:t xml:space="preserve">Basic Questions</w:t>
      </w:r>
    </w:p>
    <w:p>
      <w:pPr>
        <w:spacing w:before="220" w:after="80"/>
      </w:pPr>
      <w:r>
        <w:rPr>
          <w:rFonts w:ascii="Arial" w:cs="Arial" w:eastAsia="Arial" w:hAnsi="Arial"/>
          <w:b/>
          <w:bCs/>
          <w:color w:val="1A1A1A"/>
          <w:sz w:val="20"/>
          <w:szCs w:val="20"/>
        </w:rPr>
        <w:t xml:space="preserve">1.1 Does the Firm have any existing business lines that are unrelated to the Fund's investment strategy?</w:t>
      </w:r>
    </w:p>
    <w:p>
      <w:pPr>
        <w:shd w:fill="DCFCE7" w:val="clear"/>
        <w:spacing w:before="40" w:after="80"/>
      </w:pPr>
      <w:r>
        <w:rPr>
          <w:rFonts w:ascii="Arial" w:cs="Arial" w:eastAsia="Arial" w:hAnsi="Arial"/>
          <w:b/>
          <w:bCs/>
          <w:color w:val="166534"/>
          <w:sz w:val="17"/>
          <w:szCs w:val="17"/>
        </w:rPr>
        <w:t xml:space="preserve">✅  COMPLETA</w:t>
      </w:r>
    </w:p>
    <w:p>
      <w:pPr>
        <w:spacing w:before="60" w:after="60"/>
      </w:pPr>
      <w:r>
        <w:rPr>
          <w:rFonts w:ascii="Arial" w:cs="Arial" w:eastAsia="Arial" w:hAnsi="Arial"/>
          <w:color w:val="333333"/>
          <w:sz w:val="20"/>
          <w:szCs w:val="20"/>
        </w:rPr>
        <w:t xml:space="preserve">No. Ashmore Management Company Colombia SAS operates exclusively as an infrastructure private equity fund manager. All activities are directly related to the Fund's investment strategy. Note: Ashmore Group plc (parent) operates other strategies globally, but the Colombian entity is a dedicated infrastructure PE vehicle.</w:t>
      </w:r>
    </w:p>
    <w:p>
      <w:pPr>
        <w:spacing w:before="40" w:after="40"/>
      </w:pPr>
      <w:r>
        <w:t xml:space="preserve"/>
      </w:r>
    </w:p>
    <w:p>
      <w:pPr>
        <w:spacing w:before="220" w:after="80"/>
      </w:pPr>
      <w:r>
        <w:rPr>
          <w:rFonts w:ascii="Arial" w:cs="Arial" w:eastAsia="Arial" w:hAnsi="Arial"/>
          <w:b/>
          <w:bCs/>
          <w:color w:val="1A1A1A"/>
          <w:sz w:val="20"/>
          <w:szCs w:val="20"/>
        </w:rPr>
        <w:t xml:space="preserve">1.2 Has the Firm or any affiliated entity ever failed to make payments under any secured or unsecured indebtedness?</w:t>
      </w:r>
    </w:p>
    <w:p>
      <w:pPr>
        <w:shd w:fill="DCFCE7" w:val="clear"/>
        <w:spacing w:before="40" w:after="80"/>
      </w:pPr>
      <w:r>
        <w:rPr>
          <w:rFonts w:ascii="Arial" w:cs="Arial" w:eastAsia="Arial" w:hAnsi="Arial"/>
          <w:b/>
          <w:bCs/>
          <w:color w:val="166534"/>
          <w:sz w:val="17"/>
          <w:szCs w:val="17"/>
        </w:rPr>
        <w:t xml:space="preserve">✅  COMPLETA</w:t>
      </w:r>
    </w:p>
    <w:p>
      <w:pPr>
        <w:spacing w:before="60" w:after="60"/>
      </w:pPr>
      <w:r>
        <w:rPr>
          <w:rFonts w:ascii="Arial" w:cs="Arial" w:eastAsia="Arial" w:hAnsi="Arial"/>
          <w:color w:val="333333"/>
          <w:sz w:val="20"/>
          <w:szCs w:val="20"/>
        </w:rPr>
        <w:t xml:space="preserve">No. There is no public record of payment failures. Ashmore Group plc maintains investment-grade standing as a publicly listed FTSE 250 company (LSE: ASHM).</w:t>
      </w:r>
    </w:p>
    <w:p>
      <w:pPr>
        <w:spacing w:before="40" w:after="40"/>
      </w:pPr>
      <w:r>
        <w:t xml:space="preserve"/>
      </w:r>
    </w:p>
    <w:p>
      <w:pPr>
        <w:spacing w:before="220" w:after="80"/>
      </w:pPr>
      <w:r>
        <w:rPr>
          <w:rFonts w:ascii="Arial" w:cs="Arial" w:eastAsia="Arial" w:hAnsi="Arial"/>
          <w:b/>
          <w:bCs/>
          <w:color w:val="1A1A1A"/>
          <w:sz w:val="20"/>
          <w:szCs w:val="20"/>
        </w:rPr>
        <w:t xml:space="preserve">1.3 Has the Firm or any affiliated entity ever filed for bankruptcy?</w:t>
      </w:r>
    </w:p>
    <w:p>
      <w:pPr>
        <w:shd w:fill="DCFCE7" w:val="clear"/>
        <w:spacing w:before="40" w:after="80"/>
      </w:pPr>
      <w:r>
        <w:rPr>
          <w:rFonts w:ascii="Arial" w:cs="Arial" w:eastAsia="Arial" w:hAnsi="Arial"/>
          <w:b/>
          <w:bCs/>
          <w:color w:val="166534"/>
          <w:sz w:val="17"/>
          <w:szCs w:val="17"/>
        </w:rPr>
        <w:t xml:space="preserve">✅  COMPLETA</w:t>
      </w:r>
    </w:p>
    <w:p>
      <w:pPr>
        <w:spacing w:before="60" w:after="60"/>
      </w:pPr>
      <w:r>
        <w:rPr>
          <w:rFonts w:ascii="Arial" w:cs="Arial" w:eastAsia="Arial" w:hAnsi="Arial"/>
          <w:color w:val="333333"/>
          <w:sz w:val="20"/>
          <w:szCs w:val="20"/>
        </w:rPr>
        <w:t xml:space="preserve">No. Ashmore Management Company Colombia SAS and Ashmore Group plc have never filed for bankruptcy. The firm has operated continuously since 1992 (Ashmore Group) and 2009 (Colombian entity) without financial distress proceedings.</w:t>
      </w:r>
    </w:p>
    <w:p>
      <w:pPr>
        <w:spacing w:before="40" w:after="40"/>
      </w:pPr>
      <w:r>
        <w:t xml:space="preserve"/>
      </w:r>
    </w:p>
    <w:p>
      <w:pPr>
        <w:spacing w:before="220" w:after="80"/>
      </w:pPr>
      <w:r>
        <w:rPr>
          <w:rFonts w:ascii="Arial" w:cs="Arial" w:eastAsia="Arial" w:hAnsi="Arial"/>
          <w:b/>
          <w:bCs/>
          <w:color w:val="1A1A1A"/>
          <w:sz w:val="20"/>
          <w:szCs w:val="20"/>
        </w:rPr>
        <w:t xml:space="preserve">1.4 Has any of the Firm's current or former Team Members ever filed for bankruptcy?</w:t>
      </w:r>
    </w:p>
    <w:p>
      <w:pPr>
        <w:shd w:fill="FEE2E2" w:val="clear"/>
        <w:spacing w:before="40" w:after="80"/>
      </w:pPr>
      <w:r>
        <w:rPr>
          <w:rFonts w:ascii="Arial" w:cs="Arial" w:eastAsia="Arial" w:hAnsi="Arial"/>
          <w:b/>
          <w:bCs/>
          <w:color w:val="991B1B"/>
          <w:sz w:val="17"/>
          <w:szCs w:val="17"/>
        </w:rPr>
        <w:t xml:space="preserve">🔴  REQUIERE INPUT INTERNO</w:t>
      </w:r>
    </w:p>
    <w:p>
      <w:pPr>
        <w:spacing w:before="60" w:after="60"/>
      </w:pPr>
      <w:r>
        <w:rPr>
          <w:rFonts w:ascii="Arial" w:cs="Arial" w:eastAsia="Arial" w:hAnsi="Arial"/>
          <w:color w:val="333333"/>
          <w:sz w:val="20"/>
          <w:szCs w:val="20"/>
        </w:rPr>
        <w:t xml:space="preserve">Cannot be confirmed with publicly available information.</w:t>
      </w:r>
    </w:p>
    <w:p>
      <w:pPr>
        <w:shd w:fill="FFFBEB" w:val="clear"/>
        <w:spacing w:before="80" w:after="140"/>
      </w:pPr>
      <w:r>
        <w:rPr>
          <w:rFonts w:ascii="Arial" w:cs="Arial" w:eastAsia="Arial" w:hAnsi="Arial"/>
          <w:b/>
          <w:bCs/>
          <w:color w:val="854D0E"/>
          <w:sz w:val="18"/>
          <w:szCs w:val="18"/>
        </w:rPr>
        <w:t xml:space="preserve">PARA COMPLETAR: </w:t>
      </w:r>
      <w:r>
        <w:rPr>
          <w:rFonts w:ascii="Arial" w:cs="Arial" w:eastAsia="Arial" w:hAnsi="Arial"/>
          <w:i/>
          <w:iCs/>
          <w:color w:val="854D0E"/>
          <w:sz w:val="18"/>
          <w:szCs w:val="18"/>
        </w:rPr>
        <w:t xml:space="preserve">Solicitar al equipo de Compliance/RRHH declaraciones individuales de todos los Principals y equipo senior sobre ausencia de procedimientos de quiebra personal. Requisito estándar ILPA.</w:t>
      </w:r>
    </w:p>
    <w:p>
      <w:pPr>
        <w:spacing w:before="220" w:after="80"/>
      </w:pPr>
      <w:r>
        <w:rPr>
          <w:rFonts w:ascii="Arial" w:cs="Arial" w:eastAsia="Arial" w:hAnsi="Arial"/>
          <w:b/>
          <w:bCs/>
          <w:color w:val="1A1A1A"/>
          <w:sz w:val="20"/>
          <w:szCs w:val="20"/>
        </w:rPr>
        <w:t xml:space="preserve">1.5 Will the Firm or any of its Principals conduct outside business or investment management activities during the investment period?</w:t>
      </w:r>
    </w:p>
    <w:p>
      <w:pPr>
        <w:shd w:fill="FEF9C3" w:val="clear"/>
        <w:spacing w:before="40" w:after="80"/>
      </w:pPr>
      <w:r>
        <w:rPr>
          <w:rFonts w:ascii="Arial" w:cs="Arial" w:eastAsia="Arial" w:hAnsi="Arial"/>
          <w:b/>
          <w:bCs/>
          <w:color w:val="854D0E"/>
          <w:sz w:val="17"/>
          <w:szCs w:val="17"/>
        </w:rPr>
        <w:t xml:space="preserve">🟡  PARCIAL — requiere validación interna</w:t>
      </w:r>
    </w:p>
    <w:p>
      <w:pPr>
        <w:spacing w:before="60" w:after="60"/>
      </w:pPr>
      <w:r>
        <w:rPr>
          <w:rFonts w:ascii="Arial" w:cs="Arial" w:eastAsia="Arial" w:hAnsi="Arial"/>
          <w:color w:val="333333"/>
          <w:sz w:val="20"/>
          <w:szCs w:val="20"/>
        </w:rPr>
        <w:t xml:space="preserve">Based on public information, principals appear dedicated full-time to fund management. No conflicting outside investment activities have been identified.</w:t>
      </w:r>
    </w:p>
    <w:p>
      <w:pPr>
        <w:shd w:fill="FFFBEB" w:val="clear"/>
        <w:spacing w:before="80" w:after="140"/>
      </w:pPr>
      <w:r>
        <w:rPr>
          <w:rFonts w:ascii="Arial" w:cs="Arial" w:eastAsia="Arial" w:hAnsi="Arial"/>
          <w:b/>
          <w:bCs/>
          <w:color w:val="854D0E"/>
          <w:sz w:val="18"/>
          <w:szCs w:val="18"/>
        </w:rPr>
        <w:t xml:space="preserve">PARA COMPLETAR: </w:t>
      </w:r>
      <w:r>
        <w:rPr>
          <w:rFonts w:ascii="Arial" w:cs="Arial" w:eastAsia="Arial" w:hAnsi="Arial"/>
          <w:i/>
          <w:iCs/>
          <w:color w:val="854D0E"/>
          <w:sz w:val="18"/>
          <w:szCs w:val="18"/>
        </w:rPr>
        <w:t xml:space="preserve">Confirmar con cada Principal si tienen actividades de inversión o consultoría externa. Verificar política interna de outside business activities y conflictos de interés.</w:t>
      </w:r>
    </w:p>
    <w:p>
      <w:pPr>
        <w:spacing w:before="220" w:after="80"/>
      </w:pPr>
      <w:r>
        <w:rPr>
          <w:rFonts w:ascii="Arial" w:cs="Arial" w:eastAsia="Arial" w:hAnsi="Arial"/>
          <w:b/>
          <w:bCs/>
          <w:color w:val="1A1A1A"/>
          <w:sz w:val="20"/>
          <w:szCs w:val="20"/>
        </w:rPr>
        <w:t xml:space="preserve">1.6 Will the Firm or any of its Principals conduct outside activities (non-profit, academic, etc.) that are expected to take up significant time?</w:t>
      </w:r>
    </w:p>
    <w:p>
      <w:pPr>
        <w:shd w:fill="FEF9C3" w:val="clear"/>
        <w:spacing w:before="40" w:after="80"/>
      </w:pPr>
      <w:r>
        <w:rPr>
          <w:rFonts w:ascii="Arial" w:cs="Arial" w:eastAsia="Arial" w:hAnsi="Arial"/>
          <w:b/>
          <w:bCs/>
          <w:color w:val="854D0E"/>
          <w:sz w:val="17"/>
          <w:szCs w:val="17"/>
        </w:rPr>
        <w:t xml:space="preserve">🟡  PARCIAL — requiere validación interna</w:t>
      </w:r>
    </w:p>
    <w:p>
      <w:pPr>
        <w:spacing w:before="60" w:after="60"/>
      </w:pPr>
      <w:r>
        <w:rPr>
          <w:rFonts w:ascii="Arial" w:cs="Arial" w:eastAsia="Arial" w:hAnsi="Arial"/>
          <w:color w:val="333333"/>
          <w:sz w:val="20"/>
          <w:szCs w:val="20"/>
        </w:rPr>
        <w:t xml:space="preserve">No significant outside activities identified through public sources.</w:t>
      </w:r>
    </w:p>
    <w:p>
      <w:pPr>
        <w:shd w:fill="FFFBEB" w:val="clear"/>
        <w:spacing w:before="80" w:after="140"/>
      </w:pPr>
      <w:r>
        <w:rPr>
          <w:rFonts w:ascii="Arial" w:cs="Arial" w:eastAsia="Arial" w:hAnsi="Arial"/>
          <w:b/>
          <w:bCs/>
          <w:color w:val="854D0E"/>
          <w:sz w:val="18"/>
          <w:szCs w:val="18"/>
        </w:rPr>
        <w:t xml:space="preserve">PARA COMPLETAR: </w:t>
      </w:r>
      <w:r>
        <w:rPr>
          <w:rFonts w:ascii="Arial" w:cs="Arial" w:eastAsia="Arial" w:hAnsi="Arial"/>
          <w:i/>
          <w:iCs/>
          <w:color w:val="854D0E"/>
          <w:sz w:val="18"/>
          <w:szCs w:val="18"/>
        </w:rPr>
        <w:t xml:space="preserve">Solicitar declaración individual de cada Principal sobre actividades externas (ONGs, cátedras, advisory boards) y tiempo estimado dedicado.</w:t>
      </w:r>
    </w:p>
    <w:p>
      <w:pPr>
        <w:spacing w:before="220" w:after="80"/>
      </w:pPr>
      <w:r>
        <w:rPr>
          <w:rFonts w:ascii="Arial" w:cs="Arial" w:eastAsia="Arial" w:hAnsi="Arial"/>
          <w:b/>
          <w:bCs/>
          <w:color w:val="1A1A1A"/>
          <w:sz w:val="20"/>
          <w:szCs w:val="20"/>
        </w:rPr>
        <w:t xml:space="preserve">1.7 Is the Firm a publicly-held company?</w:t>
      </w:r>
    </w:p>
    <w:p>
      <w:pPr>
        <w:shd w:fill="DCFCE7" w:val="clear"/>
        <w:spacing w:before="40" w:after="80"/>
      </w:pPr>
      <w:r>
        <w:rPr>
          <w:rFonts w:ascii="Arial" w:cs="Arial" w:eastAsia="Arial" w:hAnsi="Arial"/>
          <w:b/>
          <w:bCs/>
          <w:color w:val="166534"/>
          <w:sz w:val="17"/>
          <w:szCs w:val="17"/>
        </w:rPr>
        <w:t xml:space="preserve">✅  COMPLETA</w:t>
      </w:r>
    </w:p>
    <w:p>
      <w:pPr>
        <w:spacing w:before="60" w:after="60"/>
      </w:pPr>
      <w:r>
        <w:rPr>
          <w:rFonts w:ascii="Arial" w:cs="Arial" w:eastAsia="Arial" w:hAnsi="Arial"/>
          <w:color w:val="333333"/>
          <w:sz w:val="20"/>
          <w:szCs w:val="20"/>
        </w:rPr>
        <w:t xml:space="preserve">No. Ashmore Management Company Colombia SAS is a private SAS entity (NIT 900.316.081-9). Its parent, Ashmore Group plc, is publicly listed on the LSE (ASHM, FTSE 250). The Colombian entity itself is privately held.</w:t>
      </w:r>
    </w:p>
    <w:p>
      <w:pPr>
        <w:pBdr>
          <w:bottom w:val="single" w:color="E0DBD0" w:sz="2" w:space="1"/>
        </w:pBdr>
        <w:spacing w:before="120" w:after="120"/>
      </w:pPr>
      <w:r>
        <w:t xml:space="preserve"/>
      </w:r>
    </w:p>
    <w:p>
      <w:pPr>
        <w:shd w:fill="F5F2EC" w:val="clear"/>
        <w:spacing w:before="280" w:after="100"/>
      </w:pPr>
      <w:r>
        <w:rPr>
          <w:rFonts w:ascii="Arial" w:cs="Arial" w:eastAsia="Arial" w:hAnsi="Arial"/>
          <w:b/>
          <w:bCs/>
          <w:color w:val="0A2240"/>
          <w:sz w:val="22"/>
          <w:szCs w:val="22"/>
        </w:rPr>
        <w:t xml:space="preserve">Detailed Questions</w:t>
      </w:r>
    </w:p>
    <w:p>
      <w:pPr>
        <w:spacing w:before="220" w:after="80"/>
      </w:pPr>
      <w:r>
        <w:rPr>
          <w:rFonts w:ascii="Arial" w:cs="Arial" w:eastAsia="Arial" w:hAnsi="Arial"/>
          <w:b/>
          <w:bCs/>
          <w:color w:val="1A1A1A"/>
          <w:sz w:val="20"/>
          <w:szCs w:val="20"/>
        </w:rPr>
        <w:t xml:space="preserve">1.5 (Detailed) Provide information regarding the Firm's liquidity and capitalization.</w:t>
      </w:r>
    </w:p>
    <w:p>
      <w:pPr>
        <w:shd w:fill="FEE2E2" w:val="clear"/>
        <w:spacing w:before="40" w:after="80"/>
      </w:pPr>
      <w:r>
        <w:rPr>
          <w:rFonts w:ascii="Arial" w:cs="Arial" w:eastAsia="Arial" w:hAnsi="Arial"/>
          <w:b/>
          <w:bCs/>
          <w:color w:val="991B1B"/>
          <w:sz w:val="17"/>
          <w:szCs w:val="17"/>
        </w:rPr>
        <w:t xml:space="preserve">🔴  REQUIERE INPUT INTERNO</w:t>
      </w:r>
    </w:p>
    <w:p>
      <w:pPr>
        <w:spacing w:before="60" w:after="60"/>
      </w:pPr>
      <w:r>
        <w:rPr>
          <w:rFonts w:ascii="Arial" w:cs="Arial" w:eastAsia="Arial" w:hAnsi="Arial"/>
          <w:color w:val="333333"/>
          <w:sz w:val="20"/>
          <w:szCs w:val="20"/>
        </w:rPr>
        <w:t xml:space="preserve">Cannot be determined from public information for the Colombian entity specifically.</w:t>
      </w:r>
    </w:p>
    <w:p>
      <w:pPr>
        <w:shd w:fill="FFFBEB" w:val="clear"/>
        <w:spacing w:before="80" w:after="140"/>
      </w:pPr>
      <w:r>
        <w:rPr>
          <w:rFonts w:ascii="Arial" w:cs="Arial" w:eastAsia="Arial" w:hAnsi="Arial"/>
          <w:b/>
          <w:bCs/>
          <w:color w:val="854D0E"/>
          <w:sz w:val="18"/>
          <w:szCs w:val="18"/>
        </w:rPr>
        <w:t xml:space="preserve">PARA COMPLETAR: </w:t>
      </w:r>
      <w:r>
        <w:rPr>
          <w:rFonts w:ascii="Arial" w:cs="Arial" w:eastAsia="Arial" w:hAnsi="Arial"/>
          <w:i/>
          <w:iCs/>
          <w:color w:val="854D0E"/>
          <w:sz w:val="18"/>
          <w:szCs w:val="18"/>
        </w:rPr>
        <w:t xml:space="preserve">Solicitar estados financieros de Ashmore Management Company Colombia SAS de los últimos 3 años a la Dirección Financiera. Para referencia del grupo: Ashmore Group plc reporta regularmente resultados financieros públicos.</w:t>
      </w:r>
    </w:p>
    <w:p>
      <w:pPr>
        <w:spacing w:before="220" w:after="80"/>
      </w:pPr>
      <w:r>
        <w:rPr>
          <w:rFonts w:ascii="Arial" w:cs="Arial" w:eastAsia="Arial" w:hAnsi="Arial"/>
          <w:b/>
          <w:bCs/>
          <w:color w:val="1A1A1A"/>
          <w:sz w:val="20"/>
          <w:szCs w:val="20"/>
        </w:rPr>
        <w:t xml:space="preserve">1.6 (Detailed) Describe any situation where the Firm has filed for bankruptcy or failed to make payments.</w:t>
      </w:r>
    </w:p>
    <w:p>
      <w:pPr>
        <w:shd w:fill="DCFCE7" w:val="clear"/>
        <w:spacing w:before="40" w:after="80"/>
      </w:pPr>
      <w:r>
        <w:rPr>
          <w:rFonts w:ascii="Arial" w:cs="Arial" w:eastAsia="Arial" w:hAnsi="Arial"/>
          <w:b/>
          <w:bCs/>
          <w:color w:val="166534"/>
          <w:sz w:val="17"/>
          <w:szCs w:val="17"/>
        </w:rPr>
        <w:t xml:space="preserve">✅  COMPLETA</w:t>
      </w:r>
    </w:p>
    <w:p>
      <w:pPr>
        <w:spacing w:before="60" w:after="60"/>
      </w:pPr>
      <w:r>
        <w:rPr>
          <w:rFonts w:ascii="Arial" w:cs="Arial" w:eastAsia="Arial" w:hAnsi="Arial"/>
          <w:color w:val="333333"/>
          <w:sz w:val="20"/>
          <w:szCs w:val="20"/>
        </w:rPr>
        <w:t xml:space="preserve">N/A. Neither Ashmore Management Company Colombia SAS nor Ashmore Group plc has ever filed for bankruptcy or failed to make payments. See Basic Question 1.2 and 1.3.</w:t>
      </w:r>
    </w:p>
    <w:p>
      <w:pPr>
        <w:spacing w:before="220" w:after="80"/>
      </w:pPr>
      <w:r>
        <w:rPr>
          <w:rFonts w:ascii="Arial" w:cs="Arial" w:eastAsia="Arial" w:hAnsi="Arial"/>
          <w:b/>
          <w:bCs/>
          <w:color w:val="1A1A1A"/>
          <w:sz w:val="20"/>
          <w:szCs w:val="20"/>
        </w:rPr>
        <w:t xml:space="preserve">1.8 Provide a description of the Firm's culture.</w:t>
      </w:r>
    </w:p>
    <w:p>
      <w:pPr>
        <w:shd w:fill="FEF9C3" w:val="clear"/>
        <w:spacing w:before="40" w:after="80"/>
      </w:pPr>
      <w:r>
        <w:rPr>
          <w:rFonts w:ascii="Arial" w:cs="Arial" w:eastAsia="Arial" w:hAnsi="Arial"/>
          <w:b/>
          <w:bCs/>
          <w:color w:val="854D0E"/>
          <w:sz w:val="17"/>
          <w:szCs w:val="17"/>
        </w:rPr>
        <w:t xml:space="preserve">🟡  PARCIAL — requiere validación interna</w:t>
      </w:r>
    </w:p>
    <w:p>
      <w:pPr>
        <w:spacing w:before="60" w:after="60"/>
      </w:pPr>
      <w:r>
        <w:rPr>
          <w:rFonts w:ascii="Arial" w:cs="Arial" w:eastAsia="Arial" w:hAnsi="Arial"/>
          <w:color w:val="333333"/>
          <w:sz w:val="20"/>
          <w:szCs w:val="20"/>
        </w:rPr>
        <w:t xml:space="preserve">Ashmore Management Company Colombia SAS operates as a focused infrastructure private equity manager within a global emerging markets asset management platform. The firm emphasizes rigorous investment discipline, active asset management, and long-term value creation. The team combines global emerging markets expertise from Ashmore Group (founded 1992, USD 48.7B AUM globally) with deep local knowledge of the Colombian and Andean infrastructure markets.</w:t>
      </w:r>
    </w:p>
    <w:p>
      <w:pPr>
        <w:spacing w:before="60" w:after="60"/>
      </w:pPr>
      <w:r>
        <w:rPr>
          <w:rFonts w:ascii="Arial" w:cs="Arial" w:eastAsia="Arial" w:hAnsi="Arial"/>
          <w:color w:val="333333"/>
          <w:sz w:val="20"/>
          <w:szCs w:val="20"/>
        </w:rPr>
        <w:t xml:space="preserve">The firm has demonstrated commitment to ESG integration under IFC Performance Standards, active portfolio company governance through board representation, and a collaborative approach with local partners and communities in project development.</w:t>
      </w:r>
    </w:p>
    <w:p>
      <w:pPr>
        <w:shd w:fill="FFFBEB" w:val="clear"/>
        <w:spacing w:before="80" w:after="140"/>
      </w:pPr>
      <w:r>
        <w:rPr>
          <w:rFonts w:ascii="Arial" w:cs="Arial" w:eastAsia="Arial" w:hAnsi="Arial"/>
          <w:b/>
          <w:bCs/>
          <w:color w:val="854D0E"/>
          <w:sz w:val="18"/>
          <w:szCs w:val="18"/>
        </w:rPr>
        <w:t xml:space="preserve">PARA COMPLETAR: </w:t>
      </w:r>
      <w:r>
        <w:rPr>
          <w:rFonts w:ascii="Arial" w:cs="Arial" w:eastAsia="Arial" w:hAnsi="Arial"/>
          <w:i/>
          <w:iCs/>
          <w:color w:val="854D0E"/>
          <w:sz w:val="18"/>
          <w:szCs w:val="18"/>
        </w:rPr>
        <w:t xml:space="preserve">Complementar con descripción interna de valores, proceso de toma de decisiones, y cultura de equipo. Esta respuesta se beneficia de testimonios directos del equipo de liderazgo.</w:t>
      </w:r>
    </w:p>
    <w:p>
      <w:pPr>
        <w:spacing w:before="220" w:after="80"/>
      </w:pPr>
      <w:r>
        <w:rPr>
          <w:rFonts w:ascii="Arial" w:cs="Arial" w:eastAsia="Arial" w:hAnsi="Arial"/>
          <w:b/>
          <w:bCs/>
          <w:color w:val="1A1A1A"/>
          <w:sz w:val="20"/>
          <w:szCs w:val="20"/>
        </w:rPr>
        <w:t xml:space="preserve">1.10 Describe any activity currently underway that could lead to negative publicity about the Firm.</w:t>
      </w:r>
    </w:p>
    <w:p>
      <w:pPr>
        <w:shd w:fill="FEF9C3" w:val="clear"/>
        <w:spacing w:before="40" w:after="80"/>
      </w:pPr>
      <w:r>
        <w:rPr>
          <w:rFonts w:ascii="Arial" w:cs="Arial" w:eastAsia="Arial" w:hAnsi="Arial"/>
          <w:b/>
          <w:bCs/>
          <w:color w:val="854D0E"/>
          <w:sz w:val="17"/>
          <w:szCs w:val="17"/>
        </w:rPr>
        <w:t xml:space="preserve">🟡  PARCIAL — requiere validación interna</w:t>
      </w:r>
    </w:p>
    <w:p>
      <w:pPr>
        <w:spacing w:before="60" w:after="60"/>
      </w:pPr>
      <w:r>
        <w:rPr>
          <w:rFonts w:ascii="Arial" w:cs="Arial" w:eastAsia="Arial" w:hAnsi="Arial"/>
          <w:color w:val="333333"/>
          <w:sz w:val="20"/>
          <w:szCs w:val="20"/>
        </w:rPr>
        <w:t xml:space="preserve">No activities that could lead to negative publicity have been identified through public sources, news monitoring, or regulatory databases for Ashmore Management Company Colombia SAS.</w:t>
      </w:r>
    </w:p>
    <w:p>
      <w:pPr>
        <w:shd w:fill="FFFBEB" w:val="clear"/>
        <w:spacing w:before="80" w:after="140"/>
      </w:pPr>
      <w:r>
        <w:rPr>
          <w:rFonts w:ascii="Arial" w:cs="Arial" w:eastAsia="Arial" w:hAnsi="Arial"/>
          <w:b/>
          <w:bCs/>
          <w:color w:val="854D0E"/>
          <w:sz w:val="18"/>
          <w:szCs w:val="18"/>
        </w:rPr>
        <w:t xml:space="preserve">PARA COMPLETAR: </w:t>
      </w:r>
      <w:r>
        <w:rPr>
          <w:rFonts w:ascii="Arial" w:cs="Arial" w:eastAsia="Arial" w:hAnsi="Arial"/>
          <w:i/>
          <w:iCs/>
          <w:color w:val="854D0E"/>
          <w:sz w:val="18"/>
          <w:szCs w:val="18"/>
        </w:rPr>
        <w:t xml:space="preserve">Confirmar internamente con el equipo legal y de compliance que no existen investigaciones regulatorias, litigios materiales, o situaciones de riesgo reputacional en curso.</w:t>
      </w:r>
    </w:p>
    <w:p>
      <w:pPr>
        <w:pBdr>
          <w:bottom w:val="single" w:color="E0DBD0" w:sz="2" w:space="1"/>
        </w:pBdr>
        <w:spacing w:before="120" w:after="120"/>
      </w:pPr>
      <w:r>
        <w:t xml:space="preserve"/>
      </w:r>
    </w:p>
    <w:p>
      <w:pPr>
        <w:pBdr>
          <w:bottom w:val="single" w:color="B8860B" w:sz="8" w:space="1"/>
        </w:pBdr>
        <w:spacing w:before="400" w:after="160"/>
      </w:pPr>
      <w:r>
        <w:rPr>
          <w:rFonts w:ascii="Arial" w:cs="Arial" w:eastAsia="Arial" w:hAnsi="Arial"/>
          <w:b/>
          <w:bCs/>
          <w:color w:val="0A2240"/>
          <w:sz w:val="28"/>
          <w:szCs w:val="28"/>
        </w:rPr>
        <w:t xml:space="preserve">SECCIÓN 2.0 — FUND: GENERAL INFORMATION</w:t>
      </w:r>
    </w:p>
    <w:p>
      <w:pPr>
        <w:shd w:fill="F5F2EC" w:val="clear"/>
        <w:spacing w:before="280" w:after="100"/>
      </w:pPr>
      <w:r>
        <w:rPr>
          <w:rFonts w:ascii="Arial" w:cs="Arial" w:eastAsia="Arial" w:hAnsi="Arial"/>
          <w:b/>
          <w:bCs/>
          <w:color w:val="0A2240"/>
          <w:sz w:val="22"/>
          <w:szCs w:val="22"/>
        </w:rPr>
        <w:t xml:space="preserve">Basic Questions</w:t>
      </w:r>
    </w:p>
    <w:p>
      <w:pPr>
        <w:spacing w:before="220" w:after="80"/>
      </w:pPr>
      <w:r>
        <w:rPr>
          <w:rFonts w:ascii="Arial" w:cs="Arial" w:eastAsia="Arial" w:hAnsi="Arial"/>
          <w:b/>
          <w:bCs/>
          <w:color w:val="1A1A1A"/>
          <w:sz w:val="20"/>
          <w:szCs w:val="20"/>
        </w:rPr>
        <w:t xml:space="preserve">2.1 Will the Fund offer co-investments?</w:t>
      </w:r>
    </w:p>
    <w:p>
      <w:pPr>
        <w:shd w:fill="DCFCE7" w:val="clear"/>
        <w:spacing w:before="40" w:after="80"/>
      </w:pPr>
      <w:r>
        <w:rPr>
          <w:rFonts w:ascii="Arial" w:cs="Arial" w:eastAsia="Arial" w:hAnsi="Arial"/>
          <w:b/>
          <w:bCs/>
          <w:color w:val="166534"/>
          <w:sz w:val="17"/>
          <w:szCs w:val="17"/>
        </w:rPr>
        <w:t xml:space="preserve">✅  COMPLETA</w:t>
      </w:r>
    </w:p>
    <w:p>
      <w:pPr>
        <w:spacing w:before="60" w:after="60"/>
      </w:pPr>
      <w:r>
        <w:rPr>
          <w:rFonts w:ascii="Arial" w:cs="Arial" w:eastAsia="Arial" w:hAnsi="Arial"/>
          <w:color w:val="333333"/>
          <w:sz w:val="20"/>
          <w:szCs w:val="20"/>
        </w:rPr>
        <w:t xml:space="preserve">Yes. Ashmore has a proven track record of co-investments. In Fondo I, co-investments totaling USD 67.5M were offered alongside the main USD 170M commitment. The Fondo Andino III structure includes Compartimento B and C specifically designed to accommodate LP co-investment appetite, in addition to the main Compartimento A.</w:t>
      </w:r>
    </w:p>
    <w:p>
      <w:pPr>
        <w:spacing w:before="220" w:after="80"/>
      </w:pPr>
      <w:r>
        <w:rPr>
          <w:rFonts w:ascii="Arial" w:cs="Arial" w:eastAsia="Arial" w:hAnsi="Arial"/>
          <w:b/>
          <w:bCs/>
          <w:color w:val="1A1A1A"/>
          <w:sz w:val="20"/>
          <w:szCs w:val="20"/>
        </w:rPr>
        <w:t xml:space="preserve">2.2 Will the Fund use leverage at the fund level?</w:t>
      </w:r>
    </w:p>
    <w:p>
      <w:pPr>
        <w:shd w:fill="FEF9C3" w:val="clear"/>
        <w:spacing w:before="40" w:after="80"/>
      </w:pPr>
      <w:r>
        <w:rPr>
          <w:rFonts w:ascii="Arial" w:cs="Arial" w:eastAsia="Arial" w:hAnsi="Arial"/>
          <w:b/>
          <w:bCs/>
          <w:color w:val="854D0E"/>
          <w:sz w:val="17"/>
          <w:szCs w:val="17"/>
        </w:rPr>
        <w:t xml:space="preserve">🟡  PARCIAL — requiere validación interna</w:t>
      </w:r>
    </w:p>
    <w:p>
      <w:pPr>
        <w:spacing w:before="60" w:after="60"/>
      </w:pPr>
      <w:r>
        <w:rPr>
          <w:rFonts w:ascii="Arial" w:cs="Arial" w:eastAsia="Arial" w:hAnsi="Arial"/>
          <w:color w:val="333333"/>
          <w:sz w:val="20"/>
          <w:szCs w:val="20"/>
        </w:rPr>
        <w:t xml:space="preserve">Infrastructure PE funds in Colombia typically do not employ fund-level leverage as a primary strategy. Portfolio company leverage (project finance structures) is standard practice. No fund-level leverage has been identified in public sources.</w:t>
      </w:r>
    </w:p>
    <w:p>
      <w:pPr>
        <w:shd w:fill="FFFBEB" w:val="clear"/>
        <w:spacing w:before="80" w:after="140"/>
      </w:pPr>
      <w:r>
        <w:rPr>
          <w:rFonts w:ascii="Arial" w:cs="Arial" w:eastAsia="Arial" w:hAnsi="Arial"/>
          <w:b/>
          <w:bCs/>
          <w:color w:val="854D0E"/>
          <w:sz w:val="18"/>
          <w:szCs w:val="18"/>
        </w:rPr>
        <w:t xml:space="preserve">PARA COMPLETAR: </w:t>
      </w:r>
      <w:r>
        <w:rPr>
          <w:rFonts w:ascii="Arial" w:cs="Arial" w:eastAsia="Arial" w:hAnsi="Arial"/>
          <w:i/>
          <w:iCs/>
          <w:color w:val="854D0E"/>
          <w:sz w:val="18"/>
          <w:szCs w:val="18"/>
        </w:rPr>
        <w:t xml:space="preserve">Confirmar en el Reglamento del FCP y el LPA si existe autorización para leverage a nivel del vehículo, subscription facilities, o líneas de crédito de capital calls. Especificar límites aplicables.</w:t>
      </w:r>
    </w:p>
    <w:p>
      <w:pPr>
        <w:spacing w:before="220" w:after="80"/>
      </w:pPr>
      <w:r>
        <w:rPr>
          <w:rFonts w:ascii="Arial" w:cs="Arial" w:eastAsia="Arial" w:hAnsi="Arial"/>
          <w:b/>
          <w:bCs/>
          <w:color w:val="1A1A1A"/>
          <w:sz w:val="20"/>
          <w:szCs w:val="20"/>
        </w:rPr>
        <w:t xml:space="preserve">2.3 Does the Fund have a most-favored nation (MFN) clause?</w:t>
      </w:r>
    </w:p>
    <w:p>
      <w:pPr>
        <w:shd w:fill="FEE2E2" w:val="clear"/>
        <w:spacing w:before="40" w:after="80"/>
      </w:pPr>
      <w:r>
        <w:rPr>
          <w:rFonts w:ascii="Arial" w:cs="Arial" w:eastAsia="Arial" w:hAnsi="Arial"/>
          <w:b/>
          <w:bCs/>
          <w:color w:val="991B1B"/>
          <w:sz w:val="17"/>
          <w:szCs w:val="17"/>
        </w:rPr>
        <w:t xml:space="preserve">🔴  REQUIERE INPUT INTERNO</w:t>
      </w:r>
    </w:p>
    <w:p>
      <w:pPr>
        <w:shd w:fill="FFFBEB" w:val="clear"/>
        <w:spacing w:before="80" w:after="140"/>
      </w:pPr>
      <w:r>
        <w:rPr>
          <w:rFonts w:ascii="Arial" w:cs="Arial" w:eastAsia="Arial" w:hAnsi="Arial"/>
          <w:b/>
          <w:bCs/>
          <w:color w:val="854D0E"/>
          <w:sz w:val="18"/>
          <w:szCs w:val="18"/>
        </w:rPr>
        <w:t xml:space="preserve">PARA COMPLETAR: </w:t>
      </w:r>
      <w:r>
        <w:rPr>
          <w:rFonts w:ascii="Arial" w:cs="Arial" w:eastAsia="Arial" w:hAnsi="Arial"/>
          <w:i/>
          <w:iCs/>
          <w:color w:val="854D0E"/>
          <w:sz w:val="18"/>
          <w:szCs w:val="18"/>
        </w:rPr>
        <w:t xml:space="preserve">Revisar el LPA del Fondo Andino III y los side letters negociados con LPs ancla (SIFEM, BID, CAF) para determinar existencia y términos de cláusulas MFN.</w:t>
      </w:r>
    </w:p>
    <w:p>
      <w:pPr>
        <w:spacing w:before="220" w:after="80"/>
      </w:pPr>
      <w:r>
        <w:rPr>
          <w:rFonts w:ascii="Arial" w:cs="Arial" w:eastAsia="Arial" w:hAnsi="Arial"/>
          <w:b/>
          <w:bCs/>
          <w:color w:val="1A1A1A"/>
          <w:sz w:val="20"/>
          <w:szCs w:val="20"/>
        </w:rPr>
        <w:t xml:space="preserve">2.4 Will the Fund permit fund-level borrowing?</w:t>
      </w:r>
    </w:p>
    <w:p>
      <w:pPr>
        <w:shd w:fill="FEF9C3" w:val="clear"/>
        <w:spacing w:before="40" w:after="80"/>
      </w:pPr>
      <w:r>
        <w:rPr>
          <w:rFonts w:ascii="Arial" w:cs="Arial" w:eastAsia="Arial" w:hAnsi="Arial"/>
          <w:b/>
          <w:bCs/>
          <w:color w:val="854D0E"/>
          <w:sz w:val="17"/>
          <w:szCs w:val="17"/>
        </w:rPr>
        <w:t xml:space="preserve">🟡  PARCIAL — requiere validación interna</w:t>
      </w:r>
    </w:p>
    <w:p>
      <w:pPr>
        <w:spacing w:before="60" w:after="60"/>
      </w:pPr>
      <w:r>
        <w:rPr>
          <w:rFonts w:ascii="Arial" w:cs="Arial" w:eastAsia="Arial" w:hAnsi="Arial"/>
          <w:color w:val="333333"/>
          <w:sz w:val="20"/>
          <w:szCs w:val="20"/>
        </w:rPr>
        <w:t xml:space="preserve">Not identified in public sources as a primary strategy element.</w:t>
      </w:r>
    </w:p>
    <w:p>
      <w:pPr>
        <w:shd w:fill="FFFBEB" w:val="clear"/>
        <w:spacing w:before="80" w:after="140"/>
      </w:pPr>
      <w:r>
        <w:rPr>
          <w:rFonts w:ascii="Arial" w:cs="Arial" w:eastAsia="Arial" w:hAnsi="Arial"/>
          <w:b/>
          <w:bCs/>
          <w:color w:val="854D0E"/>
          <w:sz w:val="18"/>
          <w:szCs w:val="18"/>
        </w:rPr>
        <w:t xml:space="preserve">PARA COMPLETAR: </w:t>
      </w:r>
      <w:r>
        <w:rPr>
          <w:rFonts w:ascii="Arial" w:cs="Arial" w:eastAsia="Arial" w:hAnsi="Arial"/>
          <w:i/>
          <w:iCs/>
          <w:color w:val="854D0E"/>
          <w:sz w:val="18"/>
          <w:szCs w:val="18"/>
        </w:rPr>
        <w:t xml:space="preserve">Verificar en el Reglamento del FCP colombiano (SCR/Superfinanciera) y en el LPA los límites de endeudamiento del vehículo.</w:t>
      </w:r>
    </w:p>
    <w:p>
      <w:pPr>
        <w:shd w:fill="F5F2EC" w:val="clear"/>
        <w:spacing w:before="280" w:after="100"/>
      </w:pPr>
      <w:r>
        <w:rPr>
          <w:rFonts w:ascii="Arial" w:cs="Arial" w:eastAsia="Arial" w:hAnsi="Arial"/>
          <w:b/>
          <w:bCs/>
          <w:color w:val="0A2240"/>
          <w:sz w:val="22"/>
          <w:szCs w:val="22"/>
        </w:rPr>
        <w:t xml:space="preserve">Detailed Questions</w:t>
      </w:r>
    </w:p>
    <w:p>
      <w:pPr>
        <w:spacing w:before="220" w:after="80"/>
      </w:pPr>
      <w:r>
        <w:rPr>
          <w:rFonts w:ascii="Arial" w:cs="Arial" w:eastAsia="Arial" w:hAnsi="Arial"/>
          <w:b/>
          <w:bCs/>
          <w:color w:val="1A1A1A"/>
          <w:sz w:val="20"/>
          <w:szCs w:val="20"/>
        </w:rPr>
        <w:t xml:space="preserve">2.1 (Detailed) Provide Fund overview including size, number of investments, target returns, investment period, and fund life.</w:t>
      </w:r>
    </w:p>
    <w:p>
      <w:pPr>
        <w:shd w:fill="DCFCE7" w:val="clear"/>
        <w:spacing w:before="40" w:after="80"/>
      </w:pPr>
      <w:r>
        <w:rPr>
          <w:rFonts w:ascii="Arial" w:cs="Arial" w:eastAsia="Arial" w:hAnsi="Arial"/>
          <w:b/>
          <w:bCs/>
          <w:color w:val="166534"/>
          <w:sz w:val="17"/>
          <w:szCs w:val="17"/>
        </w:rPr>
        <w:t xml:space="preserve">✅  COMPLETA</w:t>
      </w:r>
    </w:p>
    <w:p>
      <w:pPr>
        <w:spacing w:before="60" w:after="60"/>
      </w:pPr>
      <w:r>
        <w:rPr>
          <w:rFonts w:ascii="Arial" w:cs="Arial" w:eastAsia="Arial" w:hAnsi="Arial"/>
          <w:color w:val="333333"/>
          <w:sz w:val="20"/>
          <w:szCs w:val="20"/>
        </w:rPr>
        <w:t xml:space="preserve">Fund Name: Fondo Ashmore Andino III</w:t>
      </w:r>
    </w:p>
    <w:p>
      <w:pPr>
        <w:spacing w:before="60" w:after="60"/>
      </w:pPr>
      <w:r>
        <w:rPr>
          <w:rFonts w:ascii="Arial" w:cs="Arial" w:eastAsia="Arial" w:hAnsi="Arial"/>
          <w:color w:val="333333"/>
          <w:sz w:val="20"/>
          <w:szCs w:val="20"/>
        </w:rPr>
        <w:t xml:space="preserve">Target Size: USD 420,000,000 (closed, oversubscribed)</w:t>
      </w:r>
    </w:p>
    <w:p>
      <w:pPr>
        <w:spacing w:before="60" w:after="60"/>
      </w:pPr>
      <w:r>
        <w:rPr>
          <w:rFonts w:ascii="Arial" w:cs="Arial" w:eastAsia="Arial" w:hAnsi="Arial"/>
          <w:color w:val="333333"/>
          <w:sz w:val="20"/>
          <w:szCs w:val="20"/>
        </w:rPr>
        <w:t xml:space="preserve">Structure: Closed-end FCP with 3 compartments (A: main fund, B &amp; C: co-investment vehicles)</w:t>
      </w:r>
    </w:p>
    <w:p>
      <w:pPr>
        <w:spacing w:before="60" w:after="60"/>
      </w:pPr>
      <w:r>
        <w:rPr>
          <w:rFonts w:ascii="Arial" w:cs="Arial" w:eastAsia="Arial" w:hAnsi="Arial"/>
          <w:color w:val="333333"/>
          <w:sz w:val="20"/>
          <w:szCs w:val="20"/>
        </w:rPr>
        <w:t xml:space="preserve">Investment Period: Approximately 5 years from first close</w:t>
      </w:r>
    </w:p>
    <w:p>
      <w:pPr>
        <w:spacing w:before="60" w:after="60"/>
      </w:pPr>
      <w:r>
        <w:rPr>
          <w:rFonts w:ascii="Arial" w:cs="Arial" w:eastAsia="Arial" w:hAnsi="Arial"/>
          <w:color w:val="333333"/>
          <w:sz w:val="20"/>
          <w:szCs w:val="20"/>
        </w:rPr>
        <w:t xml:space="preserve">Fund Life: 10 years (with extension options)</w:t>
      </w:r>
    </w:p>
    <w:p>
      <w:pPr>
        <w:spacing w:before="60" w:after="60"/>
      </w:pPr>
      <w:r>
        <w:rPr>
          <w:rFonts w:ascii="Arial" w:cs="Arial" w:eastAsia="Arial" w:hAnsi="Arial"/>
          <w:color w:val="333333"/>
          <w:sz w:val="20"/>
          <w:szCs w:val="20"/>
        </w:rPr>
        <w:t xml:space="preserve">Target Number of Investments: Approximately 10</w:t>
      </w:r>
    </w:p>
    <w:p>
      <w:pPr>
        <w:spacing w:before="60" w:after="60"/>
      </w:pPr>
      <w:r>
        <w:rPr>
          <w:rFonts w:ascii="Arial" w:cs="Arial" w:eastAsia="Arial" w:hAnsi="Arial"/>
          <w:color w:val="333333"/>
          <w:sz w:val="20"/>
          <w:szCs w:val="20"/>
        </w:rPr>
        <w:t xml:space="preserve">Target Ticket Size: USD 30–80M per investment</w:t>
      </w:r>
    </w:p>
    <w:p>
      <w:pPr>
        <w:spacing w:before="60" w:after="60"/>
      </w:pPr>
      <w:r>
        <w:rPr>
          <w:rFonts w:ascii="Arial" w:cs="Arial" w:eastAsia="Arial" w:hAnsi="Arial"/>
          <w:color w:val="333333"/>
          <w:sz w:val="20"/>
          <w:szCs w:val="20"/>
        </w:rPr>
        <w:t xml:space="preserve">Geography: Colombia, Peru, Panama, Costa Rica, Guatemala, Dominican Republic</w:t>
      </w:r>
    </w:p>
    <w:p>
      <w:pPr>
        <w:spacing w:before="60" w:after="60"/>
      </w:pPr>
      <w:r>
        <w:rPr>
          <w:rFonts w:ascii="Arial" w:cs="Arial" w:eastAsia="Arial" w:hAnsi="Arial"/>
          <w:color w:val="333333"/>
          <w:sz w:val="20"/>
          <w:szCs w:val="20"/>
        </w:rPr>
        <w:t xml:space="preserve">Sectors: Energy, transportation, logistics, water/waste, telecommunications, healthcare, education</w:t>
      </w:r>
    </w:p>
    <w:p>
      <w:pPr>
        <w:spacing w:before="60" w:after="60"/>
      </w:pPr>
      <w:r>
        <w:rPr>
          <w:rFonts w:ascii="Arial" w:cs="Arial" w:eastAsia="Arial" w:hAnsi="Arial"/>
          <w:color w:val="333333"/>
          <w:sz w:val="20"/>
          <w:szCs w:val="20"/>
        </w:rPr>
        <w:t xml:space="preserve">Thematic Focus: (i) Climate infrastructure, (ii) Social infrastructure</w:t>
      </w:r>
    </w:p>
    <w:p>
      <w:pPr>
        <w:spacing w:before="60" w:after="60"/>
      </w:pPr>
      <w:r>
        <w:rPr>
          <w:rFonts w:ascii="Arial" w:cs="Arial" w:eastAsia="Arial" w:hAnsi="Arial"/>
          <w:color w:val="333333"/>
          <w:sz w:val="20"/>
          <w:szCs w:val="20"/>
        </w:rPr>
        <w:t xml:space="preserve">Fund Administrator: Alianza Fiduciaria S.A.</w:t>
      </w:r>
    </w:p>
    <w:p>
      <w:pPr>
        <w:spacing w:before="60" w:after="60"/>
      </w:pPr>
      <w:r>
        <w:rPr>
          <w:rFonts w:ascii="Arial" w:cs="Arial" w:eastAsia="Arial" w:hAnsi="Arial"/>
          <w:color w:val="333333"/>
          <w:sz w:val="20"/>
          <w:szCs w:val="20"/>
        </w:rPr>
        <w:t xml:space="preserve">Known LP: SIFEM (Swiss Investment Fund for Emerging Markets)</w:t>
      </w:r>
    </w:p>
    <w:p>
      <w:pPr>
        <w:spacing w:before="40" w:after="40"/>
      </w:pPr>
      <w:r>
        <w:t xml:space="preserve"/>
      </w:r>
    </w:p>
    <w:p>
      <w:pPr>
        <w:spacing w:before="60" w:after="60"/>
      </w:pPr>
      <w:r>
        <w:rPr>
          <w:rFonts w:ascii="Arial" w:cs="Arial" w:eastAsia="Arial" w:hAnsi="Arial"/>
          <w:color w:val="333333"/>
          <w:sz w:val="20"/>
          <w:szCs w:val="20"/>
        </w:rPr>
        <w:t xml:space="preserve">Investments made to date: Ática Andina Residuales, Creas, Bioena (USD 100M pellets plant), Siberia Carga, Puerta de Oro, ATICA, Lógika (logistics center).</w:t>
      </w:r>
    </w:p>
    <w:p>
      <w:pPr>
        <w:pBdr>
          <w:bottom w:val="single" w:color="E0DBD0" w:sz="2" w:space="1"/>
        </w:pBdr>
        <w:spacing w:before="120" w:after="120"/>
      </w:pPr>
      <w:r>
        <w:t xml:space="preserve"/>
      </w:r>
    </w:p>
    <w:p>
      <w:pPr>
        <w:pBdr>
          <w:bottom w:val="single" w:color="B8860B" w:sz="8" w:space="1"/>
        </w:pBdr>
        <w:spacing w:before="400" w:after="160"/>
      </w:pPr>
      <w:r>
        <w:rPr>
          <w:rFonts w:ascii="Arial" w:cs="Arial" w:eastAsia="Arial" w:hAnsi="Arial"/>
          <w:b/>
          <w:bCs/>
          <w:color w:val="0A2240"/>
          <w:sz w:val="28"/>
          <w:szCs w:val="28"/>
        </w:rPr>
        <w:t xml:space="preserve">SECCIÓN 3.0 — INVESTMENT STRATEGY</w:t>
      </w:r>
    </w:p>
    <w:p>
      <w:pPr>
        <w:spacing w:before="220" w:after="80"/>
      </w:pPr>
      <w:r>
        <w:rPr>
          <w:rFonts w:ascii="Arial" w:cs="Arial" w:eastAsia="Arial" w:hAnsi="Arial"/>
          <w:b/>
          <w:bCs/>
          <w:color w:val="1A1A1A"/>
          <w:sz w:val="20"/>
          <w:szCs w:val="20"/>
        </w:rPr>
        <w:t xml:space="preserve">3.1 Summarize the Fund's investment strategy and types of transactions the Fund will pursue.</w:t>
      </w:r>
    </w:p>
    <w:p>
      <w:pPr>
        <w:shd w:fill="DCFCE7" w:val="clear"/>
        <w:spacing w:before="40" w:after="80"/>
      </w:pPr>
      <w:r>
        <w:rPr>
          <w:rFonts w:ascii="Arial" w:cs="Arial" w:eastAsia="Arial" w:hAnsi="Arial"/>
          <w:b/>
          <w:bCs/>
          <w:color w:val="166534"/>
          <w:sz w:val="17"/>
          <w:szCs w:val="17"/>
        </w:rPr>
        <w:t xml:space="preserve">✅  COMPLETA</w:t>
      </w:r>
    </w:p>
    <w:p>
      <w:pPr>
        <w:spacing w:before="60" w:after="60"/>
      </w:pPr>
      <w:r>
        <w:rPr>
          <w:rFonts w:ascii="Arial" w:cs="Arial" w:eastAsia="Arial" w:hAnsi="Arial"/>
          <w:color w:val="333333"/>
          <w:sz w:val="20"/>
          <w:szCs w:val="20"/>
        </w:rPr>
        <w:t xml:space="preserve">Fondo Ashmore Andino III targets operational or advanced-construction infrastructure assets in the Andean region and Central America. The fund employs a value-add and core-plus strategy, focusing on assets with predictable cash flows, regulatory frameworks, or long-term off-take contracts.</w:t>
      </w:r>
    </w:p>
    <w:p>
      <w:pPr>
        <w:spacing w:before="60" w:after="60"/>
      </w:pPr>
      <w:r>
        <w:rPr>
          <w:rFonts w:ascii="Arial" w:cs="Arial" w:eastAsia="Arial" w:hAnsi="Arial"/>
          <w:color w:val="333333"/>
          <w:sz w:val="20"/>
          <w:szCs w:val="20"/>
        </w:rPr>
        <w:t xml:space="preserve">Target transaction types include:</w:t>
      </w:r>
    </w:p>
    <w:p>
      <w:pPr>
        <w:pStyle w:val="ListParagraph"/>
        <w:numPr>
          <w:ilvl w:val="0"/>
          <w:numId w:val="2"/>
        </w:numPr>
      </w:pPr>
      <w:r>
        <w:rPr>
          <w:rFonts w:ascii="Arial" w:cs="Arial" w:eastAsia="Arial" w:hAnsi="Arial"/>
          <w:color w:val="333333"/>
          <w:sz w:val="20"/>
          <w:szCs w:val="20"/>
        </w:rPr>
        <w:t xml:space="preserve">Acquisitions of operating infrastructure assets from developers, conglomerates, or governments</w:t>
      </w:r>
    </w:p>
    <w:p>
      <w:pPr>
        <w:pStyle w:val="ListParagraph"/>
        <w:numPr>
          <w:ilvl w:val="0"/>
          <w:numId w:val="2"/>
        </w:numPr>
      </w:pPr>
      <w:r>
        <w:rPr>
          <w:rFonts w:ascii="Arial" w:cs="Arial" w:eastAsia="Arial" w:hAnsi="Arial"/>
          <w:color w:val="333333"/>
          <w:sz w:val="20"/>
          <w:szCs w:val="20"/>
        </w:rPr>
        <w:t xml:space="preserve">Growth capital investments in proven infrastructure businesses seeking expansion</w:t>
      </w:r>
    </w:p>
    <w:p>
      <w:pPr>
        <w:pStyle w:val="ListParagraph"/>
        <w:numPr>
          <w:ilvl w:val="0"/>
          <w:numId w:val="2"/>
        </w:numPr>
      </w:pPr>
      <w:r>
        <w:rPr>
          <w:rFonts w:ascii="Arial" w:cs="Arial" w:eastAsia="Arial" w:hAnsi="Arial"/>
          <w:color w:val="333333"/>
          <w:sz w:val="20"/>
          <w:szCs w:val="20"/>
        </w:rPr>
        <w:t xml:space="preserve">Public-private partnership (PPP) and concession structures</w:t>
      </w:r>
    </w:p>
    <w:p>
      <w:pPr>
        <w:pStyle w:val="ListParagraph"/>
        <w:numPr>
          <w:ilvl w:val="0"/>
          <w:numId w:val="2"/>
        </w:numPr>
      </w:pPr>
      <w:r>
        <w:rPr>
          <w:rFonts w:ascii="Arial" w:cs="Arial" w:eastAsia="Arial" w:hAnsi="Arial"/>
          <w:color w:val="333333"/>
          <w:sz w:val="20"/>
          <w:szCs w:val="20"/>
        </w:rPr>
        <w:t xml:space="preserve">Structured equity in project finance-backed assets</w:t>
      </w:r>
    </w:p>
    <w:p>
      <w:pPr>
        <w:spacing w:before="60" w:after="60"/>
      </w:pPr>
      <w:r>
        <w:rPr>
          <w:rFonts w:ascii="Arial" w:cs="Arial" w:eastAsia="Arial" w:hAnsi="Arial"/>
          <w:color w:val="333333"/>
          <w:sz w:val="20"/>
          <w:szCs w:val="20"/>
        </w:rPr>
        <w:t xml:space="preserve">The fund explicitly excludes: purely greenfield development-stage projects, mining/extractive industries, and assets in countries outside the defined geography.</w:t>
      </w:r>
    </w:p>
    <w:p>
      <w:pPr>
        <w:spacing w:before="220" w:after="80"/>
      </w:pPr>
      <w:r>
        <w:rPr>
          <w:rFonts w:ascii="Arial" w:cs="Arial" w:eastAsia="Arial" w:hAnsi="Arial"/>
          <w:b/>
          <w:bCs/>
          <w:color w:val="1A1A1A"/>
          <w:sz w:val="20"/>
          <w:szCs w:val="20"/>
        </w:rPr>
        <w:t xml:space="preserve">3.2 Discuss the Firm's ability to invest at the Fund's targeted size.</w:t>
      </w:r>
    </w:p>
    <w:p>
      <w:pPr>
        <w:shd w:fill="DCFCE7" w:val="clear"/>
        <w:spacing w:before="40" w:after="80"/>
      </w:pPr>
      <w:r>
        <w:rPr>
          <w:rFonts w:ascii="Arial" w:cs="Arial" w:eastAsia="Arial" w:hAnsi="Arial"/>
          <w:b/>
          <w:bCs/>
          <w:color w:val="166534"/>
          <w:sz w:val="17"/>
          <w:szCs w:val="17"/>
        </w:rPr>
        <w:t xml:space="preserve">✅  COMPLETA</w:t>
      </w:r>
    </w:p>
    <w:p>
      <w:pPr>
        <w:spacing w:before="60" w:after="60"/>
      </w:pPr>
      <w:r>
        <w:rPr>
          <w:rFonts w:ascii="Arial" w:cs="Arial" w:eastAsia="Arial" w:hAnsi="Arial"/>
          <w:color w:val="333333"/>
          <w:sz w:val="20"/>
          <w:szCs w:val="20"/>
        </w:rPr>
        <w:t xml:space="preserve">Ashmore has demonstrated consistent ability to deploy capital at the target ticket size across its track record:</w:t>
      </w:r>
    </w:p>
    <w:p>
      <w:pPr>
        <w:pStyle w:val="ListParagraph"/>
        <w:numPr>
          <w:ilvl w:val="0"/>
          <w:numId w:val="2"/>
        </w:numPr>
      </w:pPr>
      <w:r>
        <w:rPr>
          <w:rFonts w:ascii="Arial" w:cs="Arial" w:eastAsia="Arial" w:hAnsi="Arial"/>
          <w:color w:val="333333"/>
          <w:sz w:val="20"/>
          <w:szCs w:val="20"/>
        </w:rPr>
        <w:t xml:space="preserve">Fondo I (USD 285M): Successfully deployed into 8+ investments at USD 15–80M tickets</w:t>
      </w:r>
    </w:p>
    <w:p>
      <w:pPr>
        <w:pStyle w:val="ListParagraph"/>
        <w:numPr>
          <w:ilvl w:val="0"/>
          <w:numId w:val="2"/>
        </w:numPr>
      </w:pPr>
      <w:r>
        <w:rPr>
          <w:rFonts w:ascii="Arial" w:cs="Arial" w:eastAsia="Arial" w:hAnsi="Arial"/>
          <w:color w:val="333333"/>
          <w:sz w:val="20"/>
          <w:szCs w:val="20"/>
        </w:rPr>
        <w:t xml:space="preserve">Fondo Andino II (USD 248M): Deployed across Colombia and Peru at similar ticket sizes</w:t>
      </w:r>
    </w:p>
    <w:p>
      <w:pPr>
        <w:pStyle w:val="ListParagraph"/>
        <w:numPr>
          <w:ilvl w:val="0"/>
          <w:numId w:val="2"/>
        </w:numPr>
      </w:pPr>
      <w:r>
        <w:rPr>
          <w:rFonts w:ascii="Arial" w:cs="Arial" w:eastAsia="Arial" w:hAnsi="Arial"/>
          <w:color w:val="333333"/>
          <w:sz w:val="20"/>
          <w:szCs w:val="20"/>
        </w:rPr>
        <w:t xml:space="preserve">Fondo III (USD 420M): 7 investments already made, on track with investment pace</w:t>
      </w:r>
    </w:p>
    <w:p>
      <w:pPr>
        <w:spacing w:before="60" w:after="60"/>
      </w:pPr>
      <w:r>
        <w:rPr>
          <w:rFonts w:ascii="Arial" w:cs="Arial" w:eastAsia="Arial" w:hAnsi="Arial"/>
          <w:color w:val="333333"/>
          <w:sz w:val="20"/>
          <w:szCs w:val="20"/>
        </w:rPr>
        <w:t xml:space="preserve">The firm has established origination relationships with infrastructure developers, government agencies (ANI, UPME, APC), and regional DFIs (BID, CAF, IFC) across all target geographies.</w:t>
      </w:r>
    </w:p>
    <w:p>
      <w:pPr>
        <w:spacing w:before="220" w:after="80"/>
      </w:pPr>
      <w:r>
        <w:rPr>
          <w:rFonts w:ascii="Arial" w:cs="Arial" w:eastAsia="Arial" w:hAnsi="Arial"/>
          <w:b/>
          <w:bCs/>
          <w:color w:val="1A1A1A"/>
          <w:sz w:val="20"/>
          <w:szCs w:val="20"/>
        </w:rPr>
        <w:t xml:space="preserve">3.3 Provide detail on the Fund's diversification strategy.</w:t>
      </w:r>
    </w:p>
    <w:p>
      <w:pPr>
        <w:shd w:fill="FEF9C3" w:val="clear"/>
        <w:spacing w:before="40" w:after="80"/>
      </w:pPr>
      <w:r>
        <w:rPr>
          <w:rFonts w:ascii="Arial" w:cs="Arial" w:eastAsia="Arial" w:hAnsi="Arial"/>
          <w:b/>
          <w:bCs/>
          <w:color w:val="854D0E"/>
          <w:sz w:val="17"/>
          <w:szCs w:val="17"/>
        </w:rPr>
        <w:t xml:space="preserve">🟡  PARCIAL — requiere validación interna</w:t>
      </w:r>
    </w:p>
    <w:p>
      <w:pPr>
        <w:spacing w:before="60" w:after="60"/>
      </w:pPr>
      <w:r>
        <w:rPr>
          <w:rFonts w:ascii="Arial" w:cs="Arial" w:eastAsia="Arial" w:hAnsi="Arial"/>
          <w:color w:val="333333"/>
          <w:sz w:val="20"/>
          <w:szCs w:val="20"/>
        </w:rPr>
        <w:t xml:space="preserve">The fund targets diversification across:</w:t>
      </w:r>
    </w:p>
    <w:p>
      <w:pPr>
        <w:pStyle w:val="ListParagraph"/>
        <w:numPr>
          <w:ilvl w:val="0"/>
          <w:numId w:val="2"/>
        </w:numPr>
      </w:pPr>
      <w:r>
        <w:rPr>
          <w:rFonts w:ascii="Arial" w:cs="Arial" w:eastAsia="Arial" w:hAnsi="Arial"/>
          <w:color w:val="333333"/>
          <w:sz w:val="20"/>
          <w:szCs w:val="20"/>
        </w:rPr>
        <w:t xml:space="preserve">Geography: Colombia (~50%), Peru (~25%), Central America (~25%)</w:t>
      </w:r>
    </w:p>
    <w:p>
      <w:pPr>
        <w:pStyle w:val="ListParagraph"/>
        <w:numPr>
          <w:ilvl w:val="0"/>
          <w:numId w:val="2"/>
        </w:numPr>
      </w:pPr>
      <w:r>
        <w:rPr>
          <w:rFonts w:ascii="Arial" w:cs="Arial" w:eastAsia="Arial" w:hAnsi="Arial"/>
          <w:color w:val="333333"/>
          <w:sz w:val="20"/>
          <w:szCs w:val="20"/>
        </w:rPr>
        <w:t xml:space="preserve">Sector: No single sector to exceed ~40% of NAV</w:t>
      </w:r>
    </w:p>
    <w:p>
      <w:pPr>
        <w:pStyle w:val="ListParagraph"/>
        <w:numPr>
          <w:ilvl w:val="0"/>
          <w:numId w:val="2"/>
        </w:numPr>
      </w:pPr>
      <w:r>
        <w:rPr>
          <w:rFonts w:ascii="Arial" w:cs="Arial" w:eastAsia="Arial" w:hAnsi="Arial"/>
          <w:color w:val="333333"/>
          <w:sz w:val="20"/>
          <w:szCs w:val="20"/>
        </w:rPr>
        <w:t xml:space="preserve">Asset maturity: Mix of operating assets and late-construction stage</w:t>
      </w:r>
    </w:p>
    <w:p>
      <w:pPr>
        <w:pStyle w:val="ListParagraph"/>
        <w:numPr>
          <w:ilvl w:val="0"/>
          <w:numId w:val="2"/>
        </w:numPr>
      </w:pPr>
      <w:r>
        <w:rPr>
          <w:rFonts w:ascii="Arial" w:cs="Arial" w:eastAsia="Arial" w:hAnsi="Arial"/>
          <w:color w:val="333333"/>
          <w:sz w:val="20"/>
          <w:szCs w:val="20"/>
        </w:rPr>
        <w:t xml:space="preserve">Regulatory exposure: Mix of regulated and contracted cash flows</w:t>
      </w:r>
    </w:p>
    <w:p>
      <w:pPr>
        <w:shd w:fill="FFFBEB" w:val="clear"/>
        <w:spacing w:before="80" w:after="140"/>
      </w:pPr>
      <w:r>
        <w:rPr>
          <w:rFonts w:ascii="Arial" w:cs="Arial" w:eastAsia="Arial" w:hAnsi="Arial"/>
          <w:b/>
          <w:bCs/>
          <w:color w:val="854D0E"/>
          <w:sz w:val="18"/>
          <w:szCs w:val="18"/>
        </w:rPr>
        <w:t xml:space="preserve">PARA COMPLETAR: </w:t>
      </w:r>
      <w:r>
        <w:rPr>
          <w:rFonts w:ascii="Arial" w:cs="Arial" w:eastAsia="Arial" w:hAnsi="Arial"/>
          <w:i/>
          <w:iCs/>
          <w:color w:val="854D0E"/>
          <w:sz w:val="18"/>
          <w:szCs w:val="18"/>
        </w:rPr>
        <w:t xml:space="preserve">Confirmar los límites de concentración específicos del Reglamento del FCP y el LPA. Los porcentajes indicados son estimaciones basadas en el mandato público del fondo.</w:t>
      </w:r>
    </w:p>
    <w:p>
      <w:pPr>
        <w:spacing w:before="220" w:after="80"/>
      </w:pPr>
      <w:r>
        <w:rPr>
          <w:rFonts w:ascii="Arial" w:cs="Arial" w:eastAsia="Arial" w:hAnsi="Arial"/>
          <w:b/>
          <w:bCs/>
          <w:color w:val="1A1A1A"/>
          <w:sz w:val="20"/>
          <w:szCs w:val="20"/>
        </w:rPr>
        <w:t xml:space="preserve">3.4 Describe the background and evolution of the Firm's investment strategy.</w:t>
      </w:r>
    </w:p>
    <w:p>
      <w:pPr>
        <w:shd w:fill="DCFCE7" w:val="clear"/>
        <w:spacing w:before="40" w:after="80"/>
      </w:pPr>
      <w:r>
        <w:rPr>
          <w:rFonts w:ascii="Arial" w:cs="Arial" w:eastAsia="Arial" w:hAnsi="Arial"/>
          <w:b/>
          <w:bCs/>
          <w:color w:val="166534"/>
          <w:sz w:val="17"/>
          <w:szCs w:val="17"/>
        </w:rPr>
        <w:t xml:space="preserve">✅  COMPLETA</w:t>
      </w:r>
    </w:p>
    <w:p>
      <w:pPr>
        <w:spacing w:before="60" w:after="60"/>
      </w:pPr>
      <w:r>
        <w:rPr>
          <w:rFonts w:ascii="Arial" w:cs="Arial" w:eastAsia="Arial" w:hAnsi="Arial"/>
          <w:color w:val="333333"/>
          <w:sz w:val="20"/>
          <w:szCs w:val="20"/>
        </w:rPr>
        <w:t xml:space="preserve">Ashmore Management Company Colombia SAS was established in 2009 as the Colombian subsidiary of Ashmore Group plc, one of the world's leading dedicated emerging markets asset managers (founded 1992, USD 48.7B AUM as of September 2025).</w:t>
      </w:r>
    </w:p>
    <w:p>
      <w:pPr>
        <w:spacing w:before="60" w:after="60"/>
      </w:pPr>
      <w:r>
        <w:rPr>
          <w:rFonts w:ascii="Arial" w:cs="Arial" w:eastAsia="Arial" w:hAnsi="Arial"/>
          <w:color w:val="333333"/>
          <w:sz w:val="20"/>
          <w:szCs w:val="20"/>
        </w:rPr>
        <w:t xml:space="preserve">The infrastructure PE strategy has evolved across three fund generations:</w:t>
      </w:r>
    </w:p>
    <w:p>
      <w:pPr>
        <w:pStyle w:val="ListParagraph"/>
        <w:numPr>
          <w:ilvl w:val="0"/>
          <w:numId w:val="2"/>
        </w:numPr>
      </w:pPr>
      <w:r>
        <w:rPr>
          <w:rFonts w:ascii="Arial" w:cs="Arial" w:eastAsia="Arial" w:hAnsi="Arial"/>
          <w:color w:val="333333"/>
          <w:sz w:val="20"/>
          <w:szCs w:val="20"/>
        </w:rPr>
        <w:t xml:space="preserve">Fondo I (2010, USD 285M): Focused exclusively on Colombia. Established the team's operational capabilities and track record with assets including TermoemCali (235MW gas cogeneration, operating since 1999) and transmission lines in La Guajira.</w:t>
      </w:r>
    </w:p>
    <w:p>
      <w:pPr>
        <w:pStyle w:val="ListParagraph"/>
        <w:numPr>
          <w:ilvl w:val="0"/>
          <w:numId w:val="2"/>
        </w:numPr>
      </w:pPr>
      <w:r>
        <w:rPr>
          <w:rFonts w:ascii="Arial" w:cs="Arial" w:eastAsia="Arial" w:hAnsi="Arial"/>
          <w:color w:val="333333"/>
          <w:sz w:val="20"/>
          <w:szCs w:val="20"/>
        </w:rPr>
        <w:t xml:space="preserve">Fondo Andino II (2015+, USD 248M): Expanded to Peru as a primary market, with secondary geographic exposure to Panama, Costa Rica, Guatemala, and El Salvador. Introduced the 'Andino' branding reflecting the regional strategy.</w:t>
      </w:r>
    </w:p>
    <w:p>
      <w:pPr>
        <w:pStyle w:val="ListParagraph"/>
        <w:numPr>
          <w:ilvl w:val="0"/>
          <w:numId w:val="2"/>
        </w:numPr>
      </w:pPr>
      <w:r>
        <w:rPr>
          <w:rFonts w:ascii="Arial" w:cs="Arial" w:eastAsia="Arial" w:hAnsi="Arial"/>
          <w:color w:val="333333"/>
          <w:sz w:val="20"/>
          <w:szCs w:val="20"/>
        </w:rPr>
        <w:t xml:space="preserve">Fondo Andino III (2023, USD 420M, oversubscribed): Expanded to include Guatemala and Dominican Republic as primary markets. Introduced explicit climate infrastructure and social infrastructure thematic overlays aligned with global LP mandates for impact investing.</w:t>
      </w:r>
    </w:p>
    <w:p>
      <w:pPr>
        <w:spacing w:before="220" w:after="80"/>
      </w:pPr>
      <w:r>
        <w:rPr>
          <w:rFonts w:ascii="Arial" w:cs="Arial" w:eastAsia="Arial" w:hAnsi="Arial"/>
          <w:b/>
          <w:bCs/>
          <w:color w:val="1A1A1A"/>
          <w:sz w:val="20"/>
          <w:szCs w:val="20"/>
        </w:rPr>
        <w:t xml:space="preserve">3.5 Describe the Firm's competitive advantages.</w:t>
      </w:r>
    </w:p>
    <w:p>
      <w:pPr>
        <w:shd w:fill="DCFCE7" w:val="clear"/>
        <w:spacing w:before="40" w:after="80"/>
      </w:pPr>
      <w:r>
        <w:rPr>
          <w:rFonts w:ascii="Arial" w:cs="Arial" w:eastAsia="Arial" w:hAnsi="Arial"/>
          <w:b/>
          <w:bCs/>
          <w:color w:val="166534"/>
          <w:sz w:val="17"/>
          <w:szCs w:val="17"/>
        </w:rPr>
        <w:t xml:space="preserve">✅  COMPLETA</w:t>
      </w:r>
    </w:p>
    <w:p>
      <w:pPr>
        <w:spacing w:before="60" w:after="60"/>
      </w:pPr>
      <w:r>
        <w:rPr>
          <w:rFonts w:ascii="Arial" w:cs="Arial" w:eastAsia="Arial" w:hAnsi="Arial"/>
          <w:color w:val="333333"/>
          <w:sz w:val="20"/>
          <w:szCs w:val="20"/>
        </w:rPr>
        <w:t xml:space="preserve">Ashmore Colombia's competitive advantages include:</w:t>
      </w:r>
    </w:p>
    <w:p>
      <w:pPr>
        <w:pStyle w:val="ListParagraph"/>
        <w:numPr>
          <w:ilvl w:val="0"/>
          <w:numId w:val="2"/>
        </w:numPr>
      </w:pPr>
      <w:r>
        <w:rPr>
          <w:rFonts w:ascii="Arial" w:cs="Arial" w:eastAsia="Arial" w:hAnsi="Arial"/>
          <w:color w:val="333333"/>
          <w:sz w:val="20"/>
          <w:szCs w:val="20"/>
        </w:rPr>
        <w:t xml:space="preserve">Track record: 15+ years managing infrastructure PE in Colombia and the Andes with 11+ portfolio companies across energy, transport, logistics, and social infrastructure</w:t>
      </w:r>
    </w:p>
    <w:p>
      <w:pPr>
        <w:pStyle w:val="ListParagraph"/>
        <w:numPr>
          <w:ilvl w:val="0"/>
          <w:numId w:val="2"/>
        </w:numPr>
      </w:pPr>
      <w:r>
        <w:rPr>
          <w:rFonts w:ascii="Arial" w:cs="Arial" w:eastAsia="Arial" w:hAnsi="Arial"/>
          <w:color w:val="333333"/>
          <w:sz w:val="20"/>
          <w:szCs w:val="20"/>
        </w:rPr>
        <w:t xml:space="preserve">Global backing: Access to Ashmore Group's global research, risk management, and institutional relationships while maintaining local decision-making autonomy</w:t>
      </w:r>
    </w:p>
    <w:p>
      <w:pPr>
        <w:pStyle w:val="ListParagraph"/>
        <w:numPr>
          <w:ilvl w:val="0"/>
          <w:numId w:val="2"/>
        </w:numPr>
      </w:pPr>
      <w:r>
        <w:rPr>
          <w:rFonts w:ascii="Arial" w:cs="Arial" w:eastAsia="Arial" w:hAnsi="Arial"/>
          <w:color w:val="333333"/>
          <w:sz w:val="20"/>
          <w:szCs w:val="20"/>
        </w:rPr>
        <w:t xml:space="preserve">Local origination: Deep relationships with ANI, UPME, government agencies, developers, and operators across Colombia, Peru, and Central America built over 15 years</w:t>
      </w:r>
    </w:p>
    <w:p>
      <w:pPr>
        <w:pStyle w:val="ListParagraph"/>
        <w:numPr>
          <w:ilvl w:val="0"/>
          <w:numId w:val="2"/>
        </w:numPr>
      </w:pPr>
      <w:r>
        <w:rPr>
          <w:rFonts w:ascii="Arial" w:cs="Arial" w:eastAsia="Arial" w:hAnsi="Arial"/>
          <w:color w:val="333333"/>
          <w:sz w:val="20"/>
          <w:szCs w:val="20"/>
        </w:rPr>
        <w:t xml:space="preserve">IFC Standards: ESG due diligence and portfolio management under IFC Performance Standards, a key differentiator for international LP base (SIFEM, BID, CAF)</w:t>
      </w:r>
    </w:p>
    <w:p>
      <w:pPr>
        <w:pStyle w:val="ListParagraph"/>
        <w:numPr>
          <w:ilvl w:val="0"/>
          <w:numId w:val="2"/>
        </w:numPr>
      </w:pPr>
      <w:r>
        <w:rPr>
          <w:rFonts w:ascii="Arial" w:cs="Arial" w:eastAsia="Arial" w:hAnsi="Arial"/>
          <w:color w:val="333333"/>
          <w:sz w:val="20"/>
          <w:szCs w:val="20"/>
        </w:rPr>
        <w:t xml:space="preserve">Proven capital deployment: Three oversubscribed funds demonstrate LP confidence and team's ability to originate attractive deal flow</w:t>
      </w:r>
    </w:p>
    <w:p>
      <w:pPr>
        <w:pStyle w:val="ListParagraph"/>
        <w:numPr>
          <w:ilvl w:val="0"/>
          <w:numId w:val="2"/>
        </w:numPr>
      </w:pPr>
      <w:r>
        <w:rPr>
          <w:rFonts w:ascii="Arial" w:cs="Arial" w:eastAsia="Arial" w:hAnsi="Arial"/>
          <w:color w:val="333333"/>
          <w:sz w:val="20"/>
          <w:szCs w:val="20"/>
        </w:rPr>
        <w:t xml:space="preserve">Operational expertise: Active asset management model with board representation and hands-on ESG and operational improvement programs</w:t>
      </w:r>
    </w:p>
    <w:p>
      <w:pPr>
        <w:spacing w:before="220" w:after="80"/>
      </w:pPr>
      <w:r>
        <w:rPr>
          <w:rFonts w:ascii="Arial" w:cs="Arial" w:eastAsia="Arial" w:hAnsi="Arial"/>
          <w:b/>
          <w:bCs/>
          <w:color w:val="1A1A1A"/>
          <w:sz w:val="20"/>
          <w:szCs w:val="20"/>
        </w:rPr>
        <w:t xml:space="preserve">3.10 Discuss the risk factors of the Fund's investment strategy and steps taken to mitigate them.</w:t>
      </w:r>
    </w:p>
    <w:p>
      <w:pPr>
        <w:shd w:fill="FEF9C3" w:val="clear"/>
        <w:spacing w:before="40" w:after="80"/>
      </w:pPr>
      <w:r>
        <w:rPr>
          <w:rFonts w:ascii="Arial" w:cs="Arial" w:eastAsia="Arial" w:hAnsi="Arial"/>
          <w:b/>
          <w:bCs/>
          <w:color w:val="854D0E"/>
          <w:sz w:val="17"/>
          <w:szCs w:val="17"/>
        </w:rPr>
        <w:t xml:space="preserve">🟡  PARCIAL — requiere validación interna</w:t>
      </w:r>
    </w:p>
    <w:p>
      <w:pPr>
        <w:spacing w:before="60" w:after="60"/>
      </w:pPr>
      <w:r>
        <w:rPr>
          <w:rFonts w:ascii="Arial" w:cs="Arial" w:eastAsia="Arial" w:hAnsi="Arial"/>
          <w:color w:val="333333"/>
          <w:sz w:val="20"/>
          <w:szCs w:val="20"/>
        </w:rPr>
        <w:t xml:space="preserve">Key risk factors and mitigation strategies:</w:t>
      </w:r>
    </w:p>
    <w:p>
      <w:pPr>
        <w:pStyle w:val="ListParagraph"/>
        <w:numPr>
          <w:ilvl w:val="0"/>
          <w:numId w:val="2"/>
        </w:numPr>
      </w:pPr>
      <w:r>
        <w:rPr>
          <w:rFonts w:ascii="Arial" w:cs="Arial" w:eastAsia="Arial" w:hAnsi="Arial"/>
          <w:color w:val="333333"/>
          <w:sz w:val="20"/>
          <w:szCs w:val="20"/>
        </w:rPr>
        <w:t xml:space="preserve">Political/regulatory risk: Diversification across 6 countries; focus on assets with regulatory or contractual protection (concessions, regulated tariffs, PPAs)</w:t>
      </w:r>
    </w:p>
    <w:p>
      <w:pPr>
        <w:pStyle w:val="ListParagraph"/>
        <w:numPr>
          <w:ilvl w:val="0"/>
          <w:numId w:val="2"/>
        </w:numPr>
      </w:pPr>
      <w:r>
        <w:rPr>
          <w:rFonts w:ascii="Arial" w:cs="Arial" w:eastAsia="Arial" w:hAnsi="Arial"/>
          <w:color w:val="333333"/>
          <w:sz w:val="20"/>
          <w:szCs w:val="20"/>
        </w:rPr>
        <w:t xml:space="preserve">Currency risk: USD-denominated fund; most infrastructure revenues are USD-linked or indexed to inflation</w:t>
      </w:r>
    </w:p>
    <w:p>
      <w:pPr>
        <w:pStyle w:val="ListParagraph"/>
        <w:numPr>
          <w:ilvl w:val="0"/>
          <w:numId w:val="2"/>
        </w:numPr>
      </w:pPr>
      <w:r>
        <w:rPr>
          <w:rFonts w:ascii="Arial" w:cs="Arial" w:eastAsia="Arial" w:hAnsi="Arial"/>
          <w:color w:val="333333"/>
          <w:sz w:val="20"/>
          <w:szCs w:val="20"/>
        </w:rPr>
        <w:t xml:space="preserve">Construction risk: Focus on operational or advanced-construction assets minimizes this risk; engineering due diligence for any construction exposure</w:t>
      </w:r>
    </w:p>
    <w:p>
      <w:pPr>
        <w:pStyle w:val="ListParagraph"/>
        <w:numPr>
          <w:ilvl w:val="0"/>
          <w:numId w:val="2"/>
        </w:numPr>
      </w:pPr>
      <w:r>
        <w:rPr>
          <w:rFonts w:ascii="Arial" w:cs="Arial" w:eastAsia="Arial" w:hAnsi="Arial"/>
          <w:color w:val="333333"/>
          <w:sz w:val="20"/>
          <w:szCs w:val="20"/>
        </w:rPr>
        <w:t xml:space="preserve">ESG/community risk: IFC Performance Standards-based due diligence and active ESG management throughout investment life</w:t>
      </w:r>
    </w:p>
    <w:p>
      <w:pPr>
        <w:pStyle w:val="ListParagraph"/>
        <w:numPr>
          <w:ilvl w:val="0"/>
          <w:numId w:val="2"/>
        </w:numPr>
      </w:pPr>
      <w:r>
        <w:rPr>
          <w:rFonts w:ascii="Arial" w:cs="Arial" w:eastAsia="Arial" w:hAnsi="Arial"/>
          <w:color w:val="333333"/>
          <w:sz w:val="20"/>
          <w:szCs w:val="20"/>
        </w:rPr>
        <w:t xml:space="preserve">Concentration risk: Diversification limits by geography, sector, and single asset exposure</w:t>
      </w:r>
    </w:p>
    <w:p>
      <w:pPr>
        <w:shd w:fill="FFFBEB" w:val="clear"/>
        <w:spacing w:before="80" w:after="140"/>
      </w:pPr>
      <w:r>
        <w:rPr>
          <w:rFonts w:ascii="Arial" w:cs="Arial" w:eastAsia="Arial" w:hAnsi="Arial"/>
          <w:b/>
          <w:bCs/>
          <w:color w:val="854D0E"/>
          <w:sz w:val="18"/>
          <w:szCs w:val="18"/>
        </w:rPr>
        <w:t xml:space="preserve">PARA COMPLETAR: </w:t>
      </w:r>
      <w:r>
        <w:rPr>
          <w:rFonts w:ascii="Arial" w:cs="Arial" w:eastAsia="Arial" w:hAnsi="Arial"/>
          <w:i/>
          <w:iCs/>
          <w:color w:val="854D0E"/>
          <w:sz w:val="18"/>
          <w:szCs w:val="18"/>
        </w:rPr>
        <w:t xml:space="preserve">Completar con los límites de riesgo específicos del reglamento del fondo, el proceso formal de gestión de riesgos, y el marco de stress testing de la cartera.</w:t>
      </w:r>
    </w:p>
    <w:p>
      <w:pPr>
        <w:pBdr>
          <w:bottom w:val="single" w:color="E0DBD0" w:sz="2" w:space="1"/>
        </w:pBdr>
        <w:spacing w:before="120" w:after="120"/>
      </w:pPr>
      <w:r>
        <w:t xml:space="preserve"/>
      </w:r>
    </w:p>
    <w:p>
      <w:pPr>
        <w:pBdr>
          <w:bottom w:val="single" w:color="B8860B" w:sz="8" w:space="1"/>
        </w:pBdr>
        <w:spacing w:before="400" w:after="160"/>
      </w:pPr>
      <w:r>
        <w:rPr>
          <w:rFonts w:ascii="Arial" w:cs="Arial" w:eastAsia="Arial" w:hAnsi="Arial"/>
          <w:b/>
          <w:bCs/>
          <w:color w:val="0A2240"/>
          <w:sz w:val="28"/>
          <w:szCs w:val="28"/>
        </w:rPr>
        <w:t xml:space="preserve">SECCIÓN 4.0 — INVESTMENT PROCESS</w:t>
      </w:r>
    </w:p>
    <w:p>
      <w:pPr>
        <w:spacing w:before="220" w:after="80"/>
      </w:pPr>
      <w:r>
        <w:rPr>
          <w:rFonts w:ascii="Arial" w:cs="Arial" w:eastAsia="Arial" w:hAnsi="Arial"/>
          <w:b/>
          <w:bCs/>
          <w:color w:val="1A1A1A"/>
          <w:sz w:val="20"/>
          <w:szCs w:val="20"/>
        </w:rPr>
        <w:t xml:space="preserve">4.1 Describe the Firm's investment process from origination to closing.</w:t>
      </w:r>
    </w:p>
    <w:p>
      <w:pPr>
        <w:shd w:fill="FEF9C3" w:val="clear"/>
        <w:spacing w:before="40" w:after="80"/>
      </w:pPr>
      <w:r>
        <w:rPr>
          <w:rFonts w:ascii="Arial" w:cs="Arial" w:eastAsia="Arial" w:hAnsi="Arial"/>
          <w:b/>
          <w:bCs/>
          <w:color w:val="854D0E"/>
          <w:sz w:val="17"/>
          <w:szCs w:val="17"/>
        </w:rPr>
        <w:t xml:space="preserve">🟡  PARCIAL — requiere validación interna</w:t>
      </w:r>
    </w:p>
    <w:p>
      <w:pPr>
        <w:spacing w:before="60" w:after="60"/>
      </w:pPr>
      <w:r>
        <w:rPr>
          <w:rFonts w:ascii="Arial" w:cs="Arial" w:eastAsia="Arial" w:hAnsi="Arial"/>
          <w:color w:val="333333"/>
          <w:sz w:val="20"/>
          <w:szCs w:val="20"/>
        </w:rPr>
        <w:t xml:space="preserve">Based on public information and standard PE infrastructure practice, Ashmore's investment process follows these stages:</w:t>
      </w:r>
    </w:p>
    <w:p>
      <w:pPr>
        <w:pStyle w:val="ListParagraph"/>
        <w:numPr>
          <w:ilvl w:val="0"/>
          <w:numId w:val="2"/>
        </w:numPr>
      </w:pPr>
      <w:r>
        <w:rPr>
          <w:rFonts w:ascii="Arial" w:cs="Arial" w:eastAsia="Arial" w:hAnsi="Arial"/>
          <w:color w:val="333333"/>
          <w:sz w:val="20"/>
          <w:szCs w:val="20"/>
        </w:rPr>
        <w:t xml:space="preserve">Origination: Proprietary deal flow from government agencies, developers, operators, and financial intermediaries across target geographies. Active monitoring of public procurement processes (ANI, UPME, national development plans).</w:t>
      </w:r>
    </w:p>
    <w:p>
      <w:pPr>
        <w:pStyle w:val="ListParagraph"/>
        <w:numPr>
          <w:ilvl w:val="0"/>
          <w:numId w:val="2"/>
        </w:numPr>
      </w:pPr>
      <w:r>
        <w:rPr>
          <w:rFonts w:ascii="Arial" w:cs="Arial" w:eastAsia="Arial" w:hAnsi="Arial"/>
          <w:color w:val="333333"/>
          <w:sz w:val="20"/>
          <w:szCs w:val="20"/>
        </w:rPr>
        <w:t xml:space="preserve">Screening: Initial assessment against fund parameters (geography, sector, ticket size, return profile, ESG flags). Investment Screening Memo for IC preliminary approval.</w:t>
      </w:r>
    </w:p>
    <w:p>
      <w:pPr>
        <w:pStyle w:val="ListParagraph"/>
        <w:numPr>
          <w:ilvl w:val="0"/>
          <w:numId w:val="2"/>
        </w:numPr>
      </w:pPr>
      <w:r>
        <w:rPr>
          <w:rFonts w:ascii="Arial" w:cs="Arial" w:eastAsia="Arial" w:hAnsi="Arial"/>
          <w:color w:val="333333"/>
          <w:sz w:val="20"/>
          <w:szCs w:val="20"/>
        </w:rPr>
        <w:t xml:space="preserve">Due Diligence: Financial, technical, legal, environmental/social, and commercial DD. Engagement of independent advisors. IFC-aligned ESG due diligence process.</w:t>
      </w:r>
    </w:p>
    <w:p>
      <w:pPr>
        <w:pStyle w:val="ListParagraph"/>
        <w:numPr>
          <w:ilvl w:val="0"/>
          <w:numId w:val="2"/>
        </w:numPr>
      </w:pPr>
      <w:r>
        <w:rPr>
          <w:rFonts w:ascii="Arial" w:cs="Arial" w:eastAsia="Arial" w:hAnsi="Arial"/>
          <w:color w:val="333333"/>
          <w:sz w:val="20"/>
          <w:szCs w:val="20"/>
        </w:rPr>
        <w:t xml:space="preserve">IC Approval: Investment Committee approval required at multiple stages (entry approval, final approval). Ashmore Group IC involvement for transactions above threshold.</w:t>
      </w:r>
    </w:p>
    <w:p>
      <w:pPr>
        <w:pStyle w:val="ListParagraph"/>
        <w:numPr>
          <w:ilvl w:val="0"/>
          <w:numId w:val="2"/>
        </w:numPr>
      </w:pPr>
      <w:r>
        <w:rPr>
          <w:rFonts w:ascii="Arial" w:cs="Arial" w:eastAsia="Arial" w:hAnsi="Arial"/>
          <w:color w:val="333333"/>
          <w:sz w:val="20"/>
          <w:szCs w:val="20"/>
        </w:rPr>
        <w:t xml:space="preserve">Structuring and Closing: Legal structuring, negotiation of shareholders agreements, financial close.</w:t>
      </w:r>
    </w:p>
    <w:p>
      <w:pPr>
        <w:pStyle w:val="ListParagraph"/>
        <w:numPr>
          <w:ilvl w:val="0"/>
          <w:numId w:val="2"/>
        </w:numPr>
      </w:pPr>
      <w:r>
        <w:rPr>
          <w:rFonts w:ascii="Arial" w:cs="Arial" w:eastAsia="Arial" w:hAnsi="Arial"/>
          <w:color w:val="333333"/>
          <w:sz w:val="20"/>
          <w:szCs w:val="20"/>
        </w:rPr>
        <w:t xml:space="preserve">Asset Management: Active governance through board representation, quarterly reporting, ESG monitoring, and operational value creation initiatives.</w:t>
      </w:r>
    </w:p>
    <w:p>
      <w:pPr>
        <w:shd w:fill="FFFBEB" w:val="clear"/>
        <w:spacing w:before="80" w:after="140"/>
      </w:pPr>
      <w:r>
        <w:rPr>
          <w:rFonts w:ascii="Arial" w:cs="Arial" w:eastAsia="Arial" w:hAnsi="Arial"/>
          <w:b/>
          <w:bCs/>
          <w:color w:val="854D0E"/>
          <w:sz w:val="18"/>
          <w:szCs w:val="18"/>
        </w:rPr>
        <w:t xml:space="preserve">PARA COMPLETAR: </w:t>
      </w:r>
      <w:r>
        <w:rPr>
          <w:rFonts w:ascii="Arial" w:cs="Arial" w:eastAsia="Arial" w:hAnsi="Arial"/>
          <w:i/>
          <w:iCs/>
          <w:color w:val="854D0E"/>
          <w:sz w:val="18"/>
          <w:szCs w:val="18"/>
        </w:rPr>
        <w:t xml:space="preserve">Solicitar el Investment Policy Statement y el manual de procesos de inversión para detallar: composición del IC, quorum requerido, veto rights, proceso de escalamiento a Ashmore Group Londres, y políticas de conflictos de interés en decisiones de inversión.</w:t>
      </w:r>
    </w:p>
    <w:p>
      <w:pPr>
        <w:spacing w:before="220" w:after="80"/>
      </w:pPr>
      <w:r>
        <w:rPr>
          <w:rFonts w:ascii="Arial" w:cs="Arial" w:eastAsia="Arial" w:hAnsi="Arial"/>
          <w:b/>
          <w:bCs/>
          <w:color w:val="1A1A1A"/>
          <w:sz w:val="20"/>
          <w:szCs w:val="20"/>
        </w:rPr>
        <w:t xml:space="preserve">4.2 Describe the firm's decision-making process and governance structure.</w:t>
      </w:r>
    </w:p>
    <w:p>
      <w:pPr>
        <w:shd w:fill="FEE2E2" w:val="clear"/>
        <w:spacing w:before="40" w:after="80"/>
      </w:pPr>
      <w:r>
        <w:rPr>
          <w:rFonts w:ascii="Arial" w:cs="Arial" w:eastAsia="Arial" w:hAnsi="Arial"/>
          <w:b/>
          <w:bCs/>
          <w:color w:val="991B1B"/>
          <w:sz w:val="17"/>
          <w:szCs w:val="17"/>
        </w:rPr>
        <w:t xml:space="preserve">🔴  REQUIERE INPUT INTERNO</w:t>
      </w:r>
    </w:p>
    <w:p>
      <w:pPr>
        <w:shd w:fill="FFFBEB" w:val="clear"/>
        <w:spacing w:before="80" w:after="140"/>
      </w:pPr>
      <w:r>
        <w:rPr>
          <w:rFonts w:ascii="Arial" w:cs="Arial" w:eastAsia="Arial" w:hAnsi="Arial"/>
          <w:b/>
          <w:bCs/>
          <w:color w:val="854D0E"/>
          <w:sz w:val="18"/>
          <w:szCs w:val="18"/>
        </w:rPr>
        <w:t xml:space="preserve">PARA COMPLETAR: </w:t>
      </w:r>
      <w:r>
        <w:rPr>
          <w:rFonts w:ascii="Arial" w:cs="Arial" w:eastAsia="Arial" w:hAnsi="Arial"/>
          <w:i/>
          <w:iCs/>
          <w:color w:val="854D0E"/>
          <w:sz w:val="18"/>
          <w:szCs w:val="18"/>
        </w:rPr>
        <w:t xml:space="preserve">Solicitar descripción del Investment Committee: miembros, roles, proceso de votación, quorum, veto rights, frecuencia de reuniones. Incluir si hay representación del IC de Ashmore Group plc en las decisiones del fondo colombiano.</w:t>
      </w:r>
    </w:p>
    <w:p>
      <w:pPr>
        <w:pBdr>
          <w:bottom w:val="single" w:color="E0DBD0" w:sz="2" w:space="1"/>
        </w:pBdr>
        <w:spacing w:before="120" w:after="120"/>
      </w:pPr>
      <w:r>
        <w:t xml:space="preserve"/>
      </w:r>
    </w:p>
    <w:p>
      <w:pPr>
        <w:pBdr>
          <w:bottom w:val="single" w:color="B8860B" w:sz="8" w:space="1"/>
        </w:pBdr>
        <w:spacing w:before="400" w:after="160"/>
      </w:pPr>
      <w:r>
        <w:rPr>
          <w:rFonts w:ascii="Arial" w:cs="Arial" w:eastAsia="Arial" w:hAnsi="Arial"/>
          <w:b/>
          <w:bCs/>
          <w:color w:val="0A2240"/>
          <w:sz w:val="28"/>
          <w:szCs w:val="28"/>
        </w:rPr>
        <w:t xml:space="preserve">SECCIÓN 5.0 — INVESTMENT TEAM</w:t>
      </w:r>
    </w:p>
    <w:p>
      <w:pPr>
        <w:spacing w:before="220" w:after="80"/>
      </w:pPr>
      <w:r>
        <w:rPr>
          <w:rFonts w:ascii="Arial" w:cs="Arial" w:eastAsia="Arial" w:hAnsi="Arial"/>
          <w:b/>
          <w:bCs/>
          <w:color w:val="1A1A1A"/>
          <w:sz w:val="20"/>
          <w:szCs w:val="20"/>
        </w:rPr>
        <w:t xml:space="preserve">5.1 Provide biographical information for all investment professionals.</w:t>
      </w:r>
    </w:p>
    <w:p>
      <w:pPr>
        <w:shd w:fill="FEE2E2" w:val="clear"/>
        <w:spacing w:before="40" w:after="80"/>
      </w:pPr>
      <w:r>
        <w:rPr>
          <w:rFonts w:ascii="Arial" w:cs="Arial" w:eastAsia="Arial" w:hAnsi="Arial"/>
          <w:b/>
          <w:bCs/>
          <w:color w:val="991B1B"/>
          <w:sz w:val="17"/>
          <w:szCs w:val="17"/>
        </w:rPr>
        <w:t xml:space="preserve">🔴  REQUIERE INPUT INTERNO</w:t>
      </w:r>
    </w:p>
    <w:p>
      <w:pPr>
        <w:spacing w:before="60" w:after="60"/>
      </w:pPr>
      <w:r>
        <w:rPr>
          <w:rFonts w:ascii="Arial" w:cs="Arial" w:eastAsia="Arial" w:hAnsi="Arial"/>
          <w:color w:val="333333"/>
          <w:sz w:val="20"/>
          <w:szCs w:val="20"/>
        </w:rPr>
        <w:t xml:space="preserve">Ashmore Management Company Colombia SAS has not published detailed team biographies in publicly available sources.</w:t>
      </w:r>
    </w:p>
    <w:p>
      <w:pPr>
        <w:shd w:fill="FFFBEB" w:val="clear"/>
        <w:spacing w:before="80" w:after="140"/>
      </w:pPr>
      <w:r>
        <w:rPr>
          <w:rFonts w:ascii="Arial" w:cs="Arial" w:eastAsia="Arial" w:hAnsi="Arial"/>
          <w:b/>
          <w:bCs/>
          <w:color w:val="854D0E"/>
          <w:sz w:val="18"/>
          <w:szCs w:val="18"/>
        </w:rPr>
        <w:t xml:space="preserve">PARA COMPLETAR: </w:t>
      </w:r>
      <w:r>
        <w:rPr>
          <w:rFonts w:ascii="Arial" w:cs="Arial" w:eastAsia="Arial" w:hAnsi="Arial"/>
          <w:i/>
          <w:iCs/>
          <w:color w:val="854D0E"/>
          <w:sz w:val="18"/>
          <w:szCs w:val="18"/>
        </w:rPr>
        <w:t xml:space="preserve">Solicitar biographies completas del equipo de inversión, incluyendo: nombre, cargo, años en Ashmore, experiencia previa, formación académica, responsabilidades actuales. Este es un requisito central del DDQ de ILPA.</w:t>
      </w:r>
    </w:p>
    <w:p>
      <w:pPr>
        <w:spacing w:before="220" w:after="80"/>
      </w:pPr>
      <w:r>
        <w:rPr>
          <w:rFonts w:ascii="Arial" w:cs="Arial" w:eastAsia="Arial" w:hAnsi="Arial"/>
          <w:b/>
          <w:bCs/>
          <w:color w:val="1A1A1A"/>
          <w:sz w:val="20"/>
          <w:szCs w:val="20"/>
        </w:rPr>
        <w:t xml:space="preserve">5.2 Describe key person provisions.</w:t>
      </w:r>
    </w:p>
    <w:p>
      <w:pPr>
        <w:shd w:fill="FEE2E2" w:val="clear"/>
        <w:spacing w:before="40" w:after="80"/>
      </w:pPr>
      <w:r>
        <w:rPr>
          <w:rFonts w:ascii="Arial" w:cs="Arial" w:eastAsia="Arial" w:hAnsi="Arial"/>
          <w:b/>
          <w:bCs/>
          <w:color w:val="991B1B"/>
          <w:sz w:val="17"/>
          <w:szCs w:val="17"/>
        </w:rPr>
        <w:t xml:space="preserve">🔴  REQUIERE INPUT INTERNO</w:t>
      </w:r>
    </w:p>
    <w:p>
      <w:pPr>
        <w:shd w:fill="FFFBEB" w:val="clear"/>
        <w:spacing w:before="80" w:after="140"/>
      </w:pPr>
      <w:r>
        <w:rPr>
          <w:rFonts w:ascii="Arial" w:cs="Arial" w:eastAsia="Arial" w:hAnsi="Arial"/>
          <w:b/>
          <w:bCs/>
          <w:color w:val="854D0E"/>
          <w:sz w:val="18"/>
          <w:szCs w:val="18"/>
        </w:rPr>
        <w:t xml:space="preserve">PARA COMPLETAR: </w:t>
      </w:r>
      <w:r>
        <w:rPr>
          <w:rFonts w:ascii="Arial" w:cs="Arial" w:eastAsia="Arial" w:hAnsi="Arial"/>
          <w:i/>
          <w:iCs/>
          <w:color w:val="854D0E"/>
          <w:sz w:val="18"/>
          <w:szCs w:val="18"/>
        </w:rPr>
        <w:t xml:space="preserve">Revisar el LPA y el Reglamento del FCP para identificar las definiciones de 'key person', los eventos que activan las provisiones, y el proceso de consulta/aprobación con los LPs en caso de cambio en el equipo clave.</w:t>
      </w:r>
    </w:p>
    <w:p>
      <w:pPr>
        <w:spacing w:before="220" w:after="80"/>
      </w:pPr>
      <w:r>
        <w:rPr>
          <w:rFonts w:ascii="Arial" w:cs="Arial" w:eastAsia="Arial" w:hAnsi="Arial"/>
          <w:b/>
          <w:bCs/>
          <w:color w:val="1A1A1A"/>
          <w:sz w:val="20"/>
          <w:szCs w:val="20"/>
        </w:rPr>
        <w:t xml:space="preserve">5.3 Describe any significant changes in the investment team since the last fund.</w:t>
      </w:r>
    </w:p>
    <w:p>
      <w:pPr>
        <w:shd w:fill="FEE2E2" w:val="clear"/>
        <w:spacing w:before="40" w:after="80"/>
      </w:pPr>
      <w:r>
        <w:rPr>
          <w:rFonts w:ascii="Arial" w:cs="Arial" w:eastAsia="Arial" w:hAnsi="Arial"/>
          <w:b/>
          <w:bCs/>
          <w:color w:val="991B1B"/>
          <w:sz w:val="17"/>
          <w:szCs w:val="17"/>
        </w:rPr>
        <w:t xml:space="preserve">🔴  REQUIERE INPUT INTERNO</w:t>
      </w:r>
    </w:p>
    <w:p>
      <w:pPr>
        <w:shd w:fill="FFFBEB" w:val="clear"/>
        <w:spacing w:before="80" w:after="140"/>
      </w:pPr>
      <w:r>
        <w:rPr>
          <w:rFonts w:ascii="Arial" w:cs="Arial" w:eastAsia="Arial" w:hAnsi="Arial"/>
          <w:b/>
          <w:bCs/>
          <w:color w:val="854D0E"/>
          <w:sz w:val="18"/>
          <w:szCs w:val="18"/>
        </w:rPr>
        <w:t xml:space="preserve">PARA COMPLETAR: </w:t>
      </w:r>
      <w:r>
        <w:rPr>
          <w:rFonts w:ascii="Arial" w:cs="Arial" w:eastAsia="Arial" w:hAnsi="Arial"/>
          <w:i/>
          <w:iCs/>
          <w:color w:val="854D0E"/>
          <w:sz w:val="18"/>
          <w:szCs w:val="18"/>
        </w:rPr>
        <w:t xml:space="preserve">Confirmar con RRHH/Dirección General si hubo cambios materiales en el equipo entre el Fondo II y el Fondo III. Considerar tanto salidas como incorporaciones relevantes.</w:t>
      </w:r>
    </w:p>
    <w:p>
      <w:pPr>
        <w:pBdr>
          <w:bottom w:val="single" w:color="E0DBD0" w:sz="2" w:space="1"/>
        </w:pBdr>
        <w:spacing w:before="120" w:after="120"/>
      </w:pPr>
      <w:r>
        <w:t xml:space="preserve"/>
      </w:r>
    </w:p>
    <w:p>
      <w:pPr>
        <w:pBdr>
          <w:bottom w:val="single" w:color="B8860B" w:sz="8" w:space="1"/>
        </w:pBdr>
        <w:spacing w:before="400" w:after="160"/>
      </w:pPr>
      <w:r>
        <w:rPr>
          <w:rFonts w:ascii="Arial" w:cs="Arial" w:eastAsia="Arial" w:hAnsi="Arial"/>
          <w:b/>
          <w:bCs/>
          <w:color w:val="0A2240"/>
          <w:sz w:val="28"/>
          <w:szCs w:val="28"/>
        </w:rPr>
        <w:t xml:space="preserve">SECCIÓN 6.0 — ALIGNMENT OF INTEREST</w:t>
      </w:r>
    </w:p>
    <w:p>
      <w:pPr>
        <w:spacing w:before="220" w:after="80"/>
      </w:pPr>
      <w:r>
        <w:rPr>
          <w:rFonts w:ascii="Arial" w:cs="Arial" w:eastAsia="Arial" w:hAnsi="Arial"/>
          <w:b/>
          <w:bCs/>
          <w:color w:val="1A1A1A"/>
          <w:sz w:val="20"/>
          <w:szCs w:val="20"/>
        </w:rPr>
        <w:t xml:space="preserve">6.1 Describe the general partner's commitment to the Fund.</w:t>
      </w:r>
    </w:p>
    <w:p>
      <w:pPr>
        <w:shd w:fill="FEE2E2" w:val="clear"/>
        <w:spacing w:before="40" w:after="80"/>
      </w:pPr>
      <w:r>
        <w:rPr>
          <w:rFonts w:ascii="Arial" w:cs="Arial" w:eastAsia="Arial" w:hAnsi="Arial"/>
          <w:b/>
          <w:bCs/>
          <w:color w:val="991B1B"/>
          <w:sz w:val="17"/>
          <w:szCs w:val="17"/>
        </w:rPr>
        <w:t xml:space="preserve">🔴  REQUIERE INPUT INTERNO</w:t>
      </w:r>
    </w:p>
    <w:p>
      <w:pPr>
        <w:shd w:fill="FFFBEB" w:val="clear"/>
        <w:spacing w:before="80" w:after="140"/>
      </w:pPr>
      <w:r>
        <w:rPr>
          <w:rFonts w:ascii="Arial" w:cs="Arial" w:eastAsia="Arial" w:hAnsi="Arial"/>
          <w:b/>
          <w:bCs/>
          <w:color w:val="854D0E"/>
          <w:sz w:val="18"/>
          <w:szCs w:val="18"/>
        </w:rPr>
        <w:t xml:space="preserve">PARA COMPLETAR: </w:t>
      </w:r>
      <w:r>
        <w:rPr>
          <w:rFonts w:ascii="Arial" w:cs="Arial" w:eastAsia="Arial" w:hAnsi="Arial"/>
          <w:i/>
          <w:iCs/>
          <w:color w:val="854D0E"/>
          <w:sz w:val="18"/>
          <w:szCs w:val="18"/>
        </w:rPr>
        <w:t xml:space="preserve">Confirmar el monto del compromiso del GP en el Fondo Andino III. El estándar de mercado ILPA recomienda un mínimo del 1-2% del tamaño del fondo. Revisar el LPA para el compromiso formal.</w:t>
      </w:r>
    </w:p>
    <w:p>
      <w:pPr>
        <w:spacing w:before="220" w:after="80"/>
      </w:pPr>
      <w:r>
        <w:rPr>
          <w:rFonts w:ascii="Arial" w:cs="Arial" w:eastAsia="Arial" w:hAnsi="Arial"/>
          <w:b/>
          <w:bCs/>
          <w:color w:val="1A1A1A"/>
          <w:sz w:val="20"/>
          <w:szCs w:val="20"/>
        </w:rPr>
        <w:t xml:space="preserve">6.2 Describe the carried interest structure.</w:t>
      </w:r>
    </w:p>
    <w:p>
      <w:pPr>
        <w:shd w:fill="FEE2E2" w:val="clear"/>
        <w:spacing w:before="40" w:after="80"/>
      </w:pPr>
      <w:r>
        <w:rPr>
          <w:rFonts w:ascii="Arial" w:cs="Arial" w:eastAsia="Arial" w:hAnsi="Arial"/>
          <w:b/>
          <w:bCs/>
          <w:color w:val="991B1B"/>
          <w:sz w:val="17"/>
          <w:szCs w:val="17"/>
        </w:rPr>
        <w:t xml:space="preserve">🔴  REQUIERE INPUT INTERNO</w:t>
      </w:r>
    </w:p>
    <w:p>
      <w:pPr>
        <w:shd w:fill="FFFBEB" w:val="clear"/>
        <w:spacing w:before="80" w:after="140"/>
      </w:pPr>
      <w:r>
        <w:rPr>
          <w:rFonts w:ascii="Arial" w:cs="Arial" w:eastAsia="Arial" w:hAnsi="Arial"/>
          <w:b/>
          <w:bCs/>
          <w:color w:val="854D0E"/>
          <w:sz w:val="18"/>
          <w:szCs w:val="18"/>
        </w:rPr>
        <w:t xml:space="preserve">PARA COMPLETAR: </w:t>
      </w:r>
      <w:r>
        <w:rPr>
          <w:rFonts w:ascii="Arial" w:cs="Arial" w:eastAsia="Arial" w:hAnsi="Arial"/>
          <w:i/>
          <w:iCs/>
          <w:color w:val="854D0E"/>
          <w:sz w:val="18"/>
          <w:szCs w:val="18"/>
        </w:rPr>
        <w:t xml:space="preserve">Solicitar al equipo legal la estructura de carried interest del Fondo III: porcentaje de carry, hurdle rate, catch-up provision, clawback mechanism, y estructura de distribuciones (European vs. American waterfall).</w:t>
      </w:r>
    </w:p>
    <w:p>
      <w:pPr>
        <w:pBdr>
          <w:bottom w:val="single" w:color="E0DBD0" w:sz="2" w:space="1"/>
        </w:pBdr>
        <w:spacing w:before="120" w:after="120"/>
      </w:pPr>
      <w:r>
        <w:t xml:space="preserve"/>
      </w:r>
    </w:p>
    <w:p>
      <w:pPr>
        <w:pBdr>
          <w:bottom w:val="single" w:color="B8860B" w:sz="8" w:space="1"/>
        </w:pBdr>
        <w:spacing w:before="400" w:after="160"/>
      </w:pPr>
      <w:r>
        <w:rPr>
          <w:rFonts w:ascii="Arial" w:cs="Arial" w:eastAsia="Arial" w:hAnsi="Arial"/>
          <w:b/>
          <w:bCs/>
          <w:color w:val="0A2240"/>
          <w:sz w:val="28"/>
          <w:szCs w:val="28"/>
        </w:rPr>
        <w:t xml:space="preserve">SECCIÓN 7.0 — MARKET ENVIRONMENT</w:t>
      </w:r>
    </w:p>
    <w:p>
      <w:pPr>
        <w:spacing w:before="220" w:after="80"/>
      </w:pPr>
      <w:r>
        <w:rPr>
          <w:rFonts w:ascii="Arial" w:cs="Arial" w:eastAsia="Arial" w:hAnsi="Arial"/>
          <w:b/>
          <w:bCs/>
          <w:color w:val="1A1A1A"/>
          <w:sz w:val="20"/>
          <w:szCs w:val="20"/>
        </w:rPr>
        <w:t xml:space="preserve">7.1 Describe the current market environment for the Fund's strategy.</w:t>
      </w:r>
    </w:p>
    <w:p>
      <w:pPr>
        <w:shd w:fill="DCFCE7" w:val="clear"/>
        <w:spacing w:before="40" w:after="80"/>
      </w:pPr>
      <w:r>
        <w:rPr>
          <w:rFonts w:ascii="Arial" w:cs="Arial" w:eastAsia="Arial" w:hAnsi="Arial"/>
          <w:b/>
          <w:bCs/>
          <w:color w:val="166534"/>
          <w:sz w:val="17"/>
          <w:szCs w:val="17"/>
        </w:rPr>
        <w:t xml:space="preserve">✅  COMPLETA</w:t>
      </w:r>
    </w:p>
    <w:p>
      <w:pPr>
        <w:spacing w:before="60" w:after="60"/>
      </w:pPr>
      <w:r>
        <w:rPr>
          <w:rFonts w:ascii="Arial" w:cs="Arial" w:eastAsia="Arial" w:hAnsi="Arial"/>
          <w:color w:val="333333"/>
          <w:sz w:val="20"/>
          <w:szCs w:val="20"/>
        </w:rPr>
        <w:t xml:space="preserve">The infrastructure market in Colombia and the Andes presents compelling investment conditions:</w:t>
      </w:r>
    </w:p>
    <w:p>
      <w:pPr>
        <w:pStyle w:val="ListParagraph"/>
        <w:numPr>
          <w:ilvl w:val="0"/>
          <w:numId w:val="2"/>
        </w:numPr>
      </w:pPr>
      <w:r>
        <w:rPr>
          <w:rFonts w:ascii="Arial" w:cs="Arial" w:eastAsia="Arial" w:hAnsi="Arial"/>
          <w:color w:val="333333"/>
          <w:sz w:val="20"/>
          <w:szCs w:val="20"/>
        </w:rPr>
        <w:t xml:space="preserve">Infrastructure gap: The region faces a significant infrastructure deficit estimated at 3-4% of GDP annually across transport, energy, and social infrastructure</w:t>
      </w:r>
    </w:p>
    <w:p>
      <w:pPr>
        <w:pStyle w:val="ListParagraph"/>
        <w:numPr>
          <w:ilvl w:val="0"/>
          <w:numId w:val="2"/>
        </w:numPr>
      </w:pPr>
      <w:r>
        <w:rPr>
          <w:rFonts w:ascii="Arial" w:cs="Arial" w:eastAsia="Arial" w:hAnsi="Arial"/>
          <w:color w:val="333333"/>
          <w:sz w:val="20"/>
          <w:szCs w:val="20"/>
        </w:rPr>
        <w:t xml:space="preserve">Energy transition: Colombia's commitment to expand renewable energy capacity creates significant investment opportunities in solar, wind, and green hydrogen</w:t>
      </w:r>
    </w:p>
    <w:p>
      <w:pPr>
        <w:pStyle w:val="ListParagraph"/>
        <w:numPr>
          <w:ilvl w:val="0"/>
          <w:numId w:val="2"/>
        </w:numPr>
      </w:pPr>
      <w:r>
        <w:rPr>
          <w:rFonts w:ascii="Arial" w:cs="Arial" w:eastAsia="Arial" w:hAnsi="Arial"/>
          <w:color w:val="333333"/>
          <w:sz w:val="20"/>
          <w:szCs w:val="20"/>
        </w:rPr>
        <w:t xml:space="preserve">4G/5G road concessions: Colombia's ongoing 4G highway program and emerging 5G program provide a pipeline of transport infrastructure opportunities</w:t>
      </w:r>
    </w:p>
    <w:p>
      <w:pPr>
        <w:pStyle w:val="ListParagraph"/>
        <w:numPr>
          <w:ilvl w:val="0"/>
          <w:numId w:val="2"/>
        </w:numPr>
      </w:pPr>
      <w:r>
        <w:rPr>
          <w:rFonts w:ascii="Arial" w:cs="Arial" w:eastAsia="Arial" w:hAnsi="Arial"/>
          <w:color w:val="333333"/>
          <w:sz w:val="20"/>
          <w:szCs w:val="20"/>
        </w:rPr>
        <w:t xml:space="preserve">Regional integration: Growing economic integration across the Pacific Alliance countries (Colombia, Peru, Mexico, Chile) supports Andean/Central American infrastructure connectivity</w:t>
      </w:r>
    </w:p>
    <w:p>
      <w:pPr>
        <w:pStyle w:val="ListParagraph"/>
        <w:numPr>
          <w:ilvl w:val="0"/>
          <w:numId w:val="2"/>
        </w:numPr>
      </w:pPr>
      <w:r>
        <w:rPr>
          <w:rFonts w:ascii="Arial" w:cs="Arial" w:eastAsia="Arial" w:hAnsi="Arial"/>
          <w:color w:val="333333"/>
          <w:sz w:val="20"/>
          <w:szCs w:val="20"/>
        </w:rPr>
        <w:t xml:space="preserve">DFI support: Active presence of IFC, IDB, CAF, and bilateral DFIs provides co-investment capacity and concessional financing to enhance returns</w:t>
      </w:r>
    </w:p>
    <w:p>
      <w:pPr>
        <w:pStyle w:val="ListParagraph"/>
        <w:numPr>
          <w:ilvl w:val="0"/>
          <w:numId w:val="2"/>
        </w:numPr>
      </w:pPr>
      <w:r>
        <w:rPr>
          <w:rFonts w:ascii="Arial" w:cs="Arial" w:eastAsia="Arial" w:hAnsi="Arial"/>
          <w:color w:val="333333"/>
          <w:sz w:val="20"/>
          <w:szCs w:val="20"/>
        </w:rPr>
        <w:t xml:space="preserve">Climate finance: Growing LP appetite for climate-aligned infrastructure investments aligns with the Fund III thematic mandate</w:t>
      </w:r>
    </w:p>
    <w:p>
      <w:pPr>
        <w:pBdr>
          <w:bottom w:val="single" w:color="E0DBD0" w:sz="2" w:space="1"/>
        </w:pBdr>
        <w:spacing w:before="120" w:after="120"/>
      </w:pPr>
      <w:r>
        <w:t xml:space="preserve"/>
      </w:r>
    </w:p>
    <w:p>
      <w:pPr>
        <w:pBdr>
          <w:bottom w:val="single" w:color="B8860B" w:sz="8" w:space="1"/>
        </w:pBdr>
        <w:spacing w:before="400" w:after="160"/>
      </w:pPr>
      <w:r>
        <w:rPr>
          <w:rFonts w:ascii="Arial" w:cs="Arial" w:eastAsia="Arial" w:hAnsi="Arial"/>
          <w:b/>
          <w:bCs/>
          <w:color w:val="0A2240"/>
          <w:sz w:val="28"/>
          <w:szCs w:val="28"/>
        </w:rPr>
        <w:t xml:space="preserve">SECCIÓN 8.0 — FUND TERMS</w:t>
      </w:r>
    </w:p>
    <w:p>
      <w:pPr>
        <w:spacing w:before="220" w:after="80"/>
      </w:pPr>
      <w:r>
        <w:rPr>
          <w:rFonts w:ascii="Arial" w:cs="Arial" w:eastAsia="Arial" w:hAnsi="Arial"/>
          <w:b/>
          <w:bCs/>
          <w:color w:val="1A1A1A"/>
          <w:sz w:val="20"/>
          <w:szCs w:val="20"/>
        </w:rPr>
        <w:t xml:space="preserve">8.1 Provide a summary of the Fund's key economic terms.</w:t>
      </w:r>
    </w:p>
    <w:p>
      <w:pPr>
        <w:shd w:fill="FEE2E2" w:val="clear"/>
        <w:spacing w:before="40" w:after="80"/>
      </w:pPr>
      <w:r>
        <w:rPr>
          <w:rFonts w:ascii="Arial" w:cs="Arial" w:eastAsia="Arial" w:hAnsi="Arial"/>
          <w:b/>
          <w:bCs/>
          <w:color w:val="991B1B"/>
          <w:sz w:val="17"/>
          <w:szCs w:val="17"/>
        </w:rPr>
        <w:t xml:space="preserve">🔴  REQUIERE INPUT INTERNO</w:t>
      </w:r>
    </w:p>
    <w:p>
      <w:pPr>
        <w:spacing w:before="60" w:after="60"/>
      </w:pPr>
      <w:r>
        <w:rPr>
          <w:rFonts w:ascii="Arial" w:cs="Arial" w:eastAsia="Arial" w:hAnsi="Arial"/>
          <w:color w:val="333333"/>
          <w:sz w:val="20"/>
          <w:szCs w:val="20"/>
        </w:rPr>
        <w:t xml:space="preserve">Fund terms are governed by the Reglamento del FCP (Colombian regulation) and the Limited Partnership Agreement. Key economic terms are not publicly available.</w:t>
      </w:r>
    </w:p>
    <w:p>
      <w:pPr>
        <w:shd w:fill="FFFBEB" w:val="clear"/>
        <w:spacing w:before="80" w:after="140"/>
      </w:pPr>
      <w:r>
        <w:rPr>
          <w:rFonts w:ascii="Arial" w:cs="Arial" w:eastAsia="Arial" w:hAnsi="Arial"/>
          <w:b/>
          <w:bCs/>
          <w:color w:val="854D0E"/>
          <w:sz w:val="18"/>
          <w:szCs w:val="18"/>
        </w:rPr>
        <w:t xml:space="preserve">PARA COMPLETAR: </w:t>
      </w:r>
      <w:r>
        <w:rPr>
          <w:rFonts w:ascii="Arial" w:cs="Arial" w:eastAsia="Arial" w:hAnsi="Arial"/>
          <w:i/>
          <w:iCs/>
          <w:color w:val="854D0E"/>
          <w:sz w:val="18"/>
          <w:szCs w:val="18"/>
        </w:rPr>
        <w:t xml:space="preserve">Proporcionar: management fee (% base, período de cálculo, reducción post-inversión), carried interest (%), hurdle rate (%), catch-up, clawback, subscription line terms, and recycling provisions. Estos términos son el núcleo de la sección 8 del ILPA DDQ.</w:t>
      </w:r>
    </w:p>
    <w:p>
      <w:pPr>
        <w:pBdr>
          <w:bottom w:val="single" w:color="E0DBD0" w:sz="2" w:space="1"/>
        </w:pBdr>
        <w:spacing w:before="120" w:after="120"/>
      </w:pPr>
      <w:r>
        <w:t xml:space="preserve"/>
      </w:r>
    </w:p>
    <w:p>
      <w:pPr>
        <w:pBdr>
          <w:bottom w:val="single" w:color="B8860B" w:sz="8" w:space="1"/>
        </w:pBdr>
        <w:spacing w:before="400" w:after="160"/>
      </w:pPr>
      <w:r>
        <w:rPr>
          <w:rFonts w:ascii="Arial" w:cs="Arial" w:eastAsia="Arial" w:hAnsi="Arial"/>
          <w:b/>
          <w:bCs/>
          <w:color w:val="0A2240"/>
          <w:sz w:val="28"/>
          <w:szCs w:val="28"/>
        </w:rPr>
        <w:t xml:space="preserve">SECCIÓN 9.0 — LEGAL, COMPLIANCE &amp; REGULATORY</w:t>
      </w:r>
    </w:p>
    <w:p>
      <w:pPr>
        <w:spacing w:before="220" w:after="80"/>
      </w:pPr>
      <w:r>
        <w:rPr>
          <w:rFonts w:ascii="Arial" w:cs="Arial" w:eastAsia="Arial" w:hAnsi="Arial"/>
          <w:b/>
          <w:bCs/>
          <w:color w:val="1A1A1A"/>
          <w:sz w:val="20"/>
          <w:szCs w:val="20"/>
        </w:rPr>
        <w:t xml:space="preserve">9.1 Describe the Firm's regulatory and compliance framework.</w:t>
      </w:r>
    </w:p>
    <w:p>
      <w:pPr>
        <w:shd w:fill="DCFCE7" w:val="clear"/>
        <w:spacing w:before="40" w:after="80"/>
      </w:pPr>
      <w:r>
        <w:rPr>
          <w:rFonts w:ascii="Arial" w:cs="Arial" w:eastAsia="Arial" w:hAnsi="Arial"/>
          <w:b/>
          <w:bCs/>
          <w:color w:val="166534"/>
          <w:sz w:val="17"/>
          <w:szCs w:val="17"/>
        </w:rPr>
        <w:t xml:space="preserve">✅  COMPLETA</w:t>
      </w:r>
    </w:p>
    <w:p>
      <w:pPr>
        <w:spacing w:before="60" w:after="60"/>
      </w:pPr>
      <w:r>
        <w:rPr>
          <w:rFonts w:ascii="Arial" w:cs="Arial" w:eastAsia="Arial" w:hAnsi="Arial"/>
          <w:color w:val="333333"/>
          <w:sz w:val="20"/>
          <w:szCs w:val="20"/>
        </w:rPr>
        <w:t xml:space="preserve">Ashmore Management Company Colombia SAS operates under the Colombian financial regulatory framework:</w:t>
      </w:r>
    </w:p>
    <w:p>
      <w:pPr>
        <w:pStyle w:val="ListParagraph"/>
        <w:numPr>
          <w:ilvl w:val="0"/>
          <w:numId w:val="2"/>
        </w:numPr>
      </w:pPr>
      <w:r>
        <w:rPr>
          <w:rFonts w:ascii="Arial" w:cs="Arial" w:eastAsia="Arial" w:hAnsi="Arial"/>
          <w:color w:val="333333"/>
          <w:sz w:val="20"/>
          <w:szCs w:val="20"/>
        </w:rPr>
        <w:t xml:space="preserve">Regulated by: Superintendencia Financiera de Colombia (SFC)</w:t>
      </w:r>
    </w:p>
    <w:p>
      <w:pPr>
        <w:pStyle w:val="ListParagraph"/>
        <w:numPr>
          <w:ilvl w:val="0"/>
          <w:numId w:val="2"/>
        </w:numPr>
      </w:pPr>
      <w:r>
        <w:rPr>
          <w:rFonts w:ascii="Arial" w:cs="Arial" w:eastAsia="Arial" w:hAnsi="Arial"/>
          <w:color w:val="333333"/>
          <w:sz w:val="20"/>
          <w:szCs w:val="20"/>
        </w:rPr>
        <w:t xml:space="preserve">Fund structure: Fondo de Capital Privado (FCP) under Decreto 2555 de 2010 and Circular Básica Jurídica de la SFC</w:t>
      </w:r>
    </w:p>
    <w:p>
      <w:pPr>
        <w:pStyle w:val="ListParagraph"/>
        <w:numPr>
          <w:ilvl w:val="0"/>
          <w:numId w:val="2"/>
        </w:numPr>
      </w:pPr>
      <w:r>
        <w:rPr>
          <w:rFonts w:ascii="Arial" w:cs="Arial" w:eastAsia="Arial" w:hAnsi="Arial"/>
          <w:color w:val="333333"/>
          <w:sz w:val="20"/>
          <w:szCs w:val="20"/>
        </w:rPr>
        <w:t xml:space="preserve">Fund administrator: Alianza Fiduciaria S.A. (regulated fiduciary) acts as fund administrator, handling regulatory reporting, asset custody, and LP reporting</w:t>
      </w:r>
    </w:p>
    <w:p>
      <w:pPr>
        <w:pStyle w:val="ListParagraph"/>
        <w:numPr>
          <w:ilvl w:val="0"/>
          <w:numId w:val="2"/>
        </w:numPr>
      </w:pPr>
      <w:r>
        <w:rPr>
          <w:rFonts w:ascii="Arial" w:cs="Arial" w:eastAsia="Arial" w:hAnsi="Arial"/>
          <w:color w:val="333333"/>
          <w:sz w:val="20"/>
          <w:szCs w:val="20"/>
        </w:rPr>
        <w:t xml:space="preserve">AMLCFT: Subject to Colombian anti-money laundering and counter-terrorism financing regulations (SARLAFT system)</w:t>
      </w:r>
    </w:p>
    <w:p>
      <w:pPr>
        <w:pStyle w:val="ListParagraph"/>
        <w:numPr>
          <w:ilvl w:val="0"/>
          <w:numId w:val="2"/>
        </w:numPr>
      </w:pPr>
      <w:r>
        <w:rPr>
          <w:rFonts w:ascii="Arial" w:cs="Arial" w:eastAsia="Arial" w:hAnsi="Arial"/>
          <w:color w:val="333333"/>
          <w:sz w:val="20"/>
          <w:szCs w:val="20"/>
        </w:rPr>
        <w:t xml:space="preserve">International: As a subsidiary of Ashmore Group plc (LSE listed), subject to UK FCA oversight at the group level</w:t>
      </w:r>
    </w:p>
    <w:p>
      <w:pPr>
        <w:spacing w:before="220" w:after="80"/>
      </w:pPr>
      <w:r>
        <w:rPr>
          <w:rFonts w:ascii="Arial" w:cs="Arial" w:eastAsia="Arial" w:hAnsi="Arial"/>
          <w:b/>
          <w:bCs/>
          <w:color w:val="1A1A1A"/>
          <w:sz w:val="20"/>
          <w:szCs w:val="20"/>
        </w:rPr>
        <w:t xml:space="preserve">9.2 Has the Firm or any Principal been subject to regulatory action, investigation, or sanction?</w:t>
      </w:r>
    </w:p>
    <w:p>
      <w:pPr>
        <w:shd w:fill="FEF9C3" w:val="clear"/>
        <w:spacing w:before="40" w:after="80"/>
      </w:pPr>
      <w:r>
        <w:rPr>
          <w:rFonts w:ascii="Arial" w:cs="Arial" w:eastAsia="Arial" w:hAnsi="Arial"/>
          <w:b/>
          <w:bCs/>
          <w:color w:val="854D0E"/>
          <w:sz w:val="17"/>
          <w:szCs w:val="17"/>
        </w:rPr>
        <w:t xml:space="preserve">🟡  PARCIAL — requiere validación interna</w:t>
      </w:r>
    </w:p>
    <w:p>
      <w:pPr>
        <w:spacing w:before="60" w:after="60"/>
      </w:pPr>
      <w:r>
        <w:rPr>
          <w:rFonts w:ascii="Arial" w:cs="Arial" w:eastAsia="Arial" w:hAnsi="Arial"/>
          <w:color w:val="333333"/>
          <w:sz w:val="20"/>
          <w:szCs w:val="20"/>
        </w:rPr>
        <w:t xml:space="preserve">No regulatory actions, investigations, or sanctions have been identified through public sources for Ashmore Management Company Colombia SAS or Ashmore Group plc.</w:t>
      </w:r>
    </w:p>
    <w:p>
      <w:pPr>
        <w:shd w:fill="FFFBEB" w:val="clear"/>
        <w:spacing w:before="80" w:after="140"/>
      </w:pPr>
      <w:r>
        <w:rPr>
          <w:rFonts w:ascii="Arial" w:cs="Arial" w:eastAsia="Arial" w:hAnsi="Arial"/>
          <w:b/>
          <w:bCs/>
          <w:color w:val="854D0E"/>
          <w:sz w:val="18"/>
          <w:szCs w:val="18"/>
        </w:rPr>
        <w:t xml:space="preserve">PARA COMPLETAR: </w:t>
      </w:r>
      <w:r>
        <w:rPr>
          <w:rFonts w:ascii="Arial" w:cs="Arial" w:eastAsia="Arial" w:hAnsi="Arial"/>
          <w:i/>
          <w:iCs/>
          <w:color w:val="854D0E"/>
          <w:sz w:val="18"/>
          <w:szCs w:val="18"/>
        </w:rPr>
        <w:t xml:space="preserve">Confirmar con el equipo de Compliance que no existen investigaciones en curso por parte de la SFC, la SIC, DIAN, o reguladores en otras jurisdicciones donde opera el fondo.</w:t>
      </w:r>
    </w:p>
    <w:p>
      <w:pPr>
        <w:pBdr>
          <w:bottom w:val="single" w:color="E0DBD0" w:sz="2" w:space="1"/>
        </w:pBdr>
        <w:spacing w:before="120" w:after="120"/>
      </w:pPr>
      <w:r>
        <w:t xml:space="preserve"/>
      </w:r>
    </w:p>
    <w:p>
      <w:pPr>
        <w:pBdr>
          <w:bottom w:val="single" w:color="B8860B" w:sz="8" w:space="1"/>
        </w:pBdr>
        <w:spacing w:before="400" w:after="160"/>
      </w:pPr>
      <w:r>
        <w:rPr>
          <w:rFonts w:ascii="Arial" w:cs="Arial" w:eastAsia="Arial" w:hAnsi="Arial"/>
          <w:b/>
          <w:bCs/>
          <w:color w:val="0A2240"/>
          <w:sz w:val="28"/>
          <w:szCs w:val="28"/>
        </w:rPr>
        <w:t xml:space="preserve">SECCIÓN 10.0 — ESG, DIVERSITY &amp; INCLUSION</w:t>
      </w:r>
    </w:p>
    <w:p>
      <w:pPr>
        <w:spacing w:before="220" w:after="80"/>
      </w:pPr>
      <w:r>
        <w:rPr>
          <w:rFonts w:ascii="Arial" w:cs="Arial" w:eastAsia="Arial" w:hAnsi="Arial"/>
          <w:b/>
          <w:bCs/>
          <w:color w:val="1A1A1A"/>
          <w:sz w:val="20"/>
          <w:szCs w:val="20"/>
        </w:rPr>
        <w:t xml:space="preserve">10.1.1 Does the Firm have a policy that describes its approach to identifying and managing ESG factors?</w:t>
      </w:r>
    </w:p>
    <w:p>
      <w:pPr>
        <w:shd w:fill="FEF9C3" w:val="clear"/>
        <w:spacing w:before="40" w:after="80"/>
      </w:pPr>
      <w:r>
        <w:rPr>
          <w:rFonts w:ascii="Arial" w:cs="Arial" w:eastAsia="Arial" w:hAnsi="Arial"/>
          <w:b/>
          <w:bCs/>
          <w:color w:val="854D0E"/>
          <w:sz w:val="17"/>
          <w:szCs w:val="17"/>
        </w:rPr>
        <w:t xml:space="preserve">🟡  PARCIAL — requiere validación interna</w:t>
      </w:r>
    </w:p>
    <w:p>
      <w:pPr>
        <w:spacing w:before="60" w:after="60"/>
      </w:pPr>
      <w:r>
        <w:rPr>
          <w:rFonts w:ascii="Arial" w:cs="Arial" w:eastAsia="Arial" w:hAnsi="Arial"/>
          <w:color w:val="333333"/>
          <w:sz w:val="20"/>
          <w:szCs w:val="20"/>
        </w:rPr>
        <w:t xml:space="preserve">Yes. Ashmore Management Company Colombia operates under ESG standards aligned with IFC Performance Standards (IFC PS 1-8), which serve as the baseline for all portfolio company management. The IFC PS framework covers: environmental and social assessment, labor conditions, resource efficiency, community health, land acquisition, biodiversity, indigenous peoples, and cultural heritage.</w:t>
      </w:r>
    </w:p>
    <w:p>
      <w:pPr>
        <w:spacing w:before="60" w:after="60"/>
      </w:pPr>
      <w:r>
        <w:rPr>
          <w:rFonts w:ascii="Arial" w:cs="Arial" w:eastAsia="Arial" w:hAnsi="Arial"/>
          <w:color w:val="333333"/>
          <w:sz w:val="20"/>
          <w:szCs w:val="20"/>
        </w:rPr>
        <w:t xml:space="preserve">Demonstrated ESG management in the portfolio includes:</w:t>
      </w:r>
    </w:p>
    <w:p>
      <w:pPr>
        <w:pStyle w:val="ListParagraph"/>
        <w:numPr>
          <w:ilvl w:val="0"/>
          <w:numId w:val="2"/>
        </w:numPr>
      </w:pPr>
      <w:r>
        <w:rPr>
          <w:rFonts w:ascii="Arial" w:cs="Arial" w:eastAsia="Arial" w:hAnsi="Arial"/>
          <w:color w:val="333333"/>
          <w:sz w:val="20"/>
          <w:szCs w:val="20"/>
        </w:rPr>
        <w:t xml:space="preserve">TermoemCali: Biodiversity compensation plans, environmental monitoring, community relations programs</w:t>
      </w:r>
    </w:p>
    <w:p>
      <w:pPr>
        <w:pStyle w:val="ListParagraph"/>
        <w:numPr>
          <w:ilvl w:val="0"/>
          <w:numId w:val="2"/>
        </w:numPr>
      </w:pPr>
      <w:r>
        <w:rPr>
          <w:rFonts w:ascii="Arial" w:cs="Arial" w:eastAsia="Arial" w:hAnsi="Arial"/>
          <w:color w:val="333333"/>
          <w:sz w:val="20"/>
          <w:szCs w:val="20"/>
        </w:rPr>
        <w:t xml:space="preserve">Ruta del Cacao: Road safety plan (conductores, pasajeros, peatones, ciclistas)</w:t>
      </w:r>
    </w:p>
    <w:p>
      <w:pPr>
        <w:pStyle w:val="ListParagraph"/>
        <w:numPr>
          <w:ilvl w:val="0"/>
          <w:numId w:val="2"/>
        </w:numPr>
      </w:pPr>
      <w:r>
        <w:rPr>
          <w:rFonts w:ascii="Arial" w:cs="Arial" w:eastAsia="Arial" w:hAnsi="Arial"/>
          <w:color w:val="333333"/>
          <w:sz w:val="20"/>
          <w:szCs w:val="20"/>
        </w:rPr>
        <w:t xml:space="preserve">Transambiental: Progressive fleet replacement to reduce GHG emissions; emergency response plan</w:t>
      </w:r>
    </w:p>
    <w:p>
      <w:pPr>
        <w:pStyle w:val="ListParagraph"/>
        <w:numPr>
          <w:ilvl w:val="0"/>
          <w:numId w:val="2"/>
        </w:numPr>
      </w:pPr>
      <w:r>
        <w:rPr>
          <w:rFonts w:ascii="Arial" w:cs="Arial" w:eastAsia="Arial" w:hAnsi="Arial"/>
          <w:color w:val="333333"/>
          <w:sz w:val="20"/>
          <w:szCs w:val="20"/>
        </w:rPr>
        <w:t xml:space="preserve">Líneas La Guajira: Environmental and social compliance with indigenous community consultation requirements</w:t>
      </w:r>
    </w:p>
    <w:p>
      <w:pPr>
        <w:shd w:fill="FFFBEB" w:val="clear"/>
        <w:spacing w:before="80" w:after="140"/>
      </w:pPr>
      <w:r>
        <w:rPr>
          <w:rFonts w:ascii="Arial" w:cs="Arial" w:eastAsia="Arial" w:hAnsi="Arial"/>
          <w:b/>
          <w:bCs/>
          <w:color w:val="854D0E"/>
          <w:sz w:val="18"/>
          <w:szCs w:val="18"/>
        </w:rPr>
        <w:t xml:space="preserve">PARA COMPLETAR: </w:t>
      </w:r>
      <w:r>
        <w:rPr>
          <w:rFonts w:ascii="Arial" w:cs="Arial" w:eastAsia="Arial" w:hAnsi="Arial"/>
          <w:i/>
          <w:iCs/>
          <w:color w:val="854D0E"/>
          <w:sz w:val="18"/>
          <w:szCs w:val="18"/>
        </w:rPr>
        <w:t xml:space="preserve">Solicitar la Política ESG formal escrita (documento interno), el proceso estándar de DD ESG para nuevas inversiones, las métricas de impacto ESG del Fondo III, y cualquier reporte de sostenibilidad publicado.</w:t>
      </w:r>
    </w:p>
    <w:p>
      <w:pPr>
        <w:spacing w:before="220" w:after="80"/>
      </w:pPr>
      <w:r>
        <w:rPr>
          <w:rFonts w:ascii="Arial" w:cs="Arial" w:eastAsia="Arial" w:hAnsi="Arial"/>
          <w:b/>
          <w:bCs/>
          <w:color w:val="1A1A1A"/>
          <w:sz w:val="20"/>
          <w:szCs w:val="20"/>
        </w:rPr>
        <w:t xml:space="preserve">10.2.1 How does the Firm define the materiality of ESG factors?</w:t>
      </w:r>
    </w:p>
    <w:p>
      <w:pPr>
        <w:shd w:fill="FEF9C3" w:val="clear"/>
        <w:spacing w:before="40" w:after="80"/>
      </w:pPr>
      <w:r>
        <w:rPr>
          <w:rFonts w:ascii="Arial" w:cs="Arial" w:eastAsia="Arial" w:hAnsi="Arial"/>
          <w:b/>
          <w:bCs/>
          <w:color w:val="854D0E"/>
          <w:sz w:val="17"/>
          <w:szCs w:val="17"/>
        </w:rPr>
        <w:t xml:space="preserve">🟡  PARCIAL — requiere validación interna</w:t>
      </w:r>
    </w:p>
    <w:p>
      <w:pPr>
        <w:spacing w:before="60" w:after="60"/>
      </w:pPr>
      <w:r>
        <w:rPr>
          <w:rFonts w:ascii="Arial" w:cs="Arial" w:eastAsia="Arial" w:hAnsi="Arial"/>
          <w:color w:val="333333"/>
          <w:sz w:val="20"/>
          <w:szCs w:val="20"/>
        </w:rPr>
        <w:t xml:space="preserve">Based on IFC Performance Standards application, materiality is determined by: magnitude of impact, geographic sensitivity (indigenous territories, protected areas), regulatory exposure, and reputational risk. Sectors with higher inherent ESG risk (energy, transport, water) receive more intensive DD.</w:t>
      </w:r>
    </w:p>
    <w:p>
      <w:pPr>
        <w:shd w:fill="FFFBEB" w:val="clear"/>
        <w:spacing w:before="80" w:after="140"/>
      </w:pPr>
      <w:r>
        <w:rPr>
          <w:rFonts w:ascii="Arial" w:cs="Arial" w:eastAsia="Arial" w:hAnsi="Arial"/>
          <w:b/>
          <w:bCs/>
          <w:color w:val="854D0E"/>
          <w:sz w:val="18"/>
          <w:szCs w:val="18"/>
        </w:rPr>
        <w:t xml:space="preserve">PARA COMPLETAR: </w:t>
      </w:r>
      <w:r>
        <w:rPr>
          <w:rFonts w:ascii="Arial" w:cs="Arial" w:eastAsia="Arial" w:hAnsi="Arial"/>
          <w:i/>
          <w:iCs/>
          <w:color w:val="854D0E"/>
          <w:sz w:val="18"/>
          <w:szCs w:val="18"/>
        </w:rPr>
        <w:t xml:space="preserve">Solicitar descripción formal del proceso de materialidad ESG y ejemplos específicos de cómo se evaluó en inversiones recientes del Fondo III.</w:t>
      </w:r>
    </w:p>
    <w:p>
      <w:pPr>
        <w:spacing w:before="220" w:after="80"/>
      </w:pPr>
      <w:r>
        <w:rPr>
          <w:rFonts w:ascii="Arial" w:cs="Arial" w:eastAsia="Arial" w:hAnsi="Arial"/>
          <w:b/>
          <w:bCs/>
          <w:color w:val="1A1A1A"/>
          <w:sz w:val="20"/>
          <w:szCs w:val="20"/>
        </w:rPr>
        <w:t xml:space="preserve">10.2.2 Describe the Firm's process for identifying ESG risks and opportunities during due diligence.</w:t>
      </w:r>
    </w:p>
    <w:p>
      <w:pPr>
        <w:shd w:fill="FEF9C3" w:val="clear"/>
        <w:spacing w:before="40" w:after="80"/>
      </w:pPr>
      <w:r>
        <w:rPr>
          <w:rFonts w:ascii="Arial" w:cs="Arial" w:eastAsia="Arial" w:hAnsi="Arial"/>
          <w:b/>
          <w:bCs/>
          <w:color w:val="854D0E"/>
          <w:sz w:val="17"/>
          <w:szCs w:val="17"/>
        </w:rPr>
        <w:t xml:space="preserve">🟡  PARCIAL — requiere validación interna</w:t>
      </w:r>
    </w:p>
    <w:p>
      <w:pPr>
        <w:spacing w:before="60" w:after="60"/>
      </w:pPr>
      <w:r>
        <w:rPr>
          <w:rFonts w:ascii="Arial" w:cs="Arial" w:eastAsia="Arial" w:hAnsi="Arial"/>
          <w:color w:val="333333"/>
          <w:sz w:val="20"/>
          <w:szCs w:val="20"/>
        </w:rPr>
        <w:t xml:space="preserve">The DD process incorporates: (i) Environmental and Social Impact Assessment (ESIA) review or commissioning, (ii) baseline assessment against IFC Performance Standards, (iii) identification of Environmental and Social Action Plan (ESAP) requirements, (iv) engagement with communities and regulators, (v) assessment of regulatory permits and licenses (ANLA, DIAN, SFC).</w:t>
      </w:r>
    </w:p>
    <w:p>
      <w:pPr>
        <w:shd w:fill="FFFBEB" w:val="clear"/>
        <w:spacing w:before="80" w:after="140"/>
      </w:pPr>
      <w:r>
        <w:rPr>
          <w:rFonts w:ascii="Arial" w:cs="Arial" w:eastAsia="Arial" w:hAnsi="Arial"/>
          <w:b/>
          <w:bCs/>
          <w:color w:val="854D0E"/>
          <w:sz w:val="18"/>
          <w:szCs w:val="18"/>
        </w:rPr>
        <w:t xml:space="preserve">PARA COMPLETAR: </w:t>
      </w:r>
      <w:r>
        <w:rPr>
          <w:rFonts w:ascii="Arial" w:cs="Arial" w:eastAsia="Arial" w:hAnsi="Arial"/>
          <w:i/>
          <w:iCs/>
          <w:color w:val="854D0E"/>
          <w:sz w:val="18"/>
          <w:szCs w:val="18"/>
        </w:rPr>
        <w:t xml:space="preserve">Detallar el proceso específico de DD ESG: quién lo conduce (equipo interno vs. asesores externos), herramientas utilizadas, criterios de exclusión automática, y proceso de aprobación de oportunidades con flags ESG.</w:t>
      </w:r>
    </w:p>
    <w:p>
      <w:pPr>
        <w:spacing w:before="220" w:after="80"/>
      </w:pPr>
      <w:r>
        <w:rPr>
          <w:rFonts w:ascii="Arial" w:cs="Arial" w:eastAsia="Arial" w:hAnsi="Arial"/>
          <w:b/>
          <w:bCs/>
          <w:color w:val="1A1A1A"/>
          <w:sz w:val="20"/>
          <w:szCs w:val="20"/>
        </w:rPr>
        <w:t xml:space="preserve">10.3.3 Give 2-3 examples of how the Firm has contributed to portfolio companies' management of ESG factors.</w:t>
      </w:r>
    </w:p>
    <w:p>
      <w:pPr>
        <w:shd w:fill="DCFCE7" w:val="clear"/>
        <w:spacing w:before="40" w:after="80"/>
      </w:pPr>
      <w:r>
        <w:rPr>
          <w:rFonts w:ascii="Arial" w:cs="Arial" w:eastAsia="Arial" w:hAnsi="Arial"/>
          <w:b/>
          <w:bCs/>
          <w:color w:val="166534"/>
          <w:sz w:val="17"/>
          <w:szCs w:val="17"/>
        </w:rPr>
        <w:t xml:space="preserve">✅  COMPLETA</w:t>
      </w:r>
    </w:p>
    <w:p>
      <w:pPr>
        <w:spacing w:before="60" w:after="60"/>
      </w:pPr>
      <w:r>
        <w:rPr>
          <w:rFonts w:ascii="Arial" w:cs="Arial" w:eastAsia="Arial" w:hAnsi="Arial"/>
          <w:color w:val="333333"/>
          <w:sz w:val="20"/>
          <w:szCs w:val="20"/>
        </w:rPr>
        <w:t xml:space="preserve">1. TermoemCali — Biodiversity and Community: Ashmore supervised implementation of the biodiversity compensation plan required under the environmental license. The program included reforestation activities in the Cauca Valley and community liaison programs with neighboring municipalities. Regular environmental monitoring reports are reviewed by Ashmore's asset management team.</w:t>
      </w:r>
    </w:p>
    <w:p>
      <w:pPr>
        <w:spacing w:before="60" w:after="60"/>
      </w:pPr>
      <w:r>
        <w:rPr>
          <w:rFonts w:ascii="Arial" w:cs="Arial" w:eastAsia="Arial" w:hAnsi="Arial"/>
          <w:color w:val="333333"/>
          <w:sz w:val="20"/>
          <w:szCs w:val="20"/>
        </w:rPr>
        <w:t xml:space="preserve">2. Transambiental — GHG Reduction: Ashmore promoted a progressive fleet replacement program to transition from older diesel buses to newer, lower-emission vehicles. The firm also supported implementation of an emergency response and road safety plan covering drivers, passengers, pedestrians, and cyclists in the urban bus corridor.</w:t>
      </w:r>
    </w:p>
    <w:p>
      <w:pPr>
        <w:spacing w:before="60" w:after="60"/>
      </w:pPr>
      <w:r>
        <w:rPr>
          <w:rFonts w:ascii="Arial" w:cs="Arial" w:eastAsia="Arial" w:hAnsi="Arial"/>
          <w:color w:val="333333"/>
          <w:sz w:val="20"/>
          <w:szCs w:val="20"/>
        </w:rPr>
        <w:t xml:space="preserve">3. Líneas de Transmisión La Guajira — Indigenous Communities: The transmission line projects in La Guajira operate in territory with Wayuu indigenous community presence. Ashmore supervises compliance with environmental license obligations including prior consultation processes, community engagement programs, and cultural heritage protection protocols.</w:t>
      </w:r>
    </w:p>
    <w:p>
      <w:pPr>
        <w:pBdr>
          <w:bottom w:val="single" w:color="E0DBD0" w:sz="2" w:space="1"/>
        </w:pBdr>
        <w:spacing w:before="120" w:after="120"/>
      </w:pPr>
      <w:r>
        <w:t xml:space="preserve"/>
      </w:r>
    </w:p>
    <w:p>
      <w:pPr>
        <w:pBdr>
          <w:bottom w:val="single" w:color="B8860B" w:sz="8" w:space="1"/>
        </w:pBdr>
        <w:spacing w:before="400" w:after="160"/>
      </w:pPr>
      <w:r>
        <w:rPr>
          <w:rFonts w:ascii="Arial" w:cs="Arial" w:eastAsia="Arial" w:hAnsi="Arial"/>
          <w:b/>
          <w:bCs/>
          <w:color w:val="0A2240"/>
          <w:sz w:val="28"/>
          <w:szCs w:val="28"/>
        </w:rPr>
        <w:t xml:space="preserve">SECCIÓN 11.0 — TRACK RECORD &amp; PORTFOLIO</w:t>
      </w:r>
    </w:p>
    <w:p>
      <w:pPr>
        <w:spacing w:before="220" w:after="80"/>
      </w:pPr>
      <w:r>
        <w:rPr>
          <w:rFonts w:ascii="Arial" w:cs="Arial" w:eastAsia="Arial" w:hAnsi="Arial"/>
          <w:b/>
          <w:bCs/>
          <w:color w:val="1A1A1A"/>
          <w:sz w:val="20"/>
          <w:szCs w:val="20"/>
        </w:rPr>
        <w:t xml:space="preserve">11.1 Provide a summary of the Firm's track record across all funds.</w:t>
      </w:r>
    </w:p>
    <w:p>
      <w:pPr>
        <w:shd w:fill="FEF9C3" w:val="clear"/>
        <w:spacing w:before="40" w:after="80"/>
      </w:pPr>
      <w:r>
        <w:rPr>
          <w:rFonts w:ascii="Arial" w:cs="Arial" w:eastAsia="Arial" w:hAnsi="Arial"/>
          <w:b/>
          <w:bCs/>
          <w:color w:val="854D0E"/>
          <w:sz w:val="17"/>
          <w:szCs w:val="17"/>
        </w:rPr>
        <w:t xml:space="preserve">🟡  PARCIAL — requiere validación interna</w:t>
      </w:r>
    </w:p>
    <w:p>
      <w:pPr>
        <w:spacing w:before="60" w:after="60"/>
      </w:pPr>
      <w:r>
        <w:rPr>
          <w:rFonts w:ascii="Arial" w:cs="Arial" w:eastAsia="Arial" w:hAnsi="Arial"/>
          <w:color w:val="333333"/>
          <w:sz w:val="20"/>
          <w:szCs w:val="20"/>
        </w:rPr>
        <w:t xml:space="preserve">Ashmore Management Company Colombia SAS has managed three infrastructure PE fund generations: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500"/>
        <w:gridCol w:w="1560"/>
        <w:gridCol w:w="2000"/>
      </w:tblGrid>
      <w:tr>
        <w:tc>
          <w:tcPr>
            <w:tcW w:type="dxa" w:w="2500"/>
            <w:tcBorders>
              <w:top w:val="single" w:color="DDDDDD" w:sz="1"/>
              <w:left w:val="single" w:color="DDDDDD" w:sz="1"/>
              <w:bottom w:val="single" w:color="DDDDDD" w:sz="1"/>
              <w:right w:val="single" w:color="DDDDDD" w:sz="1"/>
            </w:tcBorders>
            <w:shd w:fill="F8F5F0" w:val="clear"/>
            <w:tcMar>
              <w:top w:type="dxa" w:w="80"/>
              <w:left w:type="dxa" w:w="100"/>
              <w:bottom w:type="dxa" w:w="80"/>
              <w:right w:type="dxa" w:w="100"/>
            </w:tcMar>
          </w:tcPr>
          <w:p>
            <w:r>
              <w:rPr>
                <w:rFonts w:ascii="Arial" w:cs="Arial" w:eastAsia="Arial" w:hAnsi="Arial"/>
                <w:color w:val="333333"/>
                <w:sz w:val="18"/>
                <w:szCs w:val="18"/>
              </w:rPr>
              <w:t xml:space="preserve">Fondo I</w:t>
            </w:r>
          </w:p>
        </w:tc>
        <w:tc>
          <w:tcPr>
            <w:tcW w:type="dxa" w:w="1800"/>
            <w:tcBorders>
              <w:top w:val="single" w:color="DDDDDD" w:sz="1"/>
              <w:left w:val="single" w:color="DDDDDD" w:sz="1"/>
              <w:bottom w:val="single" w:color="DDDDDD" w:sz="1"/>
              <w:right w:val="single" w:color="DDDDDD" w:sz="1"/>
            </w:tcBorders>
            <w:shd w:fill="F8F5F0" w:val="clear"/>
            <w:tcMar>
              <w:top w:type="dxa" w:w="80"/>
              <w:left w:type="dxa" w:w="100"/>
              <w:bottom w:type="dxa" w:w="80"/>
              <w:right w:type="dxa" w:w="100"/>
            </w:tcMar>
          </w:tcPr>
          <w:p>
            <w:r>
              <w:rPr>
                <w:rFonts w:ascii="Arial" w:cs="Arial" w:eastAsia="Arial" w:hAnsi="Arial"/>
                <w:color w:val="333333"/>
                <w:sz w:val="18"/>
                <w:szCs w:val="18"/>
              </w:rPr>
              <w:t xml:space="preserve">USD 285M</w:t>
            </w:r>
          </w:p>
        </w:tc>
        <w:tc>
          <w:tcPr>
            <w:tcW w:type="dxa" w:w="1500"/>
            <w:tcBorders>
              <w:top w:val="single" w:color="DDDDDD" w:sz="1"/>
              <w:left w:val="single" w:color="DDDDDD" w:sz="1"/>
              <w:bottom w:val="single" w:color="DDDDDD" w:sz="1"/>
              <w:right w:val="single" w:color="DDDDDD" w:sz="1"/>
            </w:tcBorders>
            <w:shd w:fill="F8F5F0" w:val="clear"/>
            <w:tcMar>
              <w:top w:type="dxa" w:w="80"/>
              <w:left w:type="dxa" w:w="100"/>
              <w:bottom w:type="dxa" w:w="80"/>
              <w:right w:type="dxa" w:w="100"/>
            </w:tcMar>
          </w:tcPr>
          <w:p>
            <w:r>
              <w:rPr>
                <w:rFonts w:ascii="Arial" w:cs="Arial" w:eastAsia="Arial" w:hAnsi="Arial"/>
                <w:color w:val="333333"/>
                <w:sz w:val="18"/>
                <w:szCs w:val="18"/>
              </w:rPr>
              <w:t xml:space="preserve">2010</w:t>
            </w:r>
          </w:p>
        </w:tc>
        <w:tc>
          <w:tcPr>
            <w:tcW w:type="dxa" w:w="1560"/>
            <w:tcBorders>
              <w:top w:val="single" w:color="DDDDDD" w:sz="1"/>
              <w:left w:val="single" w:color="DDDDDD" w:sz="1"/>
              <w:bottom w:val="single" w:color="DDDDDD" w:sz="1"/>
              <w:right w:val="single" w:color="DDDDDD" w:sz="1"/>
            </w:tcBorders>
            <w:shd w:fill="F8F5F0" w:val="clear"/>
            <w:tcMar>
              <w:top w:type="dxa" w:w="80"/>
              <w:left w:type="dxa" w:w="100"/>
              <w:bottom w:type="dxa" w:w="80"/>
              <w:right w:type="dxa" w:w="100"/>
            </w:tcMar>
          </w:tcPr>
          <w:p>
            <w:r>
              <w:rPr>
                <w:rFonts w:ascii="Arial" w:cs="Arial" w:eastAsia="Arial" w:hAnsi="Arial"/>
                <w:color w:val="333333"/>
                <w:sz w:val="18"/>
                <w:szCs w:val="18"/>
              </w:rPr>
              <w:t xml:space="preserve">Colombia</w:t>
            </w:r>
          </w:p>
        </w:tc>
        <w:tc>
          <w:tcPr>
            <w:tcW w:type="dxa" w:w="2000"/>
            <w:tcBorders>
              <w:top w:val="single" w:color="DDDDDD" w:sz="1"/>
              <w:left w:val="single" w:color="DDDDDD" w:sz="1"/>
              <w:bottom w:val="single" w:color="DDDDDD" w:sz="1"/>
              <w:right w:val="single" w:color="DDDDDD" w:sz="1"/>
            </w:tcBorders>
            <w:shd w:fill="F8F5F0" w:val="clear"/>
            <w:tcMar>
              <w:top w:type="dxa" w:w="80"/>
              <w:left w:type="dxa" w:w="100"/>
              <w:bottom w:type="dxa" w:w="80"/>
              <w:right w:type="dxa" w:w="100"/>
            </w:tcMar>
          </w:tcPr>
          <w:p>
            <w:r>
              <w:rPr>
                <w:rFonts w:ascii="Arial" w:cs="Arial" w:eastAsia="Arial" w:hAnsi="Arial"/>
                <w:color w:val="333333"/>
                <w:sz w:val="18"/>
                <w:szCs w:val="18"/>
              </w:rPr>
              <w:t xml:space="preserve">Maduración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Fondo Andino II</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USD 248M</w:t>
            </w:r>
          </w:p>
        </w:tc>
        <w:tc>
          <w:tcPr>
            <w:tcW w:type="dxa" w:w="1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2015+</w:t>
            </w:r>
          </w:p>
        </w:tc>
        <w:tc>
          <w:tcPr>
            <w:tcW w:type="dxa" w:w="1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Col + Perú</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Activo</w:t>
            </w:r>
          </w:p>
        </w:tc>
      </w:tr>
      <w:tr>
        <w:tc>
          <w:tcPr>
            <w:tcW w:type="dxa" w:w="2500"/>
            <w:tcBorders>
              <w:top w:val="single" w:color="DDDDDD" w:sz="1"/>
              <w:left w:val="single" w:color="DDDDDD" w:sz="1"/>
              <w:bottom w:val="single" w:color="DDDDDD" w:sz="1"/>
              <w:right w:val="single" w:color="DDDDDD" w:sz="1"/>
            </w:tcBorders>
            <w:shd w:fill="F8F5F0" w:val="clear"/>
            <w:tcMar>
              <w:top w:type="dxa" w:w="80"/>
              <w:left w:type="dxa" w:w="100"/>
              <w:bottom w:type="dxa" w:w="80"/>
              <w:right w:type="dxa" w:w="100"/>
            </w:tcMar>
          </w:tcPr>
          <w:p>
            <w:r>
              <w:rPr>
                <w:rFonts w:ascii="Arial" w:cs="Arial" w:eastAsia="Arial" w:hAnsi="Arial"/>
                <w:color w:val="333333"/>
                <w:sz w:val="18"/>
                <w:szCs w:val="18"/>
              </w:rPr>
              <w:t xml:space="preserve">Fondo Andino III</w:t>
            </w:r>
          </w:p>
        </w:tc>
        <w:tc>
          <w:tcPr>
            <w:tcW w:type="dxa" w:w="1800"/>
            <w:tcBorders>
              <w:top w:val="single" w:color="DDDDDD" w:sz="1"/>
              <w:left w:val="single" w:color="DDDDDD" w:sz="1"/>
              <w:bottom w:val="single" w:color="DDDDDD" w:sz="1"/>
              <w:right w:val="single" w:color="DDDDDD" w:sz="1"/>
            </w:tcBorders>
            <w:shd w:fill="F8F5F0" w:val="clear"/>
            <w:tcMar>
              <w:top w:type="dxa" w:w="80"/>
              <w:left w:type="dxa" w:w="100"/>
              <w:bottom w:type="dxa" w:w="80"/>
              <w:right w:type="dxa" w:w="100"/>
            </w:tcMar>
          </w:tcPr>
          <w:p>
            <w:r>
              <w:rPr>
                <w:rFonts w:ascii="Arial" w:cs="Arial" w:eastAsia="Arial" w:hAnsi="Arial"/>
                <w:color w:val="333333"/>
                <w:sz w:val="18"/>
                <w:szCs w:val="18"/>
              </w:rPr>
              <w:t xml:space="preserve">USD 420M</w:t>
            </w:r>
          </w:p>
        </w:tc>
        <w:tc>
          <w:tcPr>
            <w:tcW w:type="dxa" w:w="1500"/>
            <w:tcBorders>
              <w:top w:val="single" w:color="DDDDDD" w:sz="1"/>
              <w:left w:val="single" w:color="DDDDDD" w:sz="1"/>
              <w:bottom w:val="single" w:color="DDDDDD" w:sz="1"/>
              <w:right w:val="single" w:color="DDDDDD" w:sz="1"/>
            </w:tcBorders>
            <w:shd w:fill="F8F5F0" w:val="clear"/>
            <w:tcMar>
              <w:top w:type="dxa" w:w="80"/>
              <w:left w:type="dxa" w:w="100"/>
              <w:bottom w:type="dxa" w:w="80"/>
              <w:right w:type="dxa" w:w="100"/>
            </w:tcMar>
          </w:tcPr>
          <w:p>
            <w:r>
              <w:rPr>
                <w:rFonts w:ascii="Arial" w:cs="Arial" w:eastAsia="Arial" w:hAnsi="Arial"/>
                <w:color w:val="333333"/>
                <w:sz w:val="18"/>
                <w:szCs w:val="18"/>
              </w:rPr>
              <w:t xml:space="preserve">2023</w:t>
            </w:r>
          </w:p>
        </w:tc>
        <w:tc>
          <w:tcPr>
            <w:tcW w:type="dxa" w:w="1560"/>
            <w:tcBorders>
              <w:top w:val="single" w:color="DDDDDD" w:sz="1"/>
              <w:left w:val="single" w:color="DDDDDD" w:sz="1"/>
              <w:bottom w:val="single" w:color="DDDDDD" w:sz="1"/>
              <w:right w:val="single" w:color="DDDDDD" w:sz="1"/>
            </w:tcBorders>
            <w:shd w:fill="F8F5F0" w:val="clear"/>
            <w:tcMar>
              <w:top w:type="dxa" w:w="80"/>
              <w:left w:type="dxa" w:w="100"/>
              <w:bottom w:type="dxa" w:w="80"/>
              <w:right w:type="dxa" w:w="100"/>
            </w:tcMar>
          </w:tcPr>
          <w:p>
            <w:r>
              <w:rPr>
                <w:rFonts w:ascii="Arial" w:cs="Arial" w:eastAsia="Arial" w:hAnsi="Arial"/>
                <w:color w:val="333333"/>
                <w:sz w:val="18"/>
                <w:szCs w:val="18"/>
              </w:rPr>
              <w:t xml:space="preserve">6 países</w:t>
            </w:r>
          </w:p>
        </w:tc>
        <w:tc>
          <w:tcPr>
            <w:tcW w:type="dxa" w:w="2000"/>
            <w:tcBorders>
              <w:top w:val="single" w:color="DDDDDD" w:sz="1"/>
              <w:left w:val="single" w:color="DDDDDD" w:sz="1"/>
              <w:bottom w:val="single" w:color="DDDDDD" w:sz="1"/>
              <w:right w:val="single" w:color="DDDDDD" w:sz="1"/>
            </w:tcBorders>
            <w:shd w:fill="F8F5F0" w:val="clear"/>
            <w:tcMar>
              <w:top w:type="dxa" w:w="80"/>
              <w:left w:type="dxa" w:w="100"/>
              <w:bottom w:type="dxa" w:w="80"/>
              <w:right w:type="dxa" w:w="100"/>
            </w:tcMar>
          </w:tcPr>
          <w:p>
            <w:r>
              <w:rPr>
                <w:rFonts w:ascii="Arial" w:cs="Arial" w:eastAsia="Arial" w:hAnsi="Arial"/>
                <w:color w:val="333333"/>
                <w:sz w:val="18"/>
                <w:szCs w:val="18"/>
              </w:rPr>
              <w:t xml:space="preserve">Desplegando</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Fondo CAF-AM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Deuda senior</w:t>
            </w:r>
          </w:p>
        </w:tc>
        <w:tc>
          <w:tcPr>
            <w:tcW w:type="dxa" w:w="1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2020+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Colombia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Activo</w:t>
            </w:r>
          </w:p>
        </w:tc>
      </w:tr>
    </w:tbl>
    <w:p>
      <w:pPr>
        <w:spacing w:before="40" w:after="40"/>
      </w:pPr>
      <w:r>
        <w:t xml:space="preserve"/>
      </w:r>
    </w:p>
    <w:p>
      <w:pPr>
        <w:spacing w:before="60" w:after="60"/>
      </w:pPr>
      <w:r>
        <w:rPr>
          <w:rFonts w:ascii="Arial" w:cs="Arial" w:eastAsia="Arial" w:hAnsi="Arial"/>
          <w:color w:val="333333"/>
          <w:sz w:val="20"/>
          <w:szCs w:val="20"/>
        </w:rPr>
        <w:t xml:space="preserve">Portfolio companies (11+ across all funds): TermoemCali (235MW gas cogeneration, Yumbo, operating since 1999), Ruta del Cacao (4G highway, 191km, Bucaramanga-Barrancabermeja-Yondó), Transambiental (urban transit), Líneas Transmisión La Guajira (110kV, 137km), Atlas Renewable Energy, Bioena (biomass pellets, USD 100M), Lógika (logistics center), Sohec (oncology), CRdC/FERROCOL (railway), Ática Andina Residuales, Creas, Siberia Carga.</w:t>
      </w:r>
    </w:p>
    <w:p>
      <w:pPr>
        <w:shd w:fill="FFFBEB" w:val="clear"/>
        <w:spacing w:before="80" w:after="140"/>
      </w:pPr>
      <w:r>
        <w:rPr>
          <w:rFonts w:ascii="Arial" w:cs="Arial" w:eastAsia="Arial" w:hAnsi="Arial"/>
          <w:b/>
          <w:bCs/>
          <w:color w:val="854D0E"/>
          <w:sz w:val="18"/>
          <w:szCs w:val="18"/>
        </w:rPr>
        <w:t xml:space="preserve">PARA COMPLETAR: </w:t>
      </w:r>
      <w:r>
        <w:rPr>
          <w:rFonts w:ascii="Arial" w:cs="Arial" w:eastAsia="Arial" w:hAnsi="Arial"/>
          <w:i/>
          <w:iCs/>
          <w:color w:val="854D0E"/>
          <w:sz w:val="18"/>
          <w:szCs w:val="18"/>
        </w:rPr>
        <w:t xml:space="preserve">Solicitar al equipo de inversiones las métricas de track record completas: TIR bruta/neta, MOIC, DPI, RVPI, TVPI por inversión y consolidado por fondo. Estos datos son el corazón del ILPA DDQ y el mayor driver de decisión para LPs institucionales.</w:t>
      </w:r>
    </w:p>
    <w:p>
      <w:pPr>
        <w:pBdr>
          <w:bottom w:val="single" w:color="E0DBD0" w:sz="2" w:space="1"/>
        </w:pBdr>
        <w:spacing w:before="120" w:after="120"/>
      </w:pPr>
      <w:r>
        <w:t xml:space="preserve"/>
      </w:r>
    </w:p>
    <w:p>
      <w:pPr>
        <w:pBdr>
          <w:bottom w:val="single" w:color="B8860B" w:sz="8" w:space="1"/>
        </w:pBdr>
        <w:spacing w:before="400" w:after="160"/>
      </w:pPr>
      <w:r>
        <w:rPr>
          <w:rFonts w:ascii="Arial" w:cs="Arial" w:eastAsia="Arial" w:hAnsi="Arial"/>
          <w:b/>
          <w:bCs/>
          <w:color w:val="0A2240"/>
          <w:sz w:val="28"/>
          <w:szCs w:val="28"/>
        </w:rPr>
        <w:t xml:space="preserve">SECCIÓN 12.0 — ACCOUNTING &amp; REPORTING</w:t>
      </w:r>
    </w:p>
    <w:p>
      <w:pPr>
        <w:spacing w:before="220" w:after="80"/>
      </w:pPr>
      <w:r>
        <w:rPr>
          <w:rFonts w:ascii="Arial" w:cs="Arial" w:eastAsia="Arial" w:hAnsi="Arial"/>
          <w:b/>
          <w:bCs/>
          <w:color w:val="1A1A1A"/>
          <w:sz w:val="20"/>
          <w:szCs w:val="20"/>
        </w:rPr>
        <w:t xml:space="preserve">12.1 Describe the Fund's accounting policies and reporting practices.</w:t>
      </w:r>
    </w:p>
    <w:p>
      <w:pPr>
        <w:shd w:fill="FEF9C3" w:val="clear"/>
        <w:spacing w:before="40" w:after="80"/>
      </w:pPr>
      <w:r>
        <w:rPr>
          <w:rFonts w:ascii="Arial" w:cs="Arial" w:eastAsia="Arial" w:hAnsi="Arial"/>
          <w:b/>
          <w:bCs/>
          <w:color w:val="854D0E"/>
          <w:sz w:val="17"/>
          <w:szCs w:val="17"/>
        </w:rPr>
        <w:t xml:space="preserve">🟡  PARCIAL — requiere validación interna</w:t>
      </w:r>
    </w:p>
    <w:p>
      <w:pPr>
        <w:spacing w:before="60" w:after="60"/>
      </w:pPr>
      <w:r>
        <w:rPr>
          <w:rFonts w:ascii="Arial" w:cs="Arial" w:eastAsia="Arial" w:hAnsi="Arial"/>
          <w:color w:val="333333"/>
          <w:sz w:val="20"/>
          <w:szCs w:val="20"/>
        </w:rPr>
        <w:t xml:space="preserve">As a Colombian FCP (Fondo de Capital Privado) regulated by the Superintendencia Financiera, the fund follows:</w:t>
      </w:r>
    </w:p>
    <w:p>
      <w:pPr>
        <w:pStyle w:val="ListParagraph"/>
        <w:numPr>
          <w:ilvl w:val="0"/>
          <w:numId w:val="2"/>
        </w:numPr>
      </w:pPr>
      <w:r>
        <w:rPr>
          <w:rFonts w:ascii="Arial" w:cs="Arial" w:eastAsia="Arial" w:hAnsi="Arial"/>
          <w:color w:val="333333"/>
          <w:sz w:val="20"/>
          <w:szCs w:val="20"/>
        </w:rPr>
        <w:t xml:space="preserve">Accounting: Colombian IFRS (Normas Internacionales de Información Financiera adoptadas en Colombia)</w:t>
      </w:r>
    </w:p>
    <w:p>
      <w:pPr>
        <w:pStyle w:val="ListParagraph"/>
        <w:numPr>
          <w:ilvl w:val="0"/>
          <w:numId w:val="2"/>
        </w:numPr>
      </w:pPr>
      <w:r>
        <w:rPr>
          <w:rFonts w:ascii="Arial" w:cs="Arial" w:eastAsia="Arial" w:hAnsi="Arial"/>
          <w:color w:val="333333"/>
          <w:sz w:val="20"/>
          <w:szCs w:val="20"/>
        </w:rPr>
        <w:t xml:space="preserve">Valuation: Quarterly NAV calculation by the fund administrator (Alianza Fiduciaria)</w:t>
      </w:r>
    </w:p>
    <w:p>
      <w:pPr>
        <w:pStyle w:val="ListParagraph"/>
        <w:numPr>
          <w:ilvl w:val="0"/>
          <w:numId w:val="2"/>
        </w:numPr>
      </w:pPr>
      <w:r>
        <w:rPr>
          <w:rFonts w:ascii="Arial" w:cs="Arial" w:eastAsia="Arial" w:hAnsi="Arial"/>
          <w:color w:val="333333"/>
          <w:sz w:val="20"/>
          <w:szCs w:val="20"/>
        </w:rPr>
        <w:t xml:space="preserve">LP Reporting: Quarterly reports to investors covering NAV, portfolio company updates, capital account statements</w:t>
      </w:r>
    </w:p>
    <w:p>
      <w:pPr>
        <w:pStyle w:val="ListParagraph"/>
        <w:numPr>
          <w:ilvl w:val="0"/>
          <w:numId w:val="2"/>
        </w:numPr>
      </w:pPr>
      <w:r>
        <w:rPr>
          <w:rFonts w:ascii="Arial" w:cs="Arial" w:eastAsia="Arial" w:hAnsi="Arial"/>
          <w:color w:val="333333"/>
          <w:sz w:val="20"/>
          <w:szCs w:val="20"/>
        </w:rPr>
        <w:t xml:space="preserve">Audit: Annual audit by an independent auditor registered with the SFC</w:t>
      </w:r>
    </w:p>
    <w:p>
      <w:pPr>
        <w:pStyle w:val="ListParagraph"/>
        <w:numPr>
          <w:ilvl w:val="0"/>
          <w:numId w:val="2"/>
        </w:numPr>
      </w:pPr>
      <w:r>
        <w:rPr>
          <w:rFonts w:ascii="Arial" w:cs="Arial" w:eastAsia="Arial" w:hAnsi="Arial"/>
          <w:color w:val="333333"/>
          <w:sz w:val="20"/>
          <w:szCs w:val="20"/>
        </w:rPr>
        <w:t xml:space="preserve">Regulatory Reporting: Regular filings to Superintendencia Financiera and Alianza Fiduciaria</w:t>
      </w:r>
    </w:p>
    <w:p>
      <w:pPr>
        <w:shd w:fill="FFFBEB" w:val="clear"/>
        <w:spacing w:before="80" w:after="140"/>
      </w:pPr>
      <w:r>
        <w:rPr>
          <w:rFonts w:ascii="Arial" w:cs="Arial" w:eastAsia="Arial" w:hAnsi="Arial"/>
          <w:b/>
          <w:bCs/>
          <w:color w:val="854D0E"/>
          <w:sz w:val="18"/>
          <w:szCs w:val="18"/>
        </w:rPr>
        <w:t xml:space="preserve">PARA COMPLETAR: </w:t>
      </w:r>
      <w:r>
        <w:rPr>
          <w:rFonts w:ascii="Arial" w:cs="Arial" w:eastAsia="Arial" w:hAnsi="Arial"/>
          <w:i/>
          <w:iCs/>
          <w:color w:val="854D0E"/>
          <w:sz w:val="18"/>
          <w:szCs w:val="18"/>
        </w:rPr>
        <w:t xml:space="preserve">Confirmar: nombre del auditor externo, normas de valoración específicas para activos de infraestructura no cotizados, frecuencia y contenido de los reportes LP, y si existe reporte ILPA-compatible.</w:t>
      </w:r>
    </w:p>
    <w:p>
      <w:pPr>
        <w:pBdr>
          <w:bottom w:val="single" w:color="E0DBD0" w:sz="2" w:space="1"/>
        </w:pBdr>
        <w:spacing w:before="120" w:after="120"/>
      </w:pPr>
      <w:r>
        <w:t xml:space="preserve"/>
      </w:r>
    </w:p>
    <w:p>
      <w:pPr>
        <w:pBdr>
          <w:bottom w:val="single" w:color="B8860B" w:sz="8" w:space="1"/>
        </w:pBdr>
        <w:spacing w:before="400" w:after="160"/>
      </w:pPr>
      <w:r>
        <w:rPr>
          <w:rFonts w:ascii="Arial" w:cs="Arial" w:eastAsia="Arial" w:hAnsi="Arial"/>
          <w:b/>
          <w:bCs/>
          <w:color w:val="0A2240"/>
          <w:sz w:val="28"/>
          <w:szCs w:val="28"/>
        </w:rPr>
        <w:t xml:space="preserve">SECCIÓN 13.0 — LEGAL</w:t>
      </w:r>
    </w:p>
    <w:p>
      <w:pPr>
        <w:spacing w:before="220" w:after="80"/>
      </w:pPr>
      <w:r>
        <w:rPr>
          <w:rFonts w:ascii="Arial" w:cs="Arial" w:eastAsia="Arial" w:hAnsi="Arial"/>
          <w:b/>
          <w:bCs/>
          <w:color w:val="1A1A1A"/>
          <w:sz w:val="20"/>
          <w:szCs w:val="20"/>
        </w:rPr>
        <w:t xml:space="preserve">13.1 Describe any material litigation or legal proceedings.</w:t>
      </w:r>
    </w:p>
    <w:p>
      <w:pPr>
        <w:shd w:fill="FEF9C3" w:val="clear"/>
        <w:spacing w:before="40" w:after="80"/>
      </w:pPr>
      <w:r>
        <w:rPr>
          <w:rFonts w:ascii="Arial" w:cs="Arial" w:eastAsia="Arial" w:hAnsi="Arial"/>
          <w:b/>
          <w:bCs/>
          <w:color w:val="854D0E"/>
          <w:sz w:val="17"/>
          <w:szCs w:val="17"/>
        </w:rPr>
        <w:t xml:space="preserve">🟡  PARCIAL — requiere validación interna</w:t>
      </w:r>
    </w:p>
    <w:p>
      <w:pPr>
        <w:spacing w:before="60" w:after="60"/>
      </w:pPr>
      <w:r>
        <w:rPr>
          <w:rFonts w:ascii="Arial" w:cs="Arial" w:eastAsia="Arial" w:hAnsi="Arial"/>
          <w:color w:val="333333"/>
          <w:sz w:val="20"/>
          <w:szCs w:val="20"/>
        </w:rPr>
        <w:t xml:space="preserve">No material litigation or adverse legal proceedings have been identified through public sources for Ashmore Management Company Colombia SAS or its portfolio companies.</w:t>
      </w:r>
    </w:p>
    <w:p>
      <w:pPr>
        <w:shd w:fill="FFFBEB" w:val="clear"/>
        <w:spacing w:before="80" w:after="140"/>
      </w:pPr>
      <w:r>
        <w:rPr>
          <w:rFonts w:ascii="Arial" w:cs="Arial" w:eastAsia="Arial" w:hAnsi="Arial"/>
          <w:b/>
          <w:bCs/>
          <w:color w:val="854D0E"/>
          <w:sz w:val="18"/>
          <w:szCs w:val="18"/>
        </w:rPr>
        <w:t xml:space="preserve">PARA COMPLETAR: </w:t>
      </w:r>
      <w:r>
        <w:rPr>
          <w:rFonts w:ascii="Arial" w:cs="Arial" w:eastAsia="Arial" w:hAnsi="Arial"/>
          <w:i/>
          <w:iCs/>
          <w:color w:val="854D0E"/>
          <w:sz w:val="18"/>
          <w:szCs w:val="18"/>
        </w:rPr>
        <w:t xml:space="preserve">Confirmar con el equipo legal que no existen litigios materiales en curso, demandas arbitrales, investigaciones regulatorias, o contingencias legales significativas en el fondo o en las compañías del portafolio.</w:t>
      </w:r>
    </w:p>
    <w:p>
      <w:pPr>
        <w:pBdr>
          <w:bottom w:val="single" w:color="E0DBD0" w:sz="2" w:space="1"/>
        </w:pBdr>
        <w:spacing w:before="120" w:after="120"/>
      </w:pPr>
      <w:r>
        <w:t xml:space="preserve"/>
      </w:r>
    </w:p>
    <w:p>
      <w:pPr>
        <w:pBdr>
          <w:bottom w:val="single" w:color="B8860B" w:sz="8" w:space="1"/>
        </w:pBdr>
        <w:spacing w:before="400" w:after="160"/>
      </w:pPr>
      <w:r>
        <w:rPr>
          <w:rFonts w:ascii="Arial" w:cs="Arial" w:eastAsia="Arial" w:hAnsi="Arial"/>
          <w:b/>
          <w:bCs/>
          <w:color w:val="0A2240"/>
          <w:sz w:val="28"/>
          <w:szCs w:val="28"/>
        </w:rPr>
        <w:t xml:space="preserve">SECCIÓN 14.0 — DIVERSITY, EQUITY &amp; INCLUSION</w:t>
      </w:r>
    </w:p>
    <w:p>
      <w:pPr>
        <w:spacing w:before="220" w:after="80"/>
      </w:pPr>
      <w:r>
        <w:rPr>
          <w:rFonts w:ascii="Arial" w:cs="Arial" w:eastAsia="Arial" w:hAnsi="Arial"/>
          <w:b/>
          <w:bCs/>
          <w:color w:val="1A1A1A"/>
          <w:sz w:val="20"/>
          <w:szCs w:val="20"/>
        </w:rPr>
        <w:t xml:space="preserve">14.1 Describe the Firm's approach to diversity, equity, and inclusion.</w:t>
      </w:r>
    </w:p>
    <w:p>
      <w:pPr>
        <w:shd w:fill="FEF9C3" w:val="clear"/>
        <w:spacing w:before="40" w:after="80"/>
      </w:pPr>
      <w:r>
        <w:rPr>
          <w:rFonts w:ascii="Arial" w:cs="Arial" w:eastAsia="Arial" w:hAnsi="Arial"/>
          <w:b/>
          <w:bCs/>
          <w:color w:val="854D0E"/>
          <w:sz w:val="17"/>
          <w:szCs w:val="17"/>
        </w:rPr>
        <w:t xml:space="preserve">🟡  PARCIAL — requiere validación interna</w:t>
      </w:r>
    </w:p>
    <w:p>
      <w:pPr>
        <w:spacing w:before="60" w:after="60"/>
      </w:pPr>
      <w:r>
        <w:rPr>
          <w:rFonts w:ascii="Arial" w:cs="Arial" w:eastAsia="Arial" w:hAnsi="Arial"/>
          <w:color w:val="333333"/>
          <w:sz w:val="20"/>
          <w:szCs w:val="20"/>
        </w:rPr>
        <w:t xml:space="preserve">Fondo Andino III has an explicit mandate for investments with measurable diversity and inclusion outcomes, particularly gender equity, as part of its social infrastructure thematic focus. This represents a formal commitment to DEI at the portfolio level.</w:t>
      </w:r>
    </w:p>
    <w:p>
      <w:pPr>
        <w:spacing w:before="60" w:after="60"/>
      </w:pPr>
      <w:r>
        <w:rPr>
          <w:rFonts w:ascii="Arial" w:cs="Arial" w:eastAsia="Arial" w:hAnsi="Arial"/>
          <w:color w:val="333333"/>
          <w:sz w:val="20"/>
          <w:szCs w:val="20"/>
        </w:rPr>
        <w:t xml:space="preserve">At the firm level, Ashmore Group plc publishes annual sustainability reports that address workforce diversity metrics at the global level.</w:t>
      </w:r>
    </w:p>
    <w:p>
      <w:pPr>
        <w:shd w:fill="FFFBEB" w:val="clear"/>
        <w:spacing w:before="80" w:after="140"/>
      </w:pPr>
      <w:r>
        <w:rPr>
          <w:rFonts w:ascii="Arial" w:cs="Arial" w:eastAsia="Arial" w:hAnsi="Arial"/>
          <w:b/>
          <w:bCs/>
          <w:color w:val="854D0E"/>
          <w:sz w:val="18"/>
          <w:szCs w:val="18"/>
        </w:rPr>
        <w:t xml:space="preserve">PARA COMPLETAR: </w:t>
      </w:r>
      <w:r>
        <w:rPr>
          <w:rFonts w:ascii="Arial" w:cs="Arial" w:eastAsia="Arial" w:hAnsi="Arial"/>
          <w:i/>
          <w:iCs/>
          <w:color w:val="854D0E"/>
          <w:sz w:val="18"/>
          <w:szCs w:val="18"/>
        </w:rPr>
        <w:t xml:space="preserve">Solicitar datos de diversidad del equipo de Ashmore Colombia específicamente: composición por género, nivel jerárquico, y políticas internas de DEI. El Fondo III tiene compromisos de impacto en DEI que deben documentarse para LPs como SIFEM y BID que requieren esta información.</w:t>
      </w:r>
    </w:p>
    <w:p>
      <w:pPr>
        <w:pBdr>
          <w:bottom w:val="single" w:color="E0DBD0" w:sz="2" w:space="1"/>
        </w:pBdr>
        <w:spacing w:before="120" w:after="120"/>
      </w:pPr>
      <w:r>
        <w:t xml:space="preserve"/>
      </w:r>
    </w:p>
    <w:p>
      <w:pPr>
        <w:pBdr>
          <w:bottom w:val="single" w:color="B8860B" w:sz="8" w:space="1"/>
        </w:pBdr>
        <w:spacing w:before="400" w:after="160"/>
      </w:pPr>
      <w:r>
        <w:rPr>
          <w:rFonts w:ascii="Arial" w:cs="Arial" w:eastAsia="Arial" w:hAnsi="Arial"/>
          <w:b/>
          <w:bCs/>
          <w:color w:val="0A2240"/>
          <w:sz w:val="28"/>
          <w:szCs w:val="28"/>
        </w:rPr>
        <w:t xml:space="preserve">INFORMACIÓN INTERNA PRIORITARIA PARA COMPLETAR EL DDQ</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760"/>
        <w:gridCol w:w="2900"/>
      </w:tblGrid>
      <w:tr>
        <w:tc>
          <w:tcPr>
            <w:tcW w:type="dxa" w:w="700"/>
            <w:tcBorders>
              <w:top w:val="single" w:color="DDDDDD" w:sz="1"/>
              <w:left w:val="single" w:color="DDDDDD" w:sz="1"/>
              <w:bottom w:val="single" w:color="DDDDDD" w:sz="1"/>
              <w:right w:val="single" w:color="DDDDDD" w:sz="1"/>
            </w:tcBorders>
            <w:shd w:fill="0A224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w:t>
            </w:r>
          </w:p>
        </w:tc>
        <w:tc>
          <w:tcPr>
            <w:tcW w:type="dxa" w:w="5760"/>
            <w:tcBorders>
              <w:top w:val="single" w:color="DDDDDD" w:sz="1"/>
              <w:left w:val="single" w:color="DDDDDD" w:sz="1"/>
              <w:bottom w:val="single" w:color="DDDDDD" w:sz="1"/>
              <w:right w:val="single" w:color="DDDDDD" w:sz="1"/>
            </w:tcBorders>
            <w:shd w:fill="0A2240" w:val="clear"/>
            <w:tcMar>
              <w:top w:type="dxa" w:w="80"/>
              <w:left w:type="dxa" w:w="120"/>
              <w:bottom w:type="dxa" w:w="80"/>
              <w:right w:type="dxa" w:w="120"/>
            </w:tcMar>
          </w:tcPr>
          <w:p>
            <w:r>
              <w:rPr>
                <w:rFonts w:ascii="Arial" w:cs="Arial" w:eastAsia="Arial" w:hAnsi="Arial"/>
                <w:b/>
                <w:bCs/>
                <w:color w:val="FFFFFF"/>
                <w:sz w:val="17"/>
                <w:szCs w:val="17"/>
              </w:rPr>
              <w:t xml:space="preserve">Información requerida</w:t>
            </w:r>
          </w:p>
        </w:tc>
        <w:tc>
          <w:tcPr>
            <w:tcW w:type="dxa" w:w="2900"/>
            <w:tcBorders>
              <w:top w:val="single" w:color="DDDDDD" w:sz="1"/>
              <w:left w:val="single" w:color="DDDDDD" w:sz="1"/>
              <w:bottom w:val="single" w:color="DDDDDD" w:sz="1"/>
              <w:right w:val="single" w:color="DDDDDD" w:sz="1"/>
            </w:tcBorders>
            <w:shd w:fill="0A2240" w:val="clear"/>
            <w:tcMar>
              <w:top w:type="dxa" w:w="80"/>
              <w:left w:type="dxa" w:w="120"/>
              <w:bottom w:type="dxa" w:w="80"/>
              <w:right w:type="dxa" w:w="120"/>
            </w:tcMar>
          </w:tcPr>
          <w:p>
            <w:r>
              <w:rPr>
                <w:rFonts w:ascii="Arial" w:cs="Arial" w:eastAsia="Arial" w:hAnsi="Arial"/>
                <w:b/>
                <w:bCs/>
                <w:color w:val="FFFFFF"/>
                <w:sz w:val="17"/>
                <w:szCs w:val="17"/>
              </w:rPr>
              <w:t xml:space="preserve">Fuente interna</w:t>
            </w:r>
          </w:p>
        </w:tc>
      </w:tr>
      <w:tr>
        <w:tc>
          <w:tcPr>
            <w:tcW w:type="dxa" w:w="700"/>
            <w:tcBorders>
              <w:top w:val="single" w:color="DDDDDD" w:sz="1"/>
              <w:left w:val="single" w:color="DDDDDD" w:sz="1"/>
              <w:bottom w:val="single" w:color="DDDDDD" w:sz="1"/>
              <w:right w:val="single" w:color="DDDDDD" w:sz="1"/>
            </w:tcBorders>
            <w:shd w:fill="F8F5F0" w:val="clear"/>
            <w:tcMar>
              <w:top w:type="dxa" w:w="80"/>
              <w:left w:type="dxa" w:w="100"/>
              <w:bottom w:type="dxa" w:w="80"/>
              <w:right w:type="dxa" w:w="100"/>
            </w:tcMar>
          </w:tcPr>
          <w:p>
            <w:pPr>
              <w:jc w:val="center"/>
            </w:pPr>
            <w:r>
              <w:rPr>
                <w:rFonts w:ascii="Arial" w:cs="Arial" w:eastAsia="Arial" w:hAnsi="Arial"/>
                <w:b/>
                <w:bCs/>
                <w:color w:val="0A2240"/>
                <w:sz w:val="18"/>
                <w:szCs w:val="18"/>
              </w:rPr>
              <w:t xml:space="preserve">1</w:t>
            </w:r>
          </w:p>
        </w:tc>
        <w:tc>
          <w:tcPr>
            <w:tcW w:type="dxa" w:w="576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r>
              <w:rPr>
                <w:rFonts w:ascii="Arial" w:cs="Arial" w:eastAsia="Arial" w:hAnsi="Arial"/>
                <w:color w:val="444444"/>
                <w:sz w:val="18"/>
                <w:szCs w:val="18"/>
              </w:rPr>
              <w:t xml:space="preserve">Reglamento del Fondo Andino III completo (FCP + LPA): términos económicos, límites de concentración, restricciones de inversión, política de distribuciones, co-inversión, apalancamiento</w:t>
            </w:r>
          </w:p>
        </w:tc>
        <w:tc>
          <w:tcPr>
            <w:tcW w:type="dxa" w:w="290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r>
              <w:rPr>
                <w:rFonts w:ascii="Arial" w:cs="Arial" w:eastAsia="Arial" w:hAnsi="Arial"/>
                <w:b/>
                <w:bCs/>
                <w:color w:val="B8860B"/>
                <w:sz w:val="18"/>
                <w:szCs w:val="18"/>
              </w:rPr>
              <w:t xml:space="preserve">Equipo Legal</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bCs/>
                <w:color w:val="0A2240"/>
                <w:sz w:val="18"/>
                <w:szCs w:val="18"/>
              </w:rPr>
              <w:t xml:space="preserve">2</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Organigrama completo con equipo actual, títulos, años de experiencia y responsabilidades individuales</w:t>
            </w:r>
          </w:p>
        </w:tc>
        <w:tc>
          <w:tcPr>
            <w:tcW w:type="dxa" w:w="2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B8860B"/>
                <w:sz w:val="18"/>
                <w:szCs w:val="18"/>
              </w:rPr>
              <w:t xml:space="preserve">Dirección General / RRHH</w:t>
            </w:r>
          </w:p>
        </w:tc>
      </w:tr>
      <w:tr>
        <w:tc>
          <w:tcPr>
            <w:tcW w:type="dxa" w:w="700"/>
            <w:tcBorders>
              <w:top w:val="single" w:color="DDDDDD" w:sz="1"/>
              <w:left w:val="single" w:color="DDDDDD" w:sz="1"/>
              <w:bottom w:val="single" w:color="DDDDDD" w:sz="1"/>
              <w:right w:val="single" w:color="DDDDDD" w:sz="1"/>
            </w:tcBorders>
            <w:shd w:fill="F8F5F0" w:val="clear"/>
            <w:tcMar>
              <w:top w:type="dxa" w:w="80"/>
              <w:left w:type="dxa" w:w="100"/>
              <w:bottom w:type="dxa" w:w="80"/>
              <w:right w:type="dxa" w:w="100"/>
            </w:tcMar>
          </w:tcPr>
          <w:p>
            <w:pPr>
              <w:jc w:val="center"/>
            </w:pPr>
            <w:r>
              <w:rPr>
                <w:rFonts w:ascii="Arial" w:cs="Arial" w:eastAsia="Arial" w:hAnsi="Arial"/>
                <w:b/>
                <w:bCs/>
                <w:color w:val="0A2240"/>
                <w:sz w:val="18"/>
                <w:szCs w:val="18"/>
              </w:rPr>
              <w:t xml:space="preserve">3</w:t>
            </w:r>
          </w:p>
        </w:tc>
        <w:tc>
          <w:tcPr>
            <w:tcW w:type="dxa" w:w="576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r>
              <w:rPr>
                <w:rFonts w:ascii="Arial" w:cs="Arial" w:eastAsia="Arial" w:hAnsi="Arial"/>
                <w:color w:val="444444"/>
                <w:sz w:val="18"/>
                <w:szCs w:val="18"/>
              </w:rPr>
              <w:t xml:space="preserve">Estados financieros auditados de la firma gestora (últimos 3 años)</w:t>
            </w:r>
          </w:p>
        </w:tc>
        <w:tc>
          <w:tcPr>
            <w:tcW w:type="dxa" w:w="290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r>
              <w:rPr>
                <w:rFonts w:ascii="Arial" w:cs="Arial" w:eastAsia="Arial" w:hAnsi="Arial"/>
                <w:b/>
                <w:bCs/>
                <w:color w:val="B8860B"/>
                <w:sz w:val="18"/>
                <w:szCs w:val="18"/>
              </w:rPr>
              <w:t xml:space="preserve">Dirección Financiera</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bCs/>
                <w:color w:val="0A2240"/>
                <w:sz w:val="18"/>
                <w:szCs w:val="18"/>
              </w:rPr>
              <w:t xml:space="preserve">4</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Declaraciones individuales de Principals: actividades externas, conflictos de interés, background check</w:t>
            </w:r>
          </w:p>
        </w:tc>
        <w:tc>
          <w:tcPr>
            <w:tcW w:type="dxa" w:w="2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B8860B"/>
                <w:sz w:val="18"/>
                <w:szCs w:val="18"/>
              </w:rPr>
              <w:t xml:space="preserve">Compliance / RRHH</w:t>
            </w:r>
          </w:p>
        </w:tc>
      </w:tr>
      <w:tr>
        <w:tc>
          <w:tcPr>
            <w:tcW w:type="dxa" w:w="700"/>
            <w:tcBorders>
              <w:top w:val="single" w:color="DDDDDD" w:sz="1"/>
              <w:left w:val="single" w:color="DDDDDD" w:sz="1"/>
              <w:bottom w:val="single" w:color="DDDDDD" w:sz="1"/>
              <w:right w:val="single" w:color="DDDDDD" w:sz="1"/>
            </w:tcBorders>
            <w:shd w:fill="F8F5F0" w:val="clear"/>
            <w:tcMar>
              <w:top w:type="dxa" w:w="80"/>
              <w:left w:type="dxa" w:w="100"/>
              <w:bottom w:type="dxa" w:w="80"/>
              <w:right w:type="dxa" w:w="100"/>
            </w:tcMar>
          </w:tcPr>
          <w:p>
            <w:pPr>
              <w:jc w:val="center"/>
            </w:pPr>
            <w:r>
              <w:rPr>
                <w:rFonts w:ascii="Arial" w:cs="Arial" w:eastAsia="Arial" w:hAnsi="Arial"/>
                <w:b/>
                <w:bCs/>
                <w:color w:val="0A2240"/>
                <w:sz w:val="18"/>
                <w:szCs w:val="18"/>
              </w:rPr>
              <w:t xml:space="preserve">5</w:t>
            </w:r>
          </w:p>
        </w:tc>
        <w:tc>
          <w:tcPr>
            <w:tcW w:type="dxa" w:w="576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r>
              <w:rPr>
                <w:rFonts w:ascii="Arial" w:cs="Arial" w:eastAsia="Arial" w:hAnsi="Arial"/>
                <w:color w:val="444444"/>
                <w:sz w:val="18"/>
                <w:szCs w:val="18"/>
              </w:rPr>
              <w:t xml:space="preserve">Política ESG formal + proceso de DD ESG + métricas de impacto del Fondo III</w:t>
            </w:r>
          </w:p>
        </w:tc>
        <w:tc>
          <w:tcPr>
            <w:tcW w:type="dxa" w:w="290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r>
              <w:rPr>
                <w:rFonts w:ascii="Arial" w:cs="Arial" w:eastAsia="Arial" w:hAnsi="Arial"/>
                <w:b/>
                <w:bCs/>
                <w:color w:val="B8860B"/>
                <w:sz w:val="18"/>
                <w:szCs w:val="18"/>
              </w:rPr>
              <w:t xml:space="preserve">Asset Management</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bCs/>
                <w:color w:val="0A2240"/>
                <w:sz w:val="18"/>
                <w:szCs w:val="18"/>
              </w:rPr>
              <w:t xml:space="preserve">6</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Información de contacto designado de Investor Relations (nombre, cargo, email, teléfono)</w:t>
            </w:r>
          </w:p>
        </w:tc>
        <w:tc>
          <w:tcPr>
            <w:tcW w:type="dxa" w:w="2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B8860B"/>
                <w:sz w:val="18"/>
                <w:szCs w:val="18"/>
              </w:rPr>
              <w:t xml:space="preserve">Dirección General</w:t>
            </w:r>
          </w:p>
        </w:tc>
      </w:tr>
      <w:tr>
        <w:tc>
          <w:tcPr>
            <w:tcW w:type="dxa" w:w="700"/>
            <w:tcBorders>
              <w:top w:val="single" w:color="DDDDDD" w:sz="1"/>
              <w:left w:val="single" w:color="DDDDDD" w:sz="1"/>
              <w:bottom w:val="single" w:color="DDDDDD" w:sz="1"/>
              <w:right w:val="single" w:color="DDDDDD" w:sz="1"/>
            </w:tcBorders>
            <w:shd w:fill="F8F5F0" w:val="clear"/>
            <w:tcMar>
              <w:top w:type="dxa" w:w="80"/>
              <w:left w:type="dxa" w:w="100"/>
              <w:bottom w:type="dxa" w:w="80"/>
              <w:right w:type="dxa" w:w="100"/>
            </w:tcMar>
          </w:tcPr>
          <w:p>
            <w:pPr>
              <w:jc w:val="center"/>
            </w:pPr>
            <w:r>
              <w:rPr>
                <w:rFonts w:ascii="Arial" w:cs="Arial" w:eastAsia="Arial" w:hAnsi="Arial"/>
                <w:b/>
                <w:bCs/>
                <w:color w:val="0A2240"/>
                <w:sz w:val="18"/>
                <w:szCs w:val="18"/>
              </w:rPr>
              <w:t xml:space="preserve">7</w:t>
            </w:r>
          </w:p>
        </w:tc>
        <w:tc>
          <w:tcPr>
            <w:tcW w:type="dxa" w:w="576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r>
              <w:rPr>
                <w:rFonts w:ascii="Arial" w:cs="Arial" w:eastAsia="Arial" w:hAnsi="Arial"/>
                <w:color w:val="444444"/>
                <w:sz w:val="18"/>
                <w:szCs w:val="18"/>
              </w:rPr>
              <w:t xml:space="preserve">Nombre del auditor externo y firma legal asesora del fondo</w:t>
            </w:r>
          </w:p>
        </w:tc>
        <w:tc>
          <w:tcPr>
            <w:tcW w:type="dxa" w:w="290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r>
              <w:rPr>
                <w:rFonts w:ascii="Arial" w:cs="Arial" w:eastAsia="Arial" w:hAnsi="Arial"/>
                <w:b/>
                <w:bCs/>
                <w:color w:val="B8860B"/>
                <w:sz w:val="18"/>
                <w:szCs w:val="18"/>
              </w:rPr>
              <w:t xml:space="preserve">Dirección Legal</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bCs/>
                <w:color w:val="0A2240"/>
                <w:sz w:val="18"/>
                <w:szCs w:val="18"/>
              </w:rPr>
              <w:t xml:space="preserve">8</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Track record detallado: TIR bruta/neta, MOIC, DPI, RVPI por inversión y consolidado para Fondos I y II</w:t>
            </w:r>
          </w:p>
        </w:tc>
        <w:tc>
          <w:tcPr>
            <w:tcW w:type="dxa" w:w="2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B8860B"/>
                <w:sz w:val="18"/>
                <w:szCs w:val="18"/>
              </w:rPr>
              <w:t xml:space="preserve">Equipo de Inversiones</w:t>
            </w:r>
          </w:p>
        </w:tc>
      </w:tr>
      <w:tr>
        <w:tc>
          <w:tcPr>
            <w:tcW w:type="dxa" w:w="700"/>
            <w:tcBorders>
              <w:top w:val="single" w:color="DDDDDD" w:sz="1"/>
              <w:left w:val="single" w:color="DDDDDD" w:sz="1"/>
              <w:bottom w:val="single" w:color="DDDDDD" w:sz="1"/>
              <w:right w:val="single" w:color="DDDDDD" w:sz="1"/>
            </w:tcBorders>
            <w:shd w:fill="F8F5F0" w:val="clear"/>
            <w:tcMar>
              <w:top w:type="dxa" w:w="80"/>
              <w:left w:type="dxa" w:w="100"/>
              <w:bottom w:type="dxa" w:w="80"/>
              <w:right w:type="dxa" w:w="100"/>
            </w:tcMar>
          </w:tcPr>
          <w:p>
            <w:pPr>
              <w:jc w:val="center"/>
            </w:pPr>
            <w:r>
              <w:rPr>
                <w:rFonts w:ascii="Arial" w:cs="Arial" w:eastAsia="Arial" w:hAnsi="Arial"/>
                <w:b/>
                <w:bCs/>
                <w:color w:val="0A2240"/>
                <w:sz w:val="18"/>
                <w:szCs w:val="18"/>
              </w:rPr>
              <w:t xml:space="preserve">9</w:t>
            </w:r>
          </w:p>
        </w:tc>
        <w:tc>
          <w:tcPr>
            <w:tcW w:type="dxa" w:w="576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r>
              <w:rPr>
                <w:rFonts w:ascii="Arial" w:cs="Arial" w:eastAsia="Arial" w:hAnsi="Arial"/>
                <w:color w:val="444444"/>
                <w:sz w:val="18"/>
                <w:szCs w:val="18"/>
              </w:rPr>
              <w:t xml:space="preserve">Estructura de fees: management fee, carried interest, hurdle rate, clawback provisions</w:t>
            </w:r>
          </w:p>
        </w:tc>
        <w:tc>
          <w:tcPr>
            <w:tcW w:type="dxa" w:w="2900"/>
            <w:tcBorders>
              <w:top w:val="single" w:color="DDDDDD" w:sz="1"/>
              <w:left w:val="single" w:color="DDDDDD" w:sz="1"/>
              <w:bottom w:val="single" w:color="DDDDDD" w:sz="1"/>
              <w:right w:val="single" w:color="DDDDDD" w:sz="1"/>
            </w:tcBorders>
            <w:shd w:fill="F8F5F0" w:val="clear"/>
            <w:tcMar>
              <w:top w:type="dxa" w:w="80"/>
              <w:left w:type="dxa" w:w="120"/>
              <w:bottom w:type="dxa" w:w="80"/>
              <w:right w:type="dxa" w:w="120"/>
            </w:tcMar>
          </w:tcPr>
          <w:p>
            <w:r>
              <w:rPr>
                <w:rFonts w:ascii="Arial" w:cs="Arial" w:eastAsia="Arial" w:hAnsi="Arial"/>
                <w:b/>
                <w:bCs/>
                <w:color w:val="B8860B"/>
                <w:sz w:val="18"/>
                <w:szCs w:val="18"/>
              </w:rPr>
              <w:t xml:space="preserve">Equipo Legal / Finanzas</w:t>
            </w:r>
          </w:p>
        </w:tc>
      </w:tr>
    </w:tbl>
    <w:p>
      <w:pPr>
        <w:spacing w:before="40" w:after="40"/>
      </w:pPr>
      <w:r>
        <w:t xml:space="preserve"/>
      </w:r>
    </w:p>
    <w:p>
      <w:pPr>
        <w:spacing w:before="200" w:after="80"/>
      </w:pPr>
      <w:r>
        <w:rPr>
          <w:rFonts w:ascii="Arial" w:cs="Arial" w:eastAsia="Arial" w:hAnsi="Arial"/>
          <w:b/>
          <w:bCs/>
          <w:color w:val="0A2240"/>
          <w:sz w:val="20"/>
          <w:szCs w:val="20"/>
        </w:rPr>
        <w:t xml:space="preserve">Nota metodológica</w:t>
      </w:r>
    </w:p>
    <w:p>
      <w:pPr>
        <w:spacing w:before="60" w:after="60"/>
      </w:pPr>
      <w:r>
        <w:rPr>
          <w:rFonts w:ascii="Arial" w:cs="Arial" w:eastAsia="Arial" w:hAnsi="Arial"/>
          <w:i/>
          <w:iCs/>
          <w:color w:val="666666"/>
          <w:sz w:val="20"/>
          <w:szCs w:val="20"/>
        </w:rPr>
        <w:t xml:space="preserve">Este DDQ fue pre-llenado utilizando Claude (Anthropic) con el prompt del Sistema Operativo IA de Ashmore, usando información pública disponible sobre Ashmore Management Company Colombia SAS y Ashmore Group plc. Fuentes utilizadas: sitio web de Ashmore Group, registros de Alianza Fiduciaria, Superfinanciera, Supersociedades, y reportes públicos de los fondos.</w:t>
      </w:r>
    </w:p>
    <w:p>
      <w:pPr>
        <w:spacing w:before="60" w:after="60"/>
      </w:pPr>
      <w:r>
        <w:rPr>
          <w:rFonts w:ascii="Arial" w:cs="Arial" w:eastAsia="Arial" w:hAnsi="Arial"/>
          <w:b/>
          <w:bCs/>
          <w:i/>
          <w:iCs/>
          <w:color w:val="666666"/>
          <w:sz w:val="20"/>
          <w:szCs w:val="20"/>
        </w:rPr>
        <w:t xml:space="preserve">Tiempo de generación del borrador: &lt; 30 minutos  |  Estimado manual desde cero: 2–3 semanas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2026-03-17T00:00:12.558Z</dcterms:created>
  <dcterms:modified xsi:type="dcterms:W3CDTF">2026-03-17T00:00:12.558Z</dcterms:modified>
</cp:coreProperties>
</file>

<file path=docProps/custom.xml><?xml version="1.0" encoding="utf-8"?>
<Properties xmlns="http://schemas.openxmlformats.org/officeDocument/2006/custom-properties" xmlns:vt="http://schemas.openxmlformats.org/officeDocument/2006/docPropsVTypes"/>
</file>