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C1B4A" w:rsidRDefault="00000000">
      <w:pPr>
        <w:spacing w:before="120" w:after="120" w:line="336" w:lineRule="auto"/>
        <w:jc w:val="center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2"/>
          <w:szCs w:val="32"/>
        </w:rPr>
        <w:t xml:space="preserve">Universidad de las Fuerzas Armadas “ESPE” </w:t>
      </w:r>
    </w:p>
    <w:p w:rsidR="009C1B4A" w:rsidRDefault="00000000">
      <w:pPr>
        <w:spacing w:before="120" w:after="120" w:line="336" w:lineRule="auto"/>
        <w:jc w:val="center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2"/>
          <w:szCs w:val="32"/>
        </w:rPr>
        <w:t xml:space="preserve">CUADRO COMPARATIVO DE CAJA NEGRA Y BLANCA DEL HOTEL LUXUR DREAM </w:t>
      </w:r>
    </w:p>
    <w:p w:rsidR="009C1B4A" w:rsidRPr="0051245A" w:rsidRDefault="00000000">
      <w:pPr>
        <w:spacing w:before="120" w:after="120" w:line="336" w:lineRule="auto"/>
        <w:jc w:val="center"/>
        <w:rPr>
          <w:rFonts w:ascii="Times New Roman" w:hAnsi="Times New Roman" w:cs="Times New Roman"/>
        </w:rPr>
      </w:pPr>
      <w:r w:rsidRPr="0051245A">
        <w:rPr>
          <w:rFonts w:ascii="Times New Roman" w:eastAsia="Cooper Hewitt Bold" w:hAnsi="Times New Roman" w:cs="Times New Roman"/>
          <w:color w:val="000000"/>
          <w:sz w:val="32"/>
          <w:szCs w:val="32"/>
        </w:rPr>
        <w:t xml:space="preserve">Juan Pablo Cano </w:t>
      </w:r>
    </w:p>
    <w:p w:rsidR="009C1B4A" w:rsidRPr="0051245A" w:rsidRDefault="00000000">
      <w:pPr>
        <w:spacing w:before="120" w:after="120" w:line="336" w:lineRule="auto"/>
        <w:jc w:val="center"/>
        <w:rPr>
          <w:rFonts w:ascii="Times New Roman" w:hAnsi="Times New Roman" w:cs="Times New Roman"/>
        </w:rPr>
      </w:pPr>
      <w:r w:rsidRPr="0051245A">
        <w:rPr>
          <w:rFonts w:ascii="Times New Roman" w:eastAsia="Cooper Hewitt Bold" w:hAnsi="Times New Roman" w:cs="Times New Roman"/>
          <w:color w:val="000000"/>
          <w:sz w:val="32"/>
          <w:szCs w:val="32"/>
        </w:rPr>
        <w:t xml:space="preserve">Solange Villegas </w:t>
      </w:r>
    </w:p>
    <w:p w:rsidR="009C1B4A" w:rsidRPr="0051245A" w:rsidRDefault="00000000">
      <w:pPr>
        <w:spacing w:before="120" w:after="120" w:line="336" w:lineRule="auto"/>
        <w:jc w:val="center"/>
        <w:rPr>
          <w:rFonts w:ascii="Times New Roman" w:hAnsi="Times New Roman" w:cs="Times New Roman"/>
        </w:rPr>
      </w:pPr>
      <w:r w:rsidRPr="0051245A">
        <w:rPr>
          <w:rFonts w:ascii="Times New Roman" w:eastAsia="Cooper Hewitt Bold" w:hAnsi="Times New Roman" w:cs="Times New Roman"/>
          <w:color w:val="000000"/>
          <w:sz w:val="32"/>
          <w:szCs w:val="32"/>
        </w:rPr>
        <w:t xml:space="preserve">Tamara Menéndez </w:t>
      </w:r>
    </w:p>
    <w:p w:rsidR="009C1B4A" w:rsidRDefault="00000000">
      <w:pPr>
        <w:spacing w:before="120" w:after="120" w:line="336" w:lineRule="auto"/>
      </w:pPr>
      <w:r>
        <w:rPr>
          <w:rFonts w:ascii="Cooper Hewitt" w:eastAsia="Cooper Hewitt" w:hAnsi="Cooper Hewitt" w:cs="Cooper Hewitt"/>
          <w:b/>
          <w:bCs/>
          <w:color w:val="000000"/>
        </w:rPr>
        <w:t xml:space="preserve"> </w:t>
      </w:r>
    </w:p>
    <w:p w:rsidR="009C1B4A" w:rsidRDefault="00000000">
      <w:pPr>
        <w:spacing w:before="120" w:after="120" w:line="336" w:lineRule="auto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 xml:space="preserve">Requisito: Inicio de Sesión Seguro </w:t>
      </w:r>
    </w:p>
    <w:tbl>
      <w:tblPr>
        <w:tblW w:w="10490" w:type="dxa"/>
        <w:tblInd w:w="-671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4111"/>
        <w:gridCol w:w="4394"/>
      </w:tblGrid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C96CF3" w:rsidRDefault="00000000">
            <w:pPr>
              <w:spacing w:before="120" w:after="120" w:line="336" w:lineRule="auto"/>
              <w:rPr>
                <w:b/>
                <w:bCs/>
              </w:rPr>
            </w:pPr>
            <w:r w:rsidRPr="00C96CF3"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Tipo de Prueba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C96CF3" w:rsidRDefault="00000000">
            <w:pPr>
              <w:spacing w:before="120" w:after="120" w:line="336" w:lineRule="auto"/>
              <w:rPr>
                <w:b/>
                <w:bCs/>
              </w:rPr>
            </w:pPr>
            <w:r w:rsidRPr="00C96CF3"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Ventajas </w:t>
            </w:r>
          </w:p>
        </w:tc>
        <w:tc>
          <w:tcPr>
            <w:tcW w:w="4394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C96CF3" w:rsidRDefault="00000000">
            <w:pPr>
              <w:spacing w:before="120" w:after="120" w:line="336" w:lineRule="auto"/>
              <w:rPr>
                <w:b/>
                <w:bCs/>
              </w:rPr>
            </w:pPr>
            <w:r w:rsidRPr="00C96CF3"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Desventajas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negra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 w:rsidP="00C96CF3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Verifica que el usuario pueda iniciar sesión correctamente con credenciales válidas y rechace las inválidas sin conocer el código. Simula el comportamiento real del recepcionista. </w:t>
            </w:r>
          </w:p>
        </w:tc>
        <w:tc>
          <w:tcPr>
            <w:tcW w:w="4394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 w:rsidP="00C96CF3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garantiza que la encriptación de contraseñas esté bien implementada internamente ni detecta posibles vulnerabilidades en el código.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blanca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 w:rsidP="00C96CF3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Permite revisar cómo se gestionan internamente las contraseñas, encriptación, y manejo de sesiones. Ayuda a identificar fallos de seguridad en el código. </w:t>
            </w:r>
          </w:p>
        </w:tc>
        <w:tc>
          <w:tcPr>
            <w:tcW w:w="4394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 w:rsidP="00C96CF3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valida la experiencia del usuario ni asegura que el flujo cumpla completamente con los requisitos funcionales visibles. </w:t>
            </w:r>
          </w:p>
        </w:tc>
      </w:tr>
    </w:tbl>
    <w:p w:rsidR="00C96CF3" w:rsidRDefault="00C96CF3">
      <w:pPr>
        <w:spacing w:before="120" w:after="120" w:line="336" w:lineRule="auto"/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</w:pPr>
    </w:p>
    <w:p w:rsidR="0051245A" w:rsidRDefault="0051245A">
      <w:pPr>
        <w:spacing w:before="120" w:after="120" w:line="336" w:lineRule="auto"/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</w:pPr>
    </w:p>
    <w:p w:rsidR="009C1B4A" w:rsidRDefault="00000000">
      <w:pPr>
        <w:spacing w:before="120" w:after="120" w:line="336" w:lineRule="auto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 xml:space="preserve">Requisito: </w:t>
      </w:r>
      <w:proofErr w:type="spellStart"/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>Check</w:t>
      </w:r>
      <w:proofErr w:type="spellEnd"/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 xml:space="preserve">-in Digital </w:t>
      </w:r>
    </w:p>
    <w:tbl>
      <w:tblPr>
        <w:tblW w:w="10915" w:type="dxa"/>
        <w:tblInd w:w="-954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5169"/>
        <w:gridCol w:w="3761"/>
      </w:tblGrid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lastRenderedPageBreak/>
              <w:t xml:space="preserve">Tipo de Prueba </w:t>
            </w:r>
          </w:p>
        </w:tc>
        <w:tc>
          <w:tcPr>
            <w:tcW w:w="516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Ventajas </w:t>
            </w:r>
          </w:p>
        </w:tc>
        <w:tc>
          <w:tcPr>
            <w:tcW w:w="376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Desventajas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negra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516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Comprueba </w:t>
            </w:r>
            <w:r w:rsidR="0051245A" w:rsidRPr="00DC5148">
              <w:rPr>
                <w:rFonts w:ascii="Times New Roman" w:eastAsia="Cooper Hewitt" w:hAnsi="Times New Roman" w:cs="Times New Roman"/>
                <w:color w:val="000000"/>
              </w:rPr>
              <w:t>que,</w:t>
            </w: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al ingresar los datos obligatorios, el sistema genere el comprobante PDF y solicite completar si falta algo. Fácil de hacer desde la interfaz. </w:t>
            </w:r>
          </w:p>
        </w:tc>
        <w:tc>
          <w:tcPr>
            <w:tcW w:w="376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garantiza que el servicio </w:t>
            </w:r>
            <w:proofErr w:type="spellStart"/>
            <w:r w:rsidRPr="00DC5148">
              <w:rPr>
                <w:rFonts w:ascii="Times New Roman" w:eastAsia="Cooper Hewitt" w:hAnsi="Times New Roman" w:cs="Times New Roman"/>
                <w:color w:val="000000"/>
              </w:rPr>
              <w:t>backend</w:t>
            </w:r>
            <w:proofErr w:type="spellEnd"/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genere correctamente el PDF internamente o que se almacenen bien los datos.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blanca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516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Permite revisar la lógica de generación y almacenamiento del </w:t>
            </w:r>
            <w:r w:rsidR="00F16C62" w:rsidRPr="00DC5148">
              <w:rPr>
                <w:rFonts w:ascii="Times New Roman" w:eastAsia="Cooper Hewitt" w:hAnsi="Times New Roman" w:cs="Times New Roman"/>
                <w:color w:val="000000"/>
              </w:rPr>
              <w:t>documento de registro</w:t>
            </w: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, validación de datos en el </w:t>
            </w:r>
            <w:proofErr w:type="spellStart"/>
            <w:r w:rsidRPr="00DC5148">
              <w:rPr>
                <w:rFonts w:ascii="Times New Roman" w:eastAsia="Cooper Hewitt" w:hAnsi="Times New Roman" w:cs="Times New Roman"/>
                <w:color w:val="000000"/>
              </w:rPr>
              <w:t>backend</w:t>
            </w:r>
            <w:proofErr w:type="spellEnd"/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y estructura de base de datos. </w:t>
            </w:r>
          </w:p>
        </w:tc>
        <w:tc>
          <w:tcPr>
            <w:tcW w:w="376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refleja si el flujo desde el punto de vista del recepcionista es intuitivo y correcto. </w:t>
            </w:r>
          </w:p>
        </w:tc>
      </w:tr>
    </w:tbl>
    <w:p w:rsidR="009C1B4A" w:rsidRDefault="00000000">
      <w:pPr>
        <w:spacing w:before="120" w:after="120" w:line="336" w:lineRule="auto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 xml:space="preserve">Requisito: Gestión de Habitaciones </w:t>
      </w:r>
    </w:p>
    <w:tbl>
      <w:tblPr>
        <w:tblW w:w="10915" w:type="dxa"/>
        <w:tblInd w:w="-954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4819"/>
        <w:gridCol w:w="4111"/>
      </w:tblGrid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Tipo de Prueba </w:t>
            </w:r>
          </w:p>
        </w:tc>
        <w:tc>
          <w:tcPr>
            <w:tcW w:w="481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Ventajas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Desventajas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negra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81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Verifica que al cambiar el estado de la habitación (disponible/ocupado/limpieza) se refleje en el panel de recepción sin conocer cómo funciona el API interno.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asegura que todas las rutas lógicas del estado estén probadas o que permisos diferenciados estén correctamente aplicados.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blanca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819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Permite validar el flujo interno del API REST, el </w:t>
            </w:r>
            <w:proofErr w:type="spellStart"/>
            <w:r w:rsidRPr="00DC5148">
              <w:rPr>
                <w:rFonts w:ascii="Times New Roman" w:eastAsia="Cooper Hewitt" w:hAnsi="Times New Roman" w:cs="Times New Roman"/>
                <w:color w:val="000000"/>
              </w:rPr>
              <w:t>WebSocket</w:t>
            </w:r>
            <w:proofErr w:type="spellEnd"/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de actualización y los permisos diferenciados de lectura/escritura. </w:t>
            </w:r>
          </w:p>
        </w:tc>
        <w:tc>
          <w:tcPr>
            <w:tcW w:w="4111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garantiza que el sistema sea funcional o amigable para el usuario final. </w:t>
            </w:r>
          </w:p>
        </w:tc>
      </w:tr>
    </w:tbl>
    <w:p w:rsidR="00C96CF3" w:rsidRDefault="00C96CF3">
      <w:pPr>
        <w:spacing w:before="120" w:after="120" w:line="336" w:lineRule="auto"/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</w:pPr>
    </w:p>
    <w:p w:rsidR="00DC5148" w:rsidRDefault="00DC5148">
      <w:pPr>
        <w:spacing w:before="120" w:after="120" w:line="336" w:lineRule="auto"/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</w:pPr>
    </w:p>
    <w:p w:rsidR="00DC5148" w:rsidRDefault="00DC5148">
      <w:pPr>
        <w:spacing w:before="120" w:after="120" w:line="336" w:lineRule="auto"/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</w:pPr>
    </w:p>
    <w:p w:rsidR="009C1B4A" w:rsidRDefault="00000000">
      <w:pPr>
        <w:spacing w:before="120" w:after="120" w:line="336" w:lineRule="auto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lastRenderedPageBreak/>
        <w:t xml:space="preserve">Requisito: Alertas de Estadía </w:t>
      </w:r>
    </w:p>
    <w:tbl>
      <w:tblPr>
        <w:tblW w:w="10773" w:type="dxa"/>
        <w:tblInd w:w="-954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4536"/>
      </w:tblGrid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Tipo de Prueba </w:t>
            </w:r>
          </w:p>
        </w:tc>
        <w:tc>
          <w:tcPr>
            <w:tcW w:w="4252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Ventajas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Desventajas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negra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252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Permite verificar que el sistema envíe notificaciones cuando se excede el tiempo de estancia y muestra alertas visuales en el panel.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garantiza que el </w:t>
            </w:r>
            <w:r w:rsidR="00F16C62" w:rsidRPr="00DC5148">
              <w:rPr>
                <w:rFonts w:ascii="Times New Roman" w:eastAsia="Cooper Hewitt" w:hAnsi="Times New Roman" w:cs="Times New Roman"/>
                <w:color w:val="000000"/>
              </w:rPr>
              <w:t>trabajo</w:t>
            </w: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programado que revisa salidas funcione correctamente bajo todas las condiciones internas. </w:t>
            </w:r>
          </w:p>
        </w:tc>
      </w:tr>
      <w:tr w:rsidR="009C1B4A" w:rsidTr="00C96CF3">
        <w:tc>
          <w:tcPr>
            <w:tcW w:w="1985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Cooper Hewitt Bold" w:eastAsia="Cooper Hewitt Bold" w:hAnsi="Cooper Hewitt Bold" w:cs="Cooper Hewitt Bold"/>
                <w:b/>
                <w:bCs/>
                <w:color w:val="000000"/>
              </w:rPr>
              <w:t>Caja blanca</w:t>
            </w:r>
            <w:r>
              <w:rPr>
                <w:rFonts w:ascii="Cooper Hewitt" w:eastAsia="Cooper Hewitt" w:hAnsi="Cooper Hewitt" w:cs="Cooper Hewitt"/>
                <w:b/>
                <w:bCs/>
                <w:color w:val="000000"/>
              </w:rPr>
              <w:t xml:space="preserve"> </w:t>
            </w:r>
          </w:p>
        </w:tc>
        <w:tc>
          <w:tcPr>
            <w:tcW w:w="4252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Puede revisar el código que programa los </w:t>
            </w:r>
            <w:r w:rsidR="00F16C62" w:rsidRPr="00DC5148">
              <w:rPr>
                <w:rFonts w:ascii="Times New Roman" w:eastAsia="Cooper Hewitt" w:hAnsi="Times New Roman" w:cs="Times New Roman"/>
                <w:color w:val="000000"/>
              </w:rPr>
              <w:t>trabajos</w:t>
            </w: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 automáticos y el sistema interno de notificaciones.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Cooper Hewitt" w:hAnsi="Times New Roman" w:cs="Times New Roman"/>
                <w:color w:val="000000"/>
              </w:rPr>
              <w:t xml:space="preserve">No valida si las alertas son claras o cumplen con el propósito funcional desde la perspectiva del recepcionista. </w:t>
            </w:r>
          </w:p>
        </w:tc>
      </w:tr>
    </w:tbl>
    <w:p w:rsidR="009C1B4A" w:rsidRDefault="00000000">
      <w:pPr>
        <w:spacing w:before="120" w:after="120" w:line="336" w:lineRule="auto"/>
      </w:pPr>
      <w:r>
        <w:rPr>
          <w:rFonts w:ascii="Cooper Hewitt Bold" w:eastAsia="Cooper Hewitt Bold" w:hAnsi="Cooper Hewitt Bold" w:cs="Cooper Hewitt Bold"/>
          <w:b/>
          <w:bCs/>
          <w:color w:val="000000"/>
          <w:sz w:val="36"/>
          <w:szCs w:val="36"/>
        </w:rPr>
        <w:t xml:space="preserve">Requisito: Notificación Limpieza </w:t>
      </w:r>
    </w:p>
    <w:tbl>
      <w:tblPr>
        <w:tblW w:w="10773" w:type="dxa"/>
        <w:tblInd w:w="-954" w:type="dxa"/>
        <w:tblBorders>
          <w:top w:val="single" w:sz="12" w:space="0" w:color="DBDBDB"/>
          <w:left w:val="single" w:sz="12" w:space="0" w:color="DBDBDB"/>
          <w:bottom w:val="single" w:sz="12" w:space="0" w:color="DBDBDB"/>
          <w:right w:val="single" w:sz="12" w:space="0" w:color="DBDBDB"/>
          <w:insideH w:val="single" w:sz="12" w:space="0" w:color="DBDBDB"/>
          <w:insideV w:val="single" w:sz="12" w:space="0" w:color="DBDBDB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7"/>
        <w:gridCol w:w="4536"/>
        <w:gridCol w:w="4110"/>
      </w:tblGrid>
      <w:tr w:rsidR="009C1B4A" w:rsidTr="00C96CF3">
        <w:tc>
          <w:tcPr>
            <w:tcW w:w="212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Cooper Black" w:hAnsi="Cooper Black"/>
              </w:rPr>
            </w:pPr>
            <w:r w:rsidRPr="00DC5148">
              <w:rPr>
                <w:rFonts w:ascii="Cooper Black" w:eastAsia="Open Sans" w:hAnsi="Cooper Black" w:cs="Open Sans"/>
                <w:color w:val="000000"/>
              </w:rPr>
              <w:t>Tipo de Prueba</w:t>
            </w:r>
            <w:r w:rsidRPr="00DC5148">
              <w:rPr>
                <w:rFonts w:ascii="Cooper Black" w:eastAsia="Arimo" w:hAnsi="Cooper Black" w:cs="Arimo"/>
                <w:color w:val="000000"/>
              </w:rPr>
              <w:t xml:space="preserve">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Cooper Black" w:hAnsi="Cooper Black"/>
              </w:rPr>
            </w:pPr>
            <w:r w:rsidRPr="00DC5148">
              <w:rPr>
                <w:rFonts w:ascii="Cooper Black" w:eastAsia="Open Sans" w:hAnsi="Cooper Black" w:cs="Open Sans"/>
                <w:color w:val="000000"/>
              </w:rPr>
              <w:t>Ventajas</w:t>
            </w:r>
            <w:r w:rsidRPr="00DC5148">
              <w:rPr>
                <w:rFonts w:ascii="Cooper Black" w:eastAsia="Arimo" w:hAnsi="Cooper Black" w:cs="Arimo"/>
                <w:color w:val="000000"/>
              </w:rPr>
              <w:t xml:space="preserve"> </w:t>
            </w:r>
          </w:p>
        </w:tc>
        <w:tc>
          <w:tcPr>
            <w:tcW w:w="4110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Cooper Black" w:hAnsi="Cooper Black"/>
              </w:rPr>
            </w:pPr>
            <w:r w:rsidRPr="00DC5148">
              <w:rPr>
                <w:rFonts w:ascii="Cooper Black" w:eastAsia="Open Sans" w:hAnsi="Cooper Black" w:cs="Open Sans"/>
                <w:color w:val="000000"/>
              </w:rPr>
              <w:t>Desventajas</w:t>
            </w:r>
            <w:r w:rsidRPr="00DC5148">
              <w:rPr>
                <w:rFonts w:ascii="Cooper Black" w:eastAsia="Arimo" w:hAnsi="Cooper Black" w:cs="Arimo"/>
                <w:color w:val="000000"/>
              </w:rPr>
              <w:t xml:space="preserve"> </w:t>
            </w:r>
          </w:p>
        </w:tc>
      </w:tr>
      <w:tr w:rsidR="009C1B4A" w:rsidTr="00C96CF3">
        <w:tc>
          <w:tcPr>
            <w:tcW w:w="212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</w:rPr>
              <w:t>Caja negra</w:t>
            </w:r>
            <w:r>
              <w:rPr>
                <w:rFonts w:ascii="Arimo" w:eastAsia="Arimo" w:hAnsi="Arimo" w:cs="Arimo"/>
                <w:color w:val="000000"/>
              </w:rPr>
              <w:t xml:space="preserve">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Valida que al hacer </w:t>
            </w:r>
            <w:proofErr w:type="spellStart"/>
            <w:r w:rsidRPr="00DC5148">
              <w:rPr>
                <w:rFonts w:ascii="Times New Roman" w:eastAsia="Open Sans" w:hAnsi="Times New Roman" w:cs="Times New Roman"/>
                <w:color w:val="000000"/>
              </w:rPr>
              <w:t>check-out</w:t>
            </w:r>
            <w:proofErr w:type="spellEnd"/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 se genere y envíe una alerta automática al personal de limpieza, asegurando el flujo desde la interfaz.</w:t>
            </w:r>
            <w:r w:rsidRPr="00DC5148">
              <w:rPr>
                <w:rFonts w:ascii="Times New Roman" w:eastAsia="Arimo" w:hAnsi="Times New Roman" w:cs="Times New Roman"/>
                <w:color w:val="000000"/>
              </w:rPr>
              <w:t xml:space="preserve"> </w:t>
            </w:r>
          </w:p>
        </w:tc>
        <w:tc>
          <w:tcPr>
            <w:tcW w:w="4110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No verifica si los </w:t>
            </w:r>
            <w:r w:rsidR="00C96CF3" w:rsidRPr="00DC5148">
              <w:rPr>
                <w:rFonts w:ascii="Times New Roman" w:eastAsia="Open Sans" w:hAnsi="Times New Roman" w:cs="Times New Roman"/>
                <w:color w:val="000000"/>
              </w:rPr>
              <w:t>errores</w:t>
            </w: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 y la tabla de asignación de personal funcionan correctamente en el </w:t>
            </w:r>
            <w:proofErr w:type="spellStart"/>
            <w:r w:rsidRPr="00DC5148">
              <w:rPr>
                <w:rFonts w:ascii="Times New Roman" w:eastAsia="Open Sans" w:hAnsi="Times New Roman" w:cs="Times New Roman"/>
                <w:color w:val="000000"/>
              </w:rPr>
              <w:t>backend</w:t>
            </w:r>
            <w:proofErr w:type="spellEnd"/>
            <w:r w:rsidRPr="00DC5148">
              <w:rPr>
                <w:rFonts w:ascii="Times New Roman" w:eastAsia="Open Sans" w:hAnsi="Times New Roman" w:cs="Times New Roman"/>
                <w:color w:val="000000"/>
              </w:rPr>
              <w:t>.</w:t>
            </w:r>
            <w:r w:rsidRPr="00DC5148">
              <w:rPr>
                <w:rFonts w:ascii="Times New Roman" w:eastAsia="Arimo" w:hAnsi="Times New Roman" w:cs="Times New Roman"/>
                <w:color w:val="000000"/>
              </w:rPr>
              <w:t xml:space="preserve"> </w:t>
            </w:r>
          </w:p>
        </w:tc>
      </w:tr>
      <w:tr w:rsidR="009C1B4A" w:rsidTr="00C96CF3">
        <w:tc>
          <w:tcPr>
            <w:tcW w:w="2127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Default="00000000">
            <w:pPr>
              <w:spacing w:before="120" w:after="120" w:line="336" w:lineRule="auto"/>
            </w:pPr>
            <w:r>
              <w:rPr>
                <w:rFonts w:ascii="Open Sans Bold" w:eastAsia="Open Sans Bold" w:hAnsi="Open Sans Bold" w:cs="Open Sans Bold"/>
                <w:b/>
                <w:bCs/>
                <w:color w:val="000000"/>
              </w:rPr>
              <w:t>Caja blanca</w:t>
            </w:r>
            <w:r>
              <w:rPr>
                <w:rFonts w:ascii="Arimo" w:eastAsia="Arimo" w:hAnsi="Arimo" w:cs="Arimo"/>
                <w:color w:val="000000"/>
              </w:rPr>
              <w:t xml:space="preserve"> </w:t>
            </w:r>
          </w:p>
        </w:tc>
        <w:tc>
          <w:tcPr>
            <w:tcW w:w="4536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Permite revisar el </w:t>
            </w:r>
            <w:r w:rsidR="00B72839" w:rsidRPr="00DC5148">
              <w:rPr>
                <w:rFonts w:ascii="Times New Roman" w:eastAsia="Open Sans" w:hAnsi="Times New Roman" w:cs="Times New Roman"/>
                <w:color w:val="000000"/>
              </w:rPr>
              <w:t>momento</w:t>
            </w: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 del </w:t>
            </w:r>
            <w:proofErr w:type="spellStart"/>
            <w:r w:rsidRPr="00DC5148">
              <w:rPr>
                <w:rFonts w:ascii="Times New Roman" w:eastAsia="Open Sans" w:hAnsi="Times New Roman" w:cs="Times New Roman"/>
                <w:color w:val="000000"/>
              </w:rPr>
              <w:t>check-out</w:t>
            </w:r>
            <w:proofErr w:type="spellEnd"/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, integración con el sistema de notificaciones </w:t>
            </w:r>
            <w:proofErr w:type="spellStart"/>
            <w:r w:rsidRPr="00DC5148">
              <w:rPr>
                <w:rFonts w:ascii="Times New Roman" w:eastAsia="Open Sans" w:hAnsi="Times New Roman" w:cs="Times New Roman"/>
                <w:color w:val="000000"/>
              </w:rPr>
              <w:t>push</w:t>
            </w:r>
            <w:proofErr w:type="spellEnd"/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 y asignación de personal por turnos.</w:t>
            </w:r>
            <w:r w:rsidRPr="00DC5148">
              <w:rPr>
                <w:rFonts w:ascii="Times New Roman" w:eastAsia="Arimo" w:hAnsi="Times New Roman" w:cs="Times New Roman"/>
                <w:color w:val="000000"/>
              </w:rPr>
              <w:t xml:space="preserve"> </w:t>
            </w:r>
          </w:p>
        </w:tc>
        <w:tc>
          <w:tcPr>
            <w:tcW w:w="4110" w:type="dxa"/>
            <w:tcMar>
              <w:top w:w="180" w:type="dxa"/>
              <w:left w:w="180" w:type="dxa"/>
              <w:bottom w:w="180" w:type="dxa"/>
              <w:right w:w="180" w:type="dxa"/>
            </w:tcMar>
          </w:tcPr>
          <w:p w:rsidR="009C1B4A" w:rsidRPr="00DC5148" w:rsidRDefault="00000000">
            <w:pPr>
              <w:spacing w:before="120" w:after="120" w:line="336" w:lineRule="auto"/>
              <w:rPr>
                <w:rFonts w:ascii="Times New Roman" w:hAnsi="Times New Roman" w:cs="Times New Roman"/>
              </w:rPr>
            </w:pPr>
            <w:r w:rsidRPr="00DC5148">
              <w:rPr>
                <w:rFonts w:ascii="Times New Roman" w:eastAsia="Open Sans" w:hAnsi="Times New Roman" w:cs="Times New Roman"/>
                <w:color w:val="000000"/>
              </w:rPr>
              <w:t xml:space="preserve">No asegura que el sistema sea fácil de usar o cumpla con la expectativa del personal desde el </w:t>
            </w:r>
            <w:proofErr w:type="spellStart"/>
            <w:r w:rsidRPr="00DC5148">
              <w:rPr>
                <w:rFonts w:ascii="Times New Roman" w:eastAsia="Open Sans" w:hAnsi="Times New Roman" w:cs="Times New Roman"/>
                <w:color w:val="000000"/>
              </w:rPr>
              <w:t>front-end</w:t>
            </w:r>
            <w:proofErr w:type="spellEnd"/>
            <w:r w:rsidRPr="00DC5148">
              <w:rPr>
                <w:rFonts w:ascii="Times New Roman" w:eastAsia="Open Sans" w:hAnsi="Times New Roman" w:cs="Times New Roman"/>
                <w:color w:val="000000"/>
              </w:rPr>
              <w:t>.</w:t>
            </w:r>
            <w:r w:rsidRPr="00DC5148">
              <w:rPr>
                <w:rFonts w:ascii="Times New Roman" w:eastAsia="Arimo" w:hAnsi="Times New Roman" w:cs="Times New Roman"/>
                <w:color w:val="000000"/>
              </w:rPr>
              <w:t xml:space="preserve"> </w:t>
            </w:r>
          </w:p>
        </w:tc>
      </w:tr>
    </w:tbl>
    <w:p w:rsidR="009C1B4A" w:rsidRDefault="009C1B4A">
      <w:pPr>
        <w:spacing w:before="120" w:after="120" w:line="336" w:lineRule="auto"/>
        <w:rPr>
          <w:rFonts w:ascii="Open Sans" w:eastAsia="Open Sans" w:hAnsi="Open Sans" w:cs="Open Sans"/>
          <w:color w:val="000000"/>
        </w:rPr>
      </w:pPr>
    </w:p>
    <w:p w:rsidR="00DC5148" w:rsidRPr="00DC5148" w:rsidRDefault="00DC5148">
      <w:pPr>
        <w:spacing w:before="120" w:after="120" w:line="336" w:lineRule="auto"/>
        <w:rPr>
          <w:rFonts w:ascii="Times New Roman" w:eastAsia="Open Sans" w:hAnsi="Times New Roman" w:cs="Times New Roman"/>
          <w:b/>
          <w:bCs/>
          <w:color w:val="000000"/>
          <w:sz w:val="22"/>
          <w:szCs w:val="22"/>
        </w:rPr>
      </w:pPr>
      <w:r w:rsidRPr="00DC5148">
        <w:rPr>
          <w:rFonts w:ascii="Times New Roman" w:eastAsia="Open Sans" w:hAnsi="Times New Roman" w:cs="Times New Roman"/>
          <w:b/>
          <w:bCs/>
          <w:color w:val="000000"/>
          <w:sz w:val="22"/>
          <w:szCs w:val="22"/>
        </w:rPr>
        <w:t>Referencias</w:t>
      </w:r>
    </w:p>
    <w:p w:rsidR="00DC5148" w:rsidRPr="00DC5148" w:rsidRDefault="00DC5148">
      <w:pPr>
        <w:spacing w:before="120" w:after="120" w:line="336" w:lineRule="auto"/>
        <w:rPr>
          <w:rFonts w:ascii="Times New Roman" w:hAnsi="Times New Roman" w:cs="Times New Roman"/>
          <w:sz w:val="22"/>
          <w:szCs w:val="22"/>
        </w:rPr>
      </w:pPr>
      <w:r w:rsidRPr="00DC5148">
        <w:rPr>
          <w:rFonts w:ascii="Times New Roman" w:hAnsi="Times New Roman" w:cs="Times New Roman"/>
          <w:sz w:val="22"/>
          <w:szCs w:val="22"/>
        </w:rPr>
        <w:lastRenderedPageBreak/>
        <w:t>Ruiz, J. y Lucio, X. (2025) Fundamentos de ingeniería de software. Universidad de las Fuerzas Armadas ESPE</w:t>
      </w:r>
    </w:p>
    <w:sectPr w:rsidR="00DC5148" w:rsidRPr="00DC5148">
      <w:pgSz w:w="11910" w:h="16845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F71CF6F-89A7-4801-8314-6F4B5D0AE869}"/>
    <w:embedBold r:id="rId2" w:fontKey="{ABB962FD-46A0-48CE-9E6C-E8FF398D986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Hewitt Bold">
    <w:altName w:val="Cooper Black"/>
    <w:charset w:val="00"/>
    <w:family w:val="auto"/>
    <w:pitch w:val="default"/>
  </w:font>
  <w:font w:name="Cooper Hewitt">
    <w:altName w:val="Cooper Black"/>
    <w:charset w:val="00"/>
    <w:family w:val="auto"/>
    <w:pitch w:val="default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  <w:embedRegular r:id="rId3" w:fontKey="{6C85DA1E-BAD7-4710-9E01-6B58FD418E44}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  <w:embedRegular r:id="rId4" w:fontKey="{D33882D3-FFC5-44A8-B8A9-873CDC850C98}"/>
    <w:embedBold r:id="rId5" w:fontKey="{A4B58A56-D836-4871-99E0-B8E1B55BB7A0}"/>
  </w:font>
  <w:font w:name="Arimo">
    <w:charset w:val="00"/>
    <w:family w:val="auto"/>
    <w:pitch w:val="default"/>
    <w:embedRegular r:id="rId6" w:fontKey="{91CA737F-C8DC-4FB2-9B1F-E1F6CFB2F1A7}"/>
  </w:font>
  <w:font w:name="Open Sans Bold">
    <w:panose1 w:val="00000000000000000000"/>
    <w:charset w:val="00"/>
    <w:family w:val="auto"/>
    <w:pitch w:val="default"/>
    <w:embedBold r:id="rId7" w:fontKey="{45D9E26D-DDD4-48E2-9CA2-593FF6BD26C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1119D537-1607-4EFD-B70C-F6B2ED3F07A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hyphenationZone w:val="425"/>
  <w:doNotShadeFormData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B4A"/>
    <w:rsid w:val="0051245A"/>
    <w:rsid w:val="009038E7"/>
    <w:rsid w:val="009C1B4A"/>
    <w:rsid w:val="00B72839"/>
    <w:rsid w:val="00BF230C"/>
    <w:rsid w:val="00C96CF3"/>
    <w:rsid w:val="00DC5148"/>
    <w:rsid w:val="00E56968"/>
    <w:rsid w:val="00F1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79275"/>
  <w15:docId w15:val="{4AC8A31D-0196-4AC7-9479-D7FFD63A9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513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Juan Pablo Cano</cp:lastModifiedBy>
  <cp:revision>5</cp:revision>
  <dcterms:created xsi:type="dcterms:W3CDTF">2025-07-07T17:13:00Z</dcterms:created>
  <dcterms:modified xsi:type="dcterms:W3CDTF">2025-07-07T17:25:00Z</dcterms:modified>
</cp:coreProperties>
</file>