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Investigating sticks as natural structural materials</w:t>
      </w:r>
    </w:p>
    <w:p>
      <w:pPr>
        <w:pStyle w:val="Subtitle"/>
      </w:pPr>
      <w:r>
        <w:t>First year undergraduate teaching and learning pack</w:t>
      </w:r>
    </w:p>
    <w:p>
      <w:r>
        <w:t>An introductory laboratory unit in natural materials, experimental design and evidence-based modelling. Four two-hour sessions combine specimen characterisation, non-destructive bending, quantitative analysis and critical evaluation of AI-generated claims. Allow approximately six additional hours for reading, analysis and the individual report.</w:t>
      </w:r>
    </w:p>
    <w:p>
      <w:pPr>
        <w:pStyle w:val="Heading1"/>
      </w:pPr>
      <w:r>
        <w:t>Contents</w:t>
      </w:r>
    </w:p>
    <w:p>
      <w:r>
        <w:t>1 Planning and preparation</w:t>
      </w:r>
    </w:p>
    <w:p>
      <w:r>
        <w:t>2 Unit outline and assessment strategy</w:t>
      </w:r>
    </w:p>
    <w:p>
      <w:r>
        <w:t>3 Detailed teaching plans</w:t>
      </w:r>
    </w:p>
    <w:p>
      <w:r>
        <w:t>4 Student handouts worksheets and visual aids</w:t>
      </w:r>
    </w:p>
    <w:p>
      <w:r>
        <w:t>5 Assessment brief rubric and teacher guidance</w:t>
      </w:r>
    </w:p>
    <w:p>
      <w:r>
        <w:t>6 Teaching evaluation and future application</w:t>
      </w:r>
    </w:p>
    <w:p>
      <w:pPr>
        <w:pStyle w:val="Heading1"/>
      </w:pPr>
      <w:r>
        <w:t>Using this pack</w:t>
      </w:r>
    </w:p>
    <w:p>
      <w:r>
        <w:t>Designed for a first-year engineering, materials science or interdisciplinary science module. Students should have basic algebra, SI units and graphing skills. Beam theory is introduced within the unit; prior specialist mechanics is not assumed. Local programme outcomes and assessment regulations take precedence over the suggested mapping and weights.</w:t>
      </w:r>
    </w:p>
    <w:p>
      <w:pPr>
        <w:pStyle w:val="Heading1"/>
      </w:pPr>
      <w:r>
        <w:t>AI integration key</w:t>
      </w:r>
    </w:p>
    <w:p>
      <w:pPr>
        <w:pStyle w:val="ListBullet"/>
      </w:pPr>
      <w:r>
        <w:t>[AI PREPARATION] Tutor drafts or adapts resources using AI and verifies them.</w:t>
      </w:r>
    </w:p>
    <w:p>
      <w:pPr>
        <w:pStyle w:val="ListBullet"/>
      </w:pPr>
      <w:r>
        <w:t>[AI CLASSROOM] Students critique labelled AI-generated examples.</w:t>
      </w:r>
    </w:p>
    <w:p>
      <w:pPr>
        <w:pStyle w:val="ListBullet"/>
      </w:pPr>
      <w:r>
        <w:t>[AI OPTIONAL] Institution-approved student use with disclosure and independent verification; an equivalent non-AI route is available.</w:t>
      </w:r>
    </w:p>
    <w:p>
      <w:pPr>
        <w:pStyle w:val="ListBullet"/>
      </w:pPr>
      <w:r>
        <w:t>[AI REVIEW] Tutor uses anonymised patterns of difficulty to draft follow-up work.</w:t>
      </w:r>
    </w:p>
    <w:p>
      <w:r>
        <w:t>No AI subscription or student account is required. Raw measurements must be collected honestly, and simulated data must remain clearly labelled. Classroom outcomes have not yet been measured.</w:t>
      </w:r>
    </w:p>
    <w:p>
      <w:r>
        <w:br w:type="page"/>
      </w:r>
    </w:p>
    <w:p>
      <w:pPr>
        <w:pStyle w:val="Heading1"/>
      </w:pPr>
      <w:r>
        <w:t>1 Planning and preparation</w:t>
      </w:r>
    </w:p>
    <w:p>
      <w:pPr>
        <w:pStyle w:val="Heading2"/>
      </w:pPr>
      <w:r>
        <w:t>Topic rationale and audience</w:t>
      </w:r>
    </w:p>
    <w:p>
      <w:r>
        <w:t>Fallen sticks provide a low-cost context in which an apparently simple mechanical question becomes an authentic problem of geometry, biological variability and model validity. Students distinguish specimen stiffness from material modulus and failure strength, then examine whether an ideal beam model can usefully describe irregular natural samples.</w:t>
      </w:r>
    </w:p>
    <w:p>
      <w:r>
        <w:t>The cohort may include different mathematical preparation, laboratory experience, language backgrounds and access needs. A short diagnostic task establishes support needs. Provide an algebra refresher, accessible digital worksheets, flexible laboratory roles and alternatives to manual handling. Maintain common intellectual expectations while varying scaffolding.</w:t>
      </w:r>
    </w:p>
    <w:p>
      <w:pPr>
        <w:pStyle w:val="Heading2"/>
      </w:pPr>
      <w:r>
        <w:t>Learning outcomes and programme mapping</w:t>
      </w:r>
    </w:p>
    <w:tbl>
      <w:tblPr>
        <w:tblW w:type="auto" w:w="0"/>
        <w:tblLayout w:type="fixed"/>
        <w:tblLook w:firstColumn="1" w:firstRow="1" w:lastColumn="0" w:lastRow="0" w:noHBand="0" w:noVBand="1" w:val="04A0"/>
      </w:tblPr>
      <w:tblGrid>
        <w:gridCol w:w="4752"/>
        <w:gridCol w:w="2736"/>
        <w:gridCol w:w="2592"/>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By the end students will be able to</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Suggested first year outcome area</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Evidence</w:t>
            </w:r>
          </w:p>
        </w:tc>
      </w:tr>
      <w:tr>
        <w:trPr>
          <w:cantSplit/>
        </w:trPr>
        <w:tc>
          <w:tcPr>
            <w:tcW w:type="dxa" w:w="4752"/>
            <w:tcBorders>
              <w:top w:val="single" w:sz="4" w:color="D9D9D9"/>
              <w:left w:val="single" w:sz="4" w:color="D9D9D9"/>
              <w:bottom w:val="single" w:sz="4" w:color="D9D9D9"/>
              <w:right w:val="single" w:sz="4" w:color="D9D9D9"/>
            </w:tcBorders>
          </w:tcPr>
          <w:p>
            <w:pPr>
              <w:spacing w:before="100" w:after="100"/>
            </w:pPr>
            <w:r>
              <w:rPr>
                <w:b w:val="0"/>
                <w:sz w:val="20"/>
              </w:rPr>
              <w:t>Characterise geometry and condition with traceable measurements and stated resolution.</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Laboratory measurement and quantitative literacy</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t>Specimen log and raw data</w:t>
            </w:r>
          </w:p>
        </w:tc>
      </w:tr>
      <w:tr>
        <w:trPr>
          <w:cantSplit/>
        </w:trPr>
        <w:tc>
          <w:tcPr>
            <w:tcW w:type="dxa" w:w="4752"/>
            <w:tcBorders>
              <w:top w:val="single" w:sz="4" w:color="D9D9D9"/>
              <w:left w:val="single" w:sz="4" w:color="D9D9D9"/>
              <w:bottom w:val="single" w:sz="4" w:color="D9D9D9"/>
              <w:right w:val="single" w:sz="4" w:color="D9D9D9"/>
            </w:tcBorders>
          </w:tcPr>
          <w:p>
            <w:pPr>
              <w:spacing w:before="100" w:after="100"/>
            </w:pPr>
            <w:r>
              <w:rPr>
                <w:b w:val="0"/>
                <w:sz w:val="20"/>
              </w:rPr>
              <w:t>Design a controlled investigation distinguishing technical repeats from independent specimens.</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Experimental design and scientific reasoning</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t>Approved protocol</w:t>
            </w:r>
          </w:p>
        </w:tc>
      </w:tr>
      <w:tr>
        <w:trPr>
          <w:cantSplit/>
        </w:trPr>
        <w:tc>
          <w:tcPr>
            <w:tcW w:type="dxa" w:w="4752"/>
            <w:tcBorders>
              <w:top w:val="single" w:sz="4" w:color="D9D9D9"/>
              <w:left w:val="single" w:sz="4" w:color="D9D9D9"/>
              <w:bottom w:val="single" w:sz="4" w:color="D9D9D9"/>
              <w:right w:val="single" w:sz="4" w:color="D9D9D9"/>
            </w:tcBorders>
          </w:tcPr>
          <w:p>
            <w:pPr>
              <w:spacing w:before="100" w:after="100"/>
            </w:pPr>
            <w:r>
              <w:rPr>
                <w:b w:val="0"/>
                <w:sz w:val="20"/>
              </w:rPr>
              <w:t>Estimate specimen bending stiffness from force–deflection data and evaluate linearity.</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Introductory mechanics and data analysis</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t>Graphs, fit and residuals</w:t>
            </w:r>
          </w:p>
        </w:tc>
      </w:tr>
      <w:tr>
        <w:trPr>
          <w:cantSplit/>
        </w:trPr>
        <w:tc>
          <w:tcPr>
            <w:tcW w:type="dxa" w:w="4752"/>
            <w:tcBorders>
              <w:top w:val="single" w:sz="4" w:color="D9D9D9"/>
              <w:left w:val="single" w:sz="4" w:color="D9D9D9"/>
              <w:bottom w:val="single" w:sz="4" w:color="D9D9D9"/>
              <w:right w:val="single" w:sz="4" w:color="D9D9D9"/>
            </w:tcBorders>
          </w:tcPr>
          <w:p>
            <w:pPr>
              <w:spacing w:before="100" w:after="100"/>
            </w:pPr>
            <w:r>
              <w:rPr>
                <w:b w:val="0"/>
                <w:sz w:val="20"/>
              </w:rPr>
              <w:t>Estimate apparent modulus only when geometry and model assumptions are defensible.</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Mathematical modelling and limitations</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t>Worked calculations and qualification</w:t>
            </w:r>
          </w:p>
        </w:tc>
      </w:tr>
      <w:tr>
        <w:trPr>
          <w:cantSplit/>
        </w:trPr>
        <w:tc>
          <w:tcPr>
            <w:tcW w:type="dxa" w:w="4752"/>
            <w:tcBorders>
              <w:top w:val="single" w:sz="4" w:color="D9D9D9"/>
              <w:left w:val="single" w:sz="4" w:color="D9D9D9"/>
              <w:bottom w:val="single" w:sz="4" w:color="D9D9D9"/>
              <w:right w:val="single" w:sz="4" w:color="D9D9D9"/>
            </w:tcBorders>
          </w:tcPr>
          <w:p>
            <w:pPr>
              <w:spacing w:before="100" w:after="100"/>
            </w:pPr>
            <w:r>
              <w:rPr>
                <w:b w:val="0"/>
                <w:sz w:val="20"/>
              </w:rPr>
              <w:t>Evaluate uncertainty, confounding and the scope of evidence.</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Critical analysis</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t>Individual report</w:t>
            </w:r>
          </w:p>
        </w:tc>
      </w:tr>
      <w:tr>
        <w:trPr>
          <w:cantSplit/>
        </w:trPr>
        <w:tc>
          <w:tcPr>
            <w:tcW w:type="dxa" w:w="4752"/>
            <w:tcBorders>
              <w:top w:val="single" w:sz="4" w:color="D9D9D9"/>
              <w:left w:val="single" w:sz="4" w:color="D9D9D9"/>
              <w:bottom w:val="single" w:sz="4" w:color="D9D9D9"/>
              <w:right w:val="single" w:sz="4" w:color="D9D9D9"/>
            </w:tcBorders>
          </w:tcPr>
          <w:p>
            <w:pPr>
              <w:spacing w:before="100" w:after="100"/>
            </w:pPr>
            <w:r>
              <w:rPr>
                <w:b w:val="0"/>
                <w:sz w:val="20"/>
              </w:rPr>
              <w:t>Audit an AI-generated scientific claim and disclose any AI assistance.</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Digital and research literacy</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t>Verification appendix</w:t>
            </w:r>
          </w:p>
        </w:tc>
      </w:tr>
    </w:tbl>
    <w:p>
      <w:r>
        <w:t>This is a proposed alignment to generic first-year outcomes, not accreditation or a claim of compliance with a named university standard. Replace the mapping with the module’s approved outcomes before formal adoption.</w:t>
      </w:r>
    </w:p>
    <w:p>
      <w:pPr>
        <w:pStyle w:val="Heading2"/>
      </w:pPr>
      <w:r>
        <w:t>Tools and rationale</w:t>
      </w:r>
    </w:p>
    <w:p>
      <w:r>
        <w:t>Use ChatGPT or another institution-approved text model for draft explanations, contrasting methods and critique prompts. No model comparison has been conducted. Use a spreadsheet or a transparent Python notebook for calculations, regression and plotting, retaining formulas or code for inspection. Calculations must be checked against worked examples. AI-generated prose is not a scientific reference.</w:t>
      </w:r>
    </w:p>
    <w:p>
      <w:r>
        <w:br w:type="page"/>
      </w:r>
    </w:p>
    <w:p>
      <w:pPr>
        <w:pStyle w:val="Heading1"/>
      </w:pPr>
      <w:r>
        <w:t>Laboratory preparation and scientific model</w:t>
      </w:r>
    </w:p>
    <w:p>
      <w:r>
        <w:t>The tutor pilots the apparatus, determines safe load increments and a measurable displacement range, and approves the protocol. Use stable rounded supports, a centred loading attachment, a displacement gauge or suitable measuring system, callipers, a balance and inspected specimens. Record loading hardware mass. Do not prescribe universal loads for variable natural samples.</w:t>
      </w:r>
    </w:p>
    <w:p>
      <w:pPr>
        <w:pStyle w:val="ListBullet"/>
      </w:pPr>
      <w:r>
        <w:t>Use non-destructive loading only; stop for cracking, slipping, residual deformation or departure from the approved range.</w:t>
      </w:r>
    </w:p>
    <w:p>
      <w:pPr>
        <w:pStyle w:val="ListBullet"/>
      </w:pPr>
      <w:r>
        <w:t>Keep loads close to the bench, retain falling loads where appropriate and keep hands and faces clear. Follow local laboratory risk assessment and eye-protection requirements.</w:t>
      </w:r>
    </w:p>
    <w:p>
      <w:pPr>
        <w:pStyle w:val="ListBullet"/>
      </w:pPr>
      <w:r>
        <w:t>Select reasonably straight specimens and document species if verified, visible defects, bark, curvature and conditioning. Unknown species or moisture must be recorded as unknown.</w:t>
      </w:r>
    </w:p>
    <w:p>
      <w:pPr>
        <w:pStyle w:val="ListBullet"/>
      </w:pPr>
      <w:r>
        <w:t>Where feasible use at least three independent specimens per comparison group. If availability prevents this, limit claims to tested specimens rather than making population inferences.</w:t>
      </w:r>
    </w:p>
    <w:p>
      <w:pPr>
        <w:pStyle w:val="ListBullet"/>
      </w:pPr>
      <w:r>
        <w:t>Agree a fixed span, orientation and reading time. Record several cross-sections and orthogonal diameters; do not hide taper or ovality inside one unqualified diameter.</w:t>
      </w:r>
    </w:p>
    <w:p>
      <w:pPr>
        <w:pStyle w:val="Heading2"/>
      </w:pPr>
      <w:r>
        <w:t>Model handout</w:t>
      </w:r>
    </w:p>
    <w:p>
      <w:r>
        <w:t>For a simply supported, slender, prismatic beam with a central point force, small deflection and linear elastic behaviour:</w:t>
      </w:r>
    </w:p>
    <w:p>
      <w:r>
        <w:t>δ = F L³ / (48 E I)     k = dF/dδ     E_app = k L³ / (48 I)</w:t>
      </w:r>
    </w:p>
    <w:p>
      <w:r>
        <w:t>For a solid circular section: I = π d⁴ / 64. Here δ is midpoint displacement (m), F is applied force (N), L is support span (m), E is modulus (Pa), I is second moment of area (m⁴), and k is specimen stiffness (N/m). Use F = mg, with g = 9.81 m/s² and total added mass in kg.</w:t>
      </w:r>
    </w:p>
    <w:p>
      <w:r>
        <w:t>These equations are an idealisation. Natural sticks may be tapered, curved, anisotropic, heterogeneous or damaged. Support indentation, slip, shear effects, loading history and creep can affect readings. E_app is an apparent estimate under the adopted model, not automatically a species-level material constant. If geometry is not adequately represented, report k and model limitations instead of forcing a modulus estimate.</w:t>
      </w:r>
    </w:p>
    <w:p>
      <w:r>
        <w:t>Source: University of Cambridge, The Three Point Bend Test, theory note. https://mi.eng.cam.ac.uk/IALego/bender_files/bend_theory.pdf</w:t>
      </w:r>
    </w:p>
    <w:p>
      <w:r>
        <w:br w:type="page"/>
      </w:r>
    </w:p>
    <w:p>
      <w:pPr>
        <w:pStyle w:val="Heading1"/>
      </w:pPr>
      <w:r>
        <w:t>2 Unit outline and assessment strategy</w:t>
      </w:r>
    </w:p>
    <w:p>
      <w:pPr>
        <w:pStyle w:val="Heading2"/>
      </w:pPr>
      <w:r>
        <w:t>Topic introduction</w:t>
      </w:r>
    </w:p>
    <w:p>
      <w:r>
        <w:t>Two similar-looking sticks can behave differently under load. Is the difference caused by geometry, material structure, moisture or the measurement method? This unit uses that question to explore the relationship between experimental evidence and an ideal mechanical model. A useful investigation may reveal where the model fails as well as where it works.</w:t>
      </w:r>
    </w:p>
    <w:tbl>
      <w:tblPr>
        <w:tblW w:type="auto" w:w="0"/>
        <w:tblLayout w:type="fixed"/>
        <w:tblLook w:firstColumn="1" w:firstRow="1" w:lastColumn="0" w:lastRow="0" w:noHBand="0" w:noVBand="1" w:val="04A0"/>
      </w:tblPr>
      <w:tblGrid>
        <w:gridCol w:w="2160"/>
        <w:gridCol w:w="4320"/>
        <w:gridCol w:w="3600"/>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Session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Progression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Preparation and evidence</w:t>
            </w:r>
          </w:p>
        </w:tc>
      </w:tr>
      <w:tr>
        <w:trPr>
          <w:cantSplit/>
        </w:trPr>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1 Characterisation and theory</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Move from description to quantified geometry, uncertainty and a testable question.</w:t>
            </w:r>
          </w:p>
        </w:tc>
        <w:tc>
          <w:tcPr>
            <w:tcW w:type="dxa" w:w="3600"/>
            <w:tcBorders>
              <w:top w:val="single" w:sz="4" w:color="D9D9D9"/>
              <w:left w:val="single" w:sz="4" w:color="D9D9D9"/>
              <w:bottom w:val="single" w:sz="4" w:color="D9D9D9"/>
              <w:right w:val="single" w:sz="4" w:color="D9D9D9"/>
            </w:tcBorders>
          </w:tcPr>
          <w:p>
            <w:pPr>
              <w:spacing w:before="100" w:after="100"/>
            </w:pPr>
            <w:r>
              <w:rPr>
                <w:b w:val="0"/>
                <w:sz w:val="20"/>
              </w:rPr>
              <w:t>Read model handout; produce specimen log and draft hypothesis.</w:t>
            </w:r>
          </w:p>
        </w:tc>
      </w:tr>
      <w:tr>
        <w:trPr>
          <w:cantSplit/>
        </w:trPr>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2 Protocol and pilot</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Translate the question into a repeatable, approved method.</w:t>
            </w:r>
          </w:p>
        </w:tc>
        <w:tc>
          <w:tcPr>
            <w:tcW w:type="dxa" w:w="3600"/>
            <w:tcBorders>
              <w:top w:val="single" w:sz="4" w:color="D9D9D9"/>
              <w:left w:val="single" w:sz="4" w:color="D9D9D9"/>
              <w:bottom w:val="single" w:sz="4" w:color="D9D9D9"/>
              <w:right w:val="single" w:sz="4" w:color="D9D9D9"/>
            </w:tcBorders>
          </w:tcPr>
          <w:p>
            <w:pPr>
              <w:spacing w:before="100" w:after="100"/>
            </w:pPr>
            <w:r>
              <w:rPr>
                <w:b w:val="0"/>
                <w:sz w:val="20"/>
              </w:rPr>
              <w:t>Protocol, sampling rationale and pilot record.</w:t>
            </w:r>
          </w:p>
        </w:tc>
      </w:tr>
      <w:tr>
        <w:trPr>
          <w:cantSplit/>
        </w:trPr>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3 Measurement and analysis</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Collect force–deflection series; estimate stiffness and assess fit.</w:t>
            </w:r>
          </w:p>
        </w:tc>
        <w:tc>
          <w:tcPr>
            <w:tcW w:type="dxa" w:w="3600"/>
            <w:tcBorders>
              <w:top w:val="single" w:sz="4" w:color="D9D9D9"/>
              <w:left w:val="single" w:sz="4" w:color="D9D9D9"/>
              <w:bottom w:val="single" w:sz="4" w:color="D9D9D9"/>
              <w:right w:val="single" w:sz="4" w:color="D9D9D9"/>
            </w:tcBorders>
          </w:tcPr>
          <w:p>
            <w:pPr>
              <w:spacing w:before="100" w:after="100"/>
            </w:pPr>
            <w:r>
              <w:rPr>
                <w:b w:val="0"/>
                <w:sz w:val="20"/>
              </w:rPr>
              <w:t>Raw dataset, graphs, residuals and qualified estimates.</w:t>
            </w:r>
          </w:p>
        </w:tc>
      </w:tr>
      <w:tr>
        <w:trPr>
          <w:cantSplit/>
        </w:trPr>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4 Critique and application</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Defend conclusions, audit AI claims and make a bounded design recommendation.</w:t>
            </w:r>
          </w:p>
        </w:tc>
        <w:tc>
          <w:tcPr>
            <w:tcW w:type="dxa" w:w="3600"/>
            <w:tcBorders>
              <w:top w:val="single" w:sz="4" w:color="D9D9D9"/>
              <w:left w:val="single" w:sz="4" w:color="D9D9D9"/>
              <w:bottom w:val="single" w:sz="4" w:color="D9D9D9"/>
              <w:right w:val="single" w:sz="4" w:color="D9D9D9"/>
            </w:tcBorders>
          </w:tcPr>
          <w:p>
            <w:pPr>
              <w:spacing w:before="100" w:after="100"/>
            </w:pPr>
            <w:r>
              <w:rPr>
                <w:b w:val="0"/>
                <w:sz w:val="20"/>
              </w:rPr>
              <w:t>Peer review, oral explanation and individual report plan.</w:t>
            </w:r>
          </w:p>
        </w:tc>
      </w:tr>
    </w:tbl>
    <w:p>
      <w:pPr>
        <w:pStyle w:val="Heading2"/>
      </w:pPr>
      <w:r>
        <w:t>Assessment approach</w:t>
      </w:r>
    </w:p>
    <w:p>
      <w:r>
        <w:t>Diagnostic: SI conversions, graph gradients and a stiffness-versus-strength question before Session 1. Formative: specimen-log feedback, method approval, analysis checkpoints and peer critique. Summative: an individual 1,500-word laboratory report with raw-data and calculation appendices, plus a brief individual oral check. Suggested weighting is 90% report and 10% oral check, subject to module regulations.</w:t>
      </w:r>
    </w:p>
    <w:p>
      <w:r>
        <w:t>Reports must include a question, theory and assumptions, sampling and method, raw-data provenance, uncertainty, analysis, discussion, a limited design recommendation and an AI-use statement. Shared group measurements are permitted when collaborators and contributions are identified. Analysis and interpretation must demonstrate individual understanding.</w:t>
      </w:r>
    </w:p>
    <w:p>
      <w:pPr>
        <w:pStyle w:val="Heading2"/>
      </w:pPr>
      <w:r>
        <w:t>Differentiation and access</w:t>
      </w:r>
    </w:p>
    <w:p>
      <w:r>
        <w:t>Offer a scaffolded spreadsheet alongside an open analysis route. Provide unit-conversion examples and a protocol template, then gradually remove prompts. Extend confident students through geometry sensitivity, uncertainty propagation or competing fits rather than additional routine work. Recorded explanations, accessible apparatus and alternative data-handling roles should preserve equivalent outcomes. Use the labelled simulated dataset only when practical access is unavailable and acknowledge that practical competence then needs separate evidence.</w:t>
      </w:r>
    </w:p>
    <w:p>
      <w:r>
        <w:br w:type="page"/>
      </w:r>
    </w:p>
    <w:p>
      <w:pPr>
        <w:pStyle w:val="Heading1"/>
      </w:pPr>
      <w:r>
        <w:t>3 Session 1 Characterisation and introductory theory</w:t>
      </w:r>
    </w:p>
    <w:p>
      <w:pPr>
        <w:pStyle w:val="Heading2"/>
      </w:pPr>
      <w:r>
        <w:t>Learning objectives</w:t>
      </w:r>
    </w:p>
    <w:p>
      <w:pPr>
        <w:pStyle w:val="ListBullet"/>
      </w:pPr>
      <w:r>
        <w:t>Record specimen geometry and instrument resolution.</w:t>
      </w:r>
    </w:p>
    <w:p>
      <w:pPr>
        <w:pStyle w:val="ListBullet"/>
      </w:pPr>
      <w:r>
        <w:t>Explain the distinction between k, E and strength.</w:t>
      </w:r>
    </w:p>
    <w:p>
      <w:pPr>
        <w:pStyle w:val="ListBullet"/>
      </w:pPr>
      <w:r>
        <w:t>State a testable question with relevant confounders.</w:t>
      </w:r>
    </w:p>
    <w:tbl>
      <w:tblPr>
        <w:tblW w:type="auto" w:w="0"/>
        <w:tblLayout w:type="fixed"/>
        <w:tblLook w:firstColumn="1" w:firstRow="1" w:lastColumn="0" w:lastRow="0" w:noHBand="0" w:noVBand="1" w:val="04A0"/>
      </w:tblPr>
      <w:tblGrid>
        <w:gridCol w:w="1008"/>
        <w:gridCol w:w="5904"/>
        <w:gridCol w:w="3168"/>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Minutes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Activity</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0–15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Diagnostic quiz and discussion of entry knowledge.</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Check units, gradients and property distinctions.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15–35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Introduce beam model and assumptions. Work through one SI calculation.</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Students annotate each variable and check dimensions.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35–70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Groups label specimens; measure mass, length and two diameters at three positions. Record visible condition and orientation.</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Tutor checks traceability, instrument reading and treatment of irregularity.</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70–85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Break and preparation of geometry summaries.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Check completeness of logs.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85–105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Compare specimens and draft hypotheses. Discuss measurement uncertainty versus biological variation.</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Each student identifies a confounder and its consequence.</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105–120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[AI CLASSROOM] Critique the claim that thicker always means stronger. Submit a question and sampling rationale.</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Written explanation distinguishes geometry, stiffness and failure.</w:t>
            </w:r>
          </w:p>
        </w:tc>
      </w:tr>
    </w:tbl>
    <w:p>
      <w:r>
        <w:t>[AI PREPARATION] Draft vocabulary and contrasting explanations, then check equations and terminology. Support: SI conversion sheet and annotated formula. Extension: evaluate why diameter error is amplified in I.</w:t>
      </w:r>
    </w:p>
    <w:p>
      <w:r>
        <w:br w:type="page"/>
      </w:r>
    </w:p>
    <w:p>
      <w:pPr>
        <w:pStyle w:val="Heading1"/>
      </w:pPr>
      <w:r>
        <w:t>3 Session 2 Protocol design and pilot</w:t>
      </w:r>
    </w:p>
    <w:p>
      <w:pPr>
        <w:pStyle w:val="Heading2"/>
      </w:pPr>
      <w:r>
        <w:t>Learning objectives</w:t>
      </w:r>
    </w:p>
    <w:p>
      <w:pPr>
        <w:pStyle w:val="ListBullet"/>
      </w:pPr>
      <w:r>
        <w:t>Specify controls, sampling and technical repeats.</w:t>
      </w:r>
    </w:p>
    <w:p>
      <w:pPr>
        <w:pStyle w:val="ListBullet"/>
      </w:pPr>
      <w:r>
        <w:t>Pilot a safe force–deflection procedure.</w:t>
      </w:r>
    </w:p>
    <w:p>
      <w:pPr>
        <w:pStyle w:val="ListBullet"/>
      </w:pPr>
      <w:r>
        <w:t>Set explicit criteria for retaining or qualifying results.</w:t>
      </w:r>
    </w:p>
    <w:tbl>
      <w:tblPr>
        <w:tblW w:type="auto" w:w="0"/>
        <w:tblLayout w:type="fixed"/>
        <w:tblLook w:firstColumn="1" w:firstRow="1" w:lastColumn="0" w:lastRow="0" w:noHBand="0" w:noVBand="1" w:val="04A0"/>
      </w:tblPr>
      <w:tblGrid>
        <w:gridCol w:w="1008"/>
        <w:gridCol w:w="5904"/>
        <w:gridCol w:w="3168"/>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Minutes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Activity</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0–15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Review hypotheses and confounders.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Check the question is answerable with available specimens.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15–35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[AI CLASSROOM] Audit the flawed protocol in the resource section.</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Identify pseudoreplication, changed controls and unsupported inference.</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35–60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Design fixed-span loading and unloading series, reading times and raw-data structure.</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Tutor checks calibration or zero checks and total applied force.</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60–70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Break; tutor reviews proposed procedure.</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Method must be approved before pilot testing.</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70–100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Pilot within tutor-defined limits. Check displacement resolution, repeatability and return after unloading.</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Record pilot changes and reasons.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100–120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Revise protocol and pre-specify analysis and exclusion criteria.</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Submit approved protocol with independent-sample count.</w:t>
            </w:r>
          </w:p>
        </w:tc>
      </w:tr>
    </w:tbl>
    <w:p>
      <w:r>
        <w:t>[AI OPTIONAL] Ask an approved model to identify missing controls in a de-identified protocol, then accept or reject each suggestion with reasons. Non-AI route: use the same tutor checklist. Support: protocol headings. Extension: plan a span-sensitivity check.</w:t>
      </w:r>
    </w:p>
    <w:p>
      <w:r>
        <w:br w:type="page"/>
      </w:r>
    </w:p>
    <w:p>
      <w:pPr>
        <w:pStyle w:val="Heading1"/>
      </w:pPr>
      <w:r>
        <w:t>3 Session 3 Experimental measurement and quantitative analysis</w:t>
      </w:r>
    </w:p>
    <w:p>
      <w:pPr>
        <w:pStyle w:val="Heading2"/>
      </w:pPr>
      <w:r>
        <w:t>Learning objectives</w:t>
      </w:r>
    </w:p>
    <w:p>
      <w:pPr>
        <w:pStyle w:val="ListBullet"/>
      </w:pPr>
      <w:r>
        <w:t>Collect traceable loading and unloading data.</w:t>
      </w:r>
    </w:p>
    <w:p>
      <w:pPr>
        <w:pStyle w:val="ListBullet"/>
      </w:pPr>
      <w:r>
        <w:t>Estimate k and examine residuals.</w:t>
      </w:r>
    </w:p>
    <w:p>
      <w:pPr>
        <w:pStyle w:val="ListBullet"/>
      </w:pPr>
      <w:r>
        <w:t>Report uncertainty and qualify any E_app estimate.</w:t>
      </w:r>
    </w:p>
    <w:tbl>
      <w:tblPr>
        <w:tblW w:type="auto" w:w="0"/>
        <w:tblLayout w:type="fixed"/>
        <w:tblLook w:firstColumn="1" w:firstRow="1" w:lastColumn="0" w:lastRow="0" w:noHBand="0" w:noVBand="1" w:val="04A0"/>
      </w:tblPr>
      <w:tblGrid>
        <w:gridCol w:w="1008"/>
        <w:gridCol w:w="5904"/>
        <w:gridCol w:w="3168"/>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Minutes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Activity</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0–10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Confirm apparatus checks and stop conditions.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Students explain safe operating limits.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10–50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Collect approved force steps for independent specimens, with repeat cycles where feasible. Log time, displacement, orientation and anomalies.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Tutor observes individual technique and verifies early records.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50–60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Break and data-integrity check.</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Preserve raw data; document all corrections.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60–85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Plot F against δ in SI units. Fit a justified linear range with an intercept; inspect residuals and loading/unloading differences.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Check axes, slope units, fit range and signs of nonlinearity.</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85–105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Estimate stiffness and, where justified, E_app. Quantify measurement sensitivity and sample variation separately.</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Independent calculation check; qualify geometry assumptions.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105–120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Pairs challenge each other’s analysis and write a bounded conclusion.</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Exit response identifies one supported claim and one unresolved limitation.</w:t>
            </w:r>
          </w:p>
        </w:tc>
      </w:tr>
    </w:tbl>
    <w:p>
      <w:r>
        <w:t>[AI OPTIONAL] AI may explain an error message or suggest a plot, but students inspect all code and verify outputs. No invented or silently replaced data. Support: spreadsheet formulas and worked fit. Extension: propagate uncertainty and compare models.</w:t>
      </w:r>
    </w:p>
    <w:p>
      <w:r>
        <w:br w:type="page"/>
      </w:r>
    </w:p>
    <w:p>
      <w:pPr>
        <w:pStyle w:val="Heading1"/>
      </w:pPr>
      <w:r>
        <w:t>3 Session 4 Scientific critique and design application</w:t>
      </w:r>
    </w:p>
    <w:p>
      <w:pPr>
        <w:pStyle w:val="Heading2"/>
      </w:pPr>
      <w:r>
        <w:t>Learning objectives</w:t>
      </w:r>
    </w:p>
    <w:p>
      <w:pPr>
        <w:pStyle w:val="ListBullet"/>
      </w:pPr>
      <w:r>
        <w:t>Defend a conclusion using quantitative evidence.</w:t>
      </w:r>
    </w:p>
    <w:p>
      <w:pPr>
        <w:pStyle w:val="ListBullet"/>
      </w:pPr>
      <w:r>
        <w:t>Evaluate model validity and an AI-generated claim.</w:t>
      </w:r>
    </w:p>
    <w:p>
      <w:pPr>
        <w:pStyle w:val="ListBullet"/>
      </w:pPr>
      <w:r>
        <w:t>Recommend material selection within the limits of the test.</w:t>
      </w:r>
    </w:p>
    <w:tbl>
      <w:tblPr>
        <w:tblW w:type="auto" w:w="0"/>
        <w:tblLayout w:type="fixed"/>
        <w:tblLook w:firstColumn="1" w:firstRow="1" w:lastColumn="0" w:lastRow="0" w:noHBand="0" w:noVBand="1" w:val="04A0"/>
      </w:tblPr>
      <w:tblGrid>
        <w:gridCol w:w="1008"/>
        <w:gridCol w:w="5904"/>
        <w:gridCol w:w="3168"/>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Minutes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Activity</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0–20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Groups present one graph and one major limitation.</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Tutor probes individual understanding.</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20–40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[AI CLASSROOM] Compare the labelled conclusions and verify the unsupported statements.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Record claim, evidence, correction and verification source.</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40–65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Develop a model-bridge member recommendation using stiffness, mass, uncertainty and further-test requirements.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Check that breaking load and assembled safety are not inferred.</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65–75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Break and preparation of report outline.</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Check report components.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75–100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Structured peer review of methods, graph and discussion.</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Feedback must identify a specific issue and improvement.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100–115</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Individual oral checks or short recorded explanations.</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Assess physical reasoning, data interpretation and limitations.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115–120</w:t>
            </w:r>
          </w:p>
        </w:tc>
        <w:tc>
          <w:tcPr>
            <w:tcW w:type="dxa" w:w="5904"/>
            <w:tcBorders>
              <w:top w:val="single" w:sz="4" w:color="D9D9D9"/>
              <w:left w:val="single" w:sz="4" w:color="D9D9D9"/>
              <w:bottom w:val="single" w:sz="4" w:color="D9D9D9"/>
              <w:right w:val="single" w:sz="4" w:color="D9D9D9"/>
            </w:tcBorders>
          </w:tcPr>
          <w:p>
            <w:pPr>
              <w:spacing w:before="100" w:after="100"/>
            </w:pPr>
            <w:r>
              <w:rPr>
                <w:b w:val="0"/>
                <w:sz w:val="20"/>
              </w:rPr>
              <w:t>Submit revision priorities and AI-use statement.</w:t>
            </w:r>
          </w:p>
        </w:tc>
        <w:tc>
          <w:tcPr>
            <w:tcW w:type="dxa" w:w="3168"/>
            <w:tcBorders>
              <w:top w:val="single" w:sz="4" w:color="D9D9D9"/>
              <w:left w:val="single" w:sz="4" w:color="D9D9D9"/>
              <w:bottom w:val="single" w:sz="4" w:color="D9D9D9"/>
              <w:right w:val="single" w:sz="4" w:color="D9D9D9"/>
            </w:tcBorders>
          </w:tcPr>
          <w:p>
            <w:pPr>
              <w:spacing w:before="100" w:after="100"/>
            </w:pPr>
            <w:r>
              <w:rPr>
                <w:b w:val="0"/>
                <w:sz w:val="20"/>
              </w:rPr>
              <w:t>Check disclosure and an actionable next step.</w:t>
            </w:r>
          </w:p>
        </w:tc>
      </w:tr>
    </w:tbl>
    <w:p>
      <w:r>
        <w:t>[AI REVIEW] Use anonymised misconceptions to draft follow-up exercises. Support: report structure and evidence prompts. Extension: design an independent experiment separating geometry from material variability.</w:t>
      </w:r>
    </w:p>
    <w:p>
      <w:r>
        <w:br w:type="page"/>
      </w:r>
    </w:p>
    <w:p>
      <w:pPr>
        <w:pStyle w:val="Heading1"/>
      </w:pPr>
      <w:r>
        <w:t>4 Student handout and specimen worksheet</w:t>
      </w:r>
    </w:p>
    <w:p>
      <w:r>
        <w:t>Name __________________ Group __________ Date __________</w:t>
      </w:r>
    </w:p>
    <w:p>
      <w:r>
        <w:t>Define these in your own words: specimen stiffness k; material modulus E; flexural rigidity EI; strength; independent specimen; technical repeat; confounder. Consult the model handout, then explain why they are not interchangeable.</w:t>
      </w:r>
    </w:p>
    <w:p>
      <w:r>
        <w:t>________________________________________________________________________</w:t>
      </w:r>
    </w:p>
    <w:p>
      <w:r>
        <w:t>________________________________________________________________________</w:t>
      </w:r>
    </w:p>
    <w:p>
      <w:r>
        <w:t>________________________________________________________________________</w:t>
      </w:r>
    </w:p>
    <w:tbl>
      <w:tblPr>
        <w:tblW w:type="auto" w:w="0"/>
        <w:tblLayout w:type="fixed"/>
        <w:tblLook w:firstColumn="1" w:firstRow="1" w:lastColumn="0" w:lastRow="0" w:noHBand="0" w:noVBand="1" w:val="04A0"/>
      </w:tblPr>
      <w:tblGrid>
        <w:gridCol w:w="1152"/>
        <w:gridCol w:w="1440"/>
        <w:gridCol w:w="1440"/>
        <w:gridCol w:w="3456"/>
        <w:gridCol w:w="2592"/>
      </w:tblGrid>
      <w:tr>
        <w:trPr>
          <w:cantSplit/>
          <w:tblHeader/>
        </w:trPr>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Specimen ID</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Length mm</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Mass g</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Diameters at 3 positions mm</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Condition and orientation</w:t>
            </w:r>
          </w:p>
        </w:tc>
      </w:tr>
      <w:tr>
        <w:trPr>
          <w:cantSplit/>
        </w:trPr>
        <w:tc>
          <w:tcPr>
            <w:tcW w:type="dxa" w:w="1152"/>
            <w:tcBorders>
              <w:top w:val="single" w:sz="4" w:color="D9D9D9"/>
              <w:left w:val="single" w:sz="4" w:color="D9D9D9"/>
              <w:bottom w:val="single" w:sz="4" w:color="D9D9D9"/>
              <w:right w:val="single" w:sz="4" w:color="D9D9D9"/>
            </w:tcBorders>
          </w:tcPr>
          <w:p>
            <w:pPr>
              <w:spacing w:before="100" w:after="100"/>
            </w:pPr>
            <w:r>
              <w:rPr>
                <w:b w:val="0"/>
                <w:sz w:val="20"/>
              </w:rPr>
              <w:t>A</w:t>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152"/>
            <w:tcBorders>
              <w:top w:val="single" w:sz="4" w:color="D9D9D9"/>
              <w:left w:val="single" w:sz="4" w:color="D9D9D9"/>
              <w:bottom w:val="single" w:sz="4" w:color="D9D9D9"/>
              <w:right w:val="single" w:sz="4" w:color="D9D9D9"/>
            </w:tcBorders>
          </w:tcPr>
          <w:p>
            <w:pPr>
              <w:spacing w:before="100" w:after="100"/>
            </w:pPr>
            <w:r>
              <w:rPr>
                <w:b w:val="0"/>
                <w:sz w:val="20"/>
              </w:rPr>
              <w:t>B</w:t>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152"/>
            <w:tcBorders>
              <w:top w:val="single" w:sz="4" w:color="D9D9D9"/>
              <w:left w:val="single" w:sz="4" w:color="D9D9D9"/>
              <w:bottom w:val="single" w:sz="4" w:color="D9D9D9"/>
              <w:right w:val="single" w:sz="4" w:color="D9D9D9"/>
            </w:tcBorders>
          </w:tcPr>
          <w:p>
            <w:pPr>
              <w:spacing w:before="100" w:after="100"/>
            </w:pPr>
            <w:r>
              <w:rPr>
                <w:b w:val="0"/>
                <w:sz w:val="20"/>
              </w:rPr>
              <w:t>C</w:t>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152"/>
            <w:tcBorders>
              <w:top w:val="single" w:sz="4" w:color="D9D9D9"/>
              <w:left w:val="single" w:sz="4" w:color="D9D9D9"/>
              <w:bottom w:val="single" w:sz="4" w:color="D9D9D9"/>
              <w:right w:val="single" w:sz="4" w:color="D9D9D9"/>
            </w:tcBorders>
          </w:tcPr>
          <w:p>
            <w:pPr>
              <w:spacing w:before="100" w:after="100"/>
            </w:pPr>
            <w:r>
              <w:rPr>
                <w:b w:val="0"/>
                <w:sz w:val="20"/>
              </w:rPr>
              <w:t>D</w:t>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r>
          </w:p>
        </w:tc>
      </w:tr>
    </w:tbl>
    <w:p>
      <w:r>
        <w:t>At each position record two perpendicular diameters and label their orientation. Record instrument resolution and any zero offset separately. Explain whether a circular approximation is defensible; do not treat ovality or taper as random measurement noise.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Hypothesis and rationale:</w:t>
      </w:r>
    </w:p>
    <w:p>
      <w:r>
        <w:t>________________________________________________________________________</w:t>
      </w:r>
    </w:p>
    <w:p>
      <w:r>
        <w:t>________________________________________________________________________</w:t>
      </w:r>
    </w:p>
    <w:p>
      <w:r>
        <w:t>Sampling strategy, independent specimen count and limits on generalisation:</w:t>
      </w:r>
    </w:p>
    <w:p>
      <w:r>
        <w:t>________________________________________________________________________</w:t>
      </w:r>
    </w:p>
    <w:p>
      <w:r>
        <w:t>________________________________________________________________________</w:t>
      </w:r>
    </w:p>
    <w:p>
      <w:r>
        <w:br w:type="page"/>
      </w:r>
    </w:p>
    <w:p>
      <w:pPr>
        <w:pStyle w:val="Heading1"/>
      </w:pPr>
      <w:r>
        <w:t>Protocol and results worksheets</w:t>
      </w:r>
    </w:p>
    <w:tbl>
      <w:tblPr>
        <w:tblW w:type="auto" w:w="0"/>
        <w:tblLayout w:type="fixed"/>
        <w:tblLook w:firstColumn="1" w:firstRow="1" w:lastColumn="0" w:lastRow="0" w:noHBand="0" w:noVBand="1" w:val="04A0"/>
      </w:tblPr>
      <w:tblGrid>
        <w:gridCol w:w="4032"/>
        <w:gridCol w:w="6048"/>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Protocol decision</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Record your choice and justification</w:t>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Question and comparison variables</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Span, support type and sample orientation</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Force steps and total hardware mass</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Displacement system and zero check</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Reading time and loading/unloading order</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Technical repeats and independent specimens</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Stop conditions and exclusion rules</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bl>
    <w:p>
      <w:r>
        <w:t>Tutor approval __________________ Date __________</w:t>
      </w:r>
    </w:p>
    <w:tbl>
      <w:tblPr>
        <w:tblW w:type="auto" w:w="0"/>
        <w:tblLayout w:type="fixed"/>
        <w:tblLook w:firstColumn="1" w:firstRow="1" w:lastColumn="0" w:lastRow="0" w:noHBand="0" w:noVBand="1" w:val="04A0"/>
      </w:tblPr>
      <w:tblGrid>
        <w:gridCol w:w="1944"/>
        <w:gridCol w:w="1728"/>
        <w:gridCol w:w="1440"/>
        <w:gridCol w:w="2160"/>
        <w:gridCol w:w="2808"/>
      </w:tblGrid>
      <w:tr>
        <w:trPr>
          <w:cantSplit/>
          <w:tblHeader/>
        </w:trPr>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Specimen and cycle</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Added mass kg</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Force N</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Displacement mm</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Load or unload and time</w:t>
            </w:r>
          </w:p>
        </w:tc>
      </w:tr>
      <w:tr>
        <w:trPr>
          <w:cantSplit/>
        </w:trPr>
        <w:tc>
          <w:tcPr>
            <w:tcW w:type="dxa" w:w="194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94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94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94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94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194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r>
          </w:p>
        </w:tc>
      </w:tr>
    </w:tbl>
    <w:p>
      <w:r>
        <w:t>Duplicate this table as required. Keep the original raw data, note corrections transparently and log deviations from the approved method. Use unloaded baselines consistently and account for any preload in the force definition.</w:t>
      </w:r>
    </w:p>
    <w:p>
      <w:r>
        <w:br w:type="page"/>
      </w:r>
    </w:p>
    <w:p>
      <w:pPr>
        <w:pStyle w:val="Heading1"/>
      </w:pPr>
      <w:r>
        <w:t>Analysis worksheet and simulated practice data</w:t>
      </w:r>
    </w:p>
    <w:p>
      <w:r>
        <w:t>SIMULATED PRACTICE DATA ONLY. These values describe one idealised specimen; they are not experimental observations or independent replicates.</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Force N</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Midpoint displacement mm</w:t>
            </w:r>
          </w:p>
        </w:tc>
      </w:tr>
      <w:tr>
        <w:trPr>
          <w:cantSplit/>
        </w:trPr>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0</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0.00</w:t>
            </w:r>
          </w:p>
        </w:tc>
      </w:tr>
      <w:tr>
        <w:trPr>
          <w:cantSplit/>
        </w:trPr>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1</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0.20</w:t>
            </w:r>
          </w:p>
        </w:tc>
      </w:tr>
      <w:tr>
        <w:trPr>
          <w:cantSplit/>
        </w:trPr>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2</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0.40</w:t>
            </w:r>
          </w:p>
        </w:tc>
      </w:tr>
      <w:tr>
        <w:trPr>
          <w:cantSplit/>
        </w:trPr>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3</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0.60</w:t>
            </w:r>
          </w:p>
        </w:tc>
      </w:tr>
      <w:tr>
        <w:trPr>
          <w:cantSplit/>
        </w:trPr>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4</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0.80</w:t>
            </w:r>
          </w:p>
        </w:tc>
      </w:tr>
    </w:tbl>
    <w:p>
      <w:r>
        <w:t>For this practice example use L = 0.200 m and circular diameter d = 0.0060 m. Convert displacement to metres, plot F against δ, determine k, calculate I and estimate E_app. Explain why a perfect line gives no estimate of real experimental scatter.</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Apply to your measured data</w:t>
      </w:r>
    </w:p>
    <w:p>
      <w:pPr>
        <w:pStyle w:val="ListBullet"/>
      </w:pPr>
      <w:r>
        <w:t>Plot individual specimens separately or clearly label them. Do not pool repeated points as independent specimens.</w:t>
      </w:r>
    </w:p>
    <w:p>
      <w:pPr>
        <w:pStyle w:val="ListBullet"/>
      </w:pPr>
      <w:r>
        <w:t>Fit a justified linear range; report slope and units, intercept, fit range and residuals. Do not force zero intercept without physical and measurement justification.</w:t>
      </w:r>
    </w:p>
    <w:p>
      <w:pPr>
        <w:pStyle w:val="ListBullet"/>
      </w:pPr>
      <w:r>
        <w:t>Compare loading and unloading. Describe drift, hysteresis or residual displacement rather than hiding it.</w:t>
      </w:r>
    </w:p>
    <w:p>
      <w:pPr>
        <w:pStyle w:val="ListBullet"/>
      </w:pPr>
      <w:r>
        <w:t>Record how geometry was approximated. Report k alone when E_app would imply unjustified precision.</w:t>
      </w:r>
    </w:p>
    <w:p>
      <w:pPr>
        <w:pStyle w:val="ListBullet"/>
      </w:pPr>
      <w:r>
        <w:t>Separate instrument uncertainty, repeatability and specimen-to-specimen variability. A large R² does not validate the physical model.</w:t>
      </w:r>
    </w:p>
    <w:p>
      <w:pPr>
        <w:pStyle w:val="Heading2"/>
      </w:pPr>
      <w:r>
        <w:t>Uncertainty extension</w:t>
      </w:r>
    </w:p>
    <w:p>
      <w:r>
        <w:t>For independent small standard uncertainties under the circular model, u(E)/E ≈ √[(u(k)/k)² + (3u(L)/L)² + (4u(d)/d)²]. State the assumptions. This propagation does not capture model bias, taper, anisotropy or unknown moisture. A 2% diameter uncertainty contributes approximately 8% relative uncertainty to E on its own.</w:t>
      </w:r>
    </w:p>
    <w:p>
      <w:r>
        <w:br w:type="page"/>
      </w:r>
    </w:p>
    <w:p>
      <w:pPr>
        <w:pStyle w:val="Heading1"/>
      </w:pPr>
      <w:r>
        <w:t>Visual aids and interactive activities</w:t>
      </w:r>
    </w:p>
    <w:p>
      <w:r>
        <w:drawing>
          <wp:inline xmlns:a="http://schemas.openxmlformats.org/drawingml/2006/main" xmlns:pic="http://schemas.openxmlformats.org/drawingml/2006/picture">
            <wp:extent cx="6126480" cy="2374011"/>
            <wp:docPr id="1" name="Picture 1"/>
            <wp:cNvGraphicFramePr>
              <a:graphicFrameLocks noChangeAspect="1"/>
            </wp:cNvGraphicFramePr>
            <a:graphic>
              <a:graphicData uri="http://schemas.openxmlformats.org/drawingml/2006/picture">
                <pic:pic>
                  <pic:nvPicPr>
                    <pic:cNvPr id="0" name="apparatus.png"/>
                    <pic:cNvPicPr/>
                  </pic:nvPicPr>
                  <pic:blipFill>
                    <a:blip r:embed="rId9"/>
                    <a:stretch>
                      <a:fillRect/>
                    </a:stretch>
                  </pic:blipFill>
                  <pic:spPr>
                    <a:xfrm>
                      <a:off x="0" y="0"/>
                      <a:ext cx="6126480" cy="2374011"/>
                    </a:xfrm>
                    <a:prstGeom prst="rect"/>
                  </pic:spPr>
                </pic:pic>
              </a:graphicData>
            </a:graphic>
          </wp:inline>
        </w:drawing>
      </w:r>
    </w:p>
    <w:p>
      <w:r>
        <w:t>Conceptual three-point bending setup, not to scale. The solid line indicates the unloaded specimen and the dashed line a displaced shape. Tutor-approved apparatus and loading limits govern practical work.</w:t>
      </w:r>
    </w:p>
    <w:tbl>
      <w:tblPr>
        <w:tblW w:type="auto" w:w="0"/>
        <w:tblLayout w:type="fixed"/>
        <w:tblLook w:firstColumn="1" w:firstRow="1" w:lastColumn="0" w:lastRow="0" w:noHBand="0" w:noVBand="1" w:val="04A0"/>
      </w:tblPr>
      <w:tblGrid>
        <w:gridCol w:w="2304"/>
        <w:gridCol w:w="3888"/>
        <w:gridCol w:w="3888"/>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Quantity</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Depends 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Interpretation</w:t>
            </w:r>
          </w:p>
        </w:tc>
      </w:tr>
      <w:tr>
        <w:trPr>
          <w:cantSplit/>
        </w:trPr>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k = dF/dδ</w:t>
            </w:r>
          </w:p>
        </w:tc>
        <w:tc>
          <w:tcPr>
            <w:tcW w:type="dxa" w:w="3888"/>
            <w:tcBorders>
              <w:top w:val="single" w:sz="4" w:color="D9D9D9"/>
              <w:left w:val="single" w:sz="4" w:color="D9D9D9"/>
              <w:bottom w:val="single" w:sz="4" w:color="D9D9D9"/>
              <w:right w:val="single" w:sz="4" w:color="D9D9D9"/>
            </w:tcBorders>
          </w:tcPr>
          <w:p>
            <w:pPr>
              <w:spacing w:before="100" w:after="100"/>
            </w:pPr>
            <w:r>
              <w:rPr>
                <w:b w:val="0"/>
                <w:sz w:val="20"/>
              </w:rPr>
              <w:t>Material, geometry, span and boundary conditions</w:t>
            </w:r>
          </w:p>
        </w:tc>
        <w:tc>
          <w:tcPr>
            <w:tcW w:type="dxa" w:w="3888"/>
            <w:tcBorders>
              <w:top w:val="single" w:sz="4" w:color="D9D9D9"/>
              <w:left w:val="single" w:sz="4" w:color="D9D9D9"/>
              <w:bottom w:val="single" w:sz="4" w:color="D9D9D9"/>
              <w:right w:val="single" w:sz="4" w:color="D9D9D9"/>
            </w:tcBorders>
          </w:tcPr>
          <w:p>
            <w:pPr>
              <w:spacing w:before="100" w:after="100"/>
            </w:pPr>
            <w:r>
              <w:rPr>
                <w:b w:val="0"/>
                <w:sz w:val="20"/>
              </w:rPr>
              <w:t>Specimen and setup response</w:t>
            </w:r>
          </w:p>
        </w:tc>
      </w:tr>
      <w:tr>
        <w:trPr>
          <w:cantSplit/>
        </w:trPr>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E_app = kL³/(48I)</w:t>
            </w:r>
          </w:p>
        </w:tc>
        <w:tc>
          <w:tcPr>
            <w:tcW w:type="dxa" w:w="3888"/>
            <w:tcBorders>
              <w:top w:val="single" w:sz="4" w:color="D9D9D9"/>
              <w:left w:val="single" w:sz="4" w:color="D9D9D9"/>
              <w:bottom w:val="single" w:sz="4" w:color="D9D9D9"/>
              <w:right w:val="single" w:sz="4" w:color="D9D9D9"/>
            </w:tcBorders>
          </w:tcPr>
          <w:p>
            <w:pPr>
              <w:spacing w:before="100" w:after="100"/>
            </w:pPr>
            <w:r>
              <w:rPr>
                <w:b w:val="0"/>
                <w:sz w:val="20"/>
              </w:rPr>
              <w:t>Measured k plus idealised beam and geometry assumptions</w:t>
            </w:r>
          </w:p>
        </w:tc>
        <w:tc>
          <w:tcPr>
            <w:tcW w:type="dxa" w:w="3888"/>
            <w:tcBorders>
              <w:top w:val="single" w:sz="4" w:color="D9D9D9"/>
              <w:left w:val="single" w:sz="4" w:color="D9D9D9"/>
              <w:bottom w:val="single" w:sz="4" w:color="D9D9D9"/>
              <w:right w:val="single" w:sz="4" w:color="D9D9D9"/>
            </w:tcBorders>
          </w:tcPr>
          <w:p>
            <w:pPr>
              <w:spacing w:before="100" w:after="100"/>
            </w:pPr>
            <w:r>
              <w:rPr>
                <w:b w:val="0"/>
                <w:sz w:val="20"/>
              </w:rPr>
              <w:t>Qualified material-model estimate</w:t>
            </w:r>
          </w:p>
        </w:tc>
      </w:tr>
      <w:tr>
        <w:trPr>
          <w:cantSplit/>
        </w:trPr>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Failure strength</w:t>
            </w:r>
          </w:p>
        </w:tc>
        <w:tc>
          <w:tcPr>
            <w:tcW w:type="dxa" w:w="3888"/>
            <w:tcBorders>
              <w:top w:val="single" w:sz="4" w:color="D9D9D9"/>
              <w:left w:val="single" w:sz="4" w:color="D9D9D9"/>
              <w:bottom w:val="single" w:sz="4" w:color="D9D9D9"/>
              <w:right w:val="single" w:sz="4" w:color="D9D9D9"/>
            </w:tcBorders>
          </w:tcPr>
          <w:p>
            <w:pPr>
              <w:spacing w:before="100" w:after="100"/>
            </w:pPr>
            <w:r>
              <w:rPr>
                <w:b w:val="0"/>
                <w:sz w:val="20"/>
              </w:rPr>
              <w:t>Failure criterion and destructive test conditions</w:t>
            </w:r>
          </w:p>
        </w:tc>
        <w:tc>
          <w:tcPr>
            <w:tcW w:type="dxa" w:w="3888"/>
            <w:tcBorders>
              <w:top w:val="single" w:sz="4" w:color="D9D9D9"/>
              <w:left w:val="single" w:sz="4" w:color="D9D9D9"/>
              <w:bottom w:val="single" w:sz="4" w:color="D9D9D9"/>
              <w:right w:val="single" w:sz="4" w:color="D9D9D9"/>
            </w:tcBorders>
          </w:tcPr>
          <w:p>
            <w:pPr>
              <w:spacing w:before="100" w:after="100"/>
            </w:pPr>
            <w:r>
              <w:rPr>
                <w:b w:val="0"/>
                <w:sz w:val="20"/>
              </w:rPr>
              <w:t>Not established by this experiment</w:t>
            </w:r>
          </w:p>
        </w:tc>
      </w:tr>
    </w:tbl>
    <w:p>
      <w:pPr>
        <w:pStyle w:val="Heading2"/>
      </w:pPr>
      <w:r>
        <w:t>Activity 1 Protocol audit in pairs</w:t>
      </w:r>
    </w:p>
    <w:p>
      <w:r>
        <w:t>[AI CLASSROOM — DELIBERATELY FLAWED] “Test one thick stick on a short span and one thin stick on a long span. Measure each ten times. Treat the twenty readings as twenty independent specimens. The highest stiffness proves the highest breaking strength.” Identify at least five problems and propose a corrected design.</w:t>
      </w:r>
    </w:p>
    <w:p>
      <w:pPr>
        <w:pStyle w:val="Heading2"/>
      </w:pPr>
      <w:r>
        <w:t>Activity 2 Model challenge</w:t>
      </w:r>
    </w:p>
    <w:p>
      <w:r>
        <w:t>Predict the effect of doubling span or doubling circular diameter while holding other model quantities fixed. Explain why the prediction may fail for real sticks. Compare your answer with another group before consulting the teacher key.</w:t>
      </w:r>
    </w:p>
    <w:p>
      <w:r>
        <w:br w:type="page"/>
      </w:r>
    </w:p>
    <w:p>
      <w:pPr>
        <w:pStyle w:val="Heading1"/>
      </w:pPr>
      <w:r>
        <w:t>AI claim audit and design challenge</w:t>
      </w:r>
    </w:p>
    <w:p>
      <w:r>
        <w:t>[AI CLASSROOM — CONTRASTING CLAIMS] A: “A high R² proves the beam model is correct, so the estimated modulus applies to the entire tree species.” B: “The measured force–displacement relationship was approximately linear over the tested range. Geometry and conditioning uncertainty limit interpretation of the apparent modulus.”</w:t>
      </w:r>
    </w:p>
    <w:p>
      <w:r>
        <w:t>For each claim identify evidence required, assumptions, unsupported wording and a corrected conclusion. Verify at least one technical point against a credible mechanics source.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Optional approved AI interaction</w:t>
      </w:r>
    </w:p>
    <w:p>
      <w:r>
        <w:t>[AI OPTIONAL] Prompt: Critique this anonymised experimental method for confounding, pseudoreplication and unjustified model assumptions. Do not invent data or references. Distinguish suggestions from verified claims. Record the prompt, tool/model name where known, date, relevant output and your acceptance or rejection of each suggestion. Non-AI alternative: audit with the model handout and peer checklist.</w:t>
      </w:r>
    </w:p>
    <w:p>
      <w:pPr>
        <w:pStyle w:val="Heading2"/>
      </w:pPr>
      <w:r>
        <w:t>Design challenge</w:t>
      </w:r>
    </w:p>
    <w:p>
      <w:r>
        <w:t>Recommend specimens for members of a small model bridge at the tutor-specified span. Compare measured stiffness, mass and uncertainty. State where evidence is insufficient, including joints, failure, repeated loading and whole-structure behaviour. Provide a labelled sketch on a separate sheet.</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Peer review</w:t>
      </w:r>
    </w:p>
    <w:p>
      <w:r>
        <w:t>Does the recommendation cite numerical results? Are assumptions explicit? Are technical repeats separated from specimens? Does the report avoid treating apparent modulus as verified material truth? Identify one strength, one required correction and one useful further experiment.</w:t>
      </w:r>
    </w:p>
    <w:p>
      <w:r>
        <w:t>________________________________________________________________________</w:t>
      </w:r>
    </w:p>
    <w:p>
      <w:r>
        <w:t>________________________________________________________________________</w:t>
      </w:r>
    </w:p>
    <w:p>
      <w:r>
        <w:br w:type="page"/>
      </w:r>
    </w:p>
    <w:p>
      <w:pPr>
        <w:pStyle w:val="Heading1"/>
      </w:pPr>
      <w:r>
        <w:t>5 Assessment brief and marking rubric</w:t>
      </w:r>
    </w:p>
    <w:p>
      <w:r>
        <w:t>Individual report: 1,500 words excluding references, tables and appendices. Suggested weighting: 90% of the unit assessment. Include a reproducible method, traceable group-data provenance, SI calculations, individual analysis, uncertainty, model critique, design recommendation and AI-use disclosure. Submit raw data and transparent formulas or code. Follow local rules on permitted assistance.</w:t>
      </w:r>
    </w:p>
    <w:tbl>
      <w:tblPr>
        <w:tblW w:type="auto" w:w="0"/>
        <w:tblLayout w:type="fixed"/>
        <w:tblLook w:firstColumn="1" w:firstRow="1" w:lastColumn="0" w:lastRow="0" w:noHBand="0" w:noVBand="1" w:val="04A0"/>
      </w:tblPr>
      <w:tblGrid>
        <w:gridCol w:w="2736"/>
        <w:gridCol w:w="936"/>
        <w:gridCol w:w="6408"/>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Report criterion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Weight</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Strong first year evidence</w:t>
            </w:r>
          </w:p>
        </w:tc>
      </w:tr>
      <w:tr>
        <w:trPr>
          <w:cantSplit/>
        </w:trPr>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Question and physical reasoning</w:t>
            </w:r>
          </w:p>
        </w:tc>
        <w:tc>
          <w:tcPr>
            <w:tcW w:type="dxa" w:w="936"/>
            <w:tcBorders>
              <w:top w:val="single" w:sz="4" w:color="D9D9D9"/>
              <w:left w:val="single" w:sz="4" w:color="D9D9D9"/>
              <w:bottom w:val="single" w:sz="4" w:color="D9D9D9"/>
              <w:right w:val="single" w:sz="4" w:color="D9D9D9"/>
            </w:tcBorders>
          </w:tcPr>
          <w:p>
            <w:pPr>
              <w:spacing w:before="100" w:after="100"/>
            </w:pPr>
            <w:r>
              <w:rPr>
                <w:b w:val="0"/>
                <w:sz w:val="20"/>
              </w:rPr>
              <w:t>15%</w:t>
            </w:r>
          </w:p>
        </w:tc>
        <w:tc>
          <w:tcPr>
            <w:tcW w:type="dxa" w:w="6408"/>
            <w:tcBorders>
              <w:top w:val="single" w:sz="4" w:color="D9D9D9"/>
              <w:left w:val="single" w:sz="4" w:color="D9D9D9"/>
              <w:bottom w:val="single" w:sz="4" w:color="D9D9D9"/>
              <w:right w:val="single" w:sz="4" w:color="D9D9D9"/>
            </w:tcBorders>
          </w:tcPr>
          <w:p>
            <w:pPr>
              <w:spacing w:before="100" w:after="100"/>
            </w:pPr>
            <w:r>
              <w:rPr>
                <w:b w:val="0"/>
                <w:sz w:val="20"/>
              </w:rPr>
              <w:t>Testable question; distinguishes geometry, stiffness, modulus and strength; relevant assumptions.</w:t>
            </w:r>
          </w:p>
        </w:tc>
      </w:tr>
      <w:tr>
        <w:trPr>
          <w:cantSplit/>
        </w:trPr>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Design and reproducibility</w:t>
            </w:r>
          </w:p>
        </w:tc>
        <w:tc>
          <w:tcPr>
            <w:tcW w:type="dxa" w:w="936"/>
            <w:tcBorders>
              <w:top w:val="single" w:sz="4" w:color="D9D9D9"/>
              <w:left w:val="single" w:sz="4" w:color="D9D9D9"/>
              <w:bottom w:val="single" w:sz="4" w:color="D9D9D9"/>
              <w:right w:val="single" w:sz="4" w:color="D9D9D9"/>
            </w:tcBorders>
          </w:tcPr>
          <w:p>
            <w:pPr>
              <w:spacing w:before="100" w:after="100"/>
            </w:pPr>
            <w:r>
              <w:rPr>
                <w:b w:val="0"/>
                <w:sz w:val="20"/>
              </w:rPr>
              <w:t>20%</w:t>
            </w:r>
          </w:p>
        </w:tc>
        <w:tc>
          <w:tcPr>
            <w:tcW w:type="dxa" w:w="6408"/>
            <w:tcBorders>
              <w:top w:val="single" w:sz="4" w:color="D9D9D9"/>
              <w:left w:val="single" w:sz="4" w:color="D9D9D9"/>
              <w:bottom w:val="single" w:sz="4" w:color="D9D9D9"/>
              <w:right w:val="single" w:sz="4" w:color="D9D9D9"/>
            </w:tcBorders>
          </w:tcPr>
          <w:p>
            <w:pPr>
              <w:spacing w:before="100" w:after="100"/>
            </w:pPr>
            <w:r>
              <w:rPr>
                <w:b w:val="0"/>
                <w:sz w:val="20"/>
              </w:rPr>
              <w:t>Justified sampling, controls, repeat structure and approved procedure; deviations documented.</w:t>
            </w:r>
          </w:p>
        </w:tc>
      </w:tr>
      <w:tr>
        <w:trPr>
          <w:cantSplit/>
        </w:trPr>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Data analysis</w:t>
            </w:r>
          </w:p>
        </w:tc>
        <w:tc>
          <w:tcPr>
            <w:tcW w:type="dxa" w:w="936"/>
            <w:tcBorders>
              <w:top w:val="single" w:sz="4" w:color="D9D9D9"/>
              <w:left w:val="single" w:sz="4" w:color="D9D9D9"/>
              <w:bottom w:val="single" w:sz="4" w:color="D9D9D9"/>
              <w:right w:val="single" w:sz="4" w:color="D9D9D9"/>
            </w:tcBorders>
          </w:tcPr>
          <w:p>
            <w:pPr>
              <w:spacing w:before="100" w:after="100"/>
            </w:pPr>
            <w:r>
              <w:rPr>
                <w:b w:val="0"/>
                <w:sz w:val="20"/>
              </w:rPr>
              <w:t>25%</w:t>
            </w:r>
          </w:p>
        </w:tc>
        <w:tc>
          <w:tcPr>
            <w:tcW w:type="dxa" w:w="6408"/>
            <w:tcBorders>
              <w:top w:val="single" w:sz="4" w:color="D9D9D9"/>
              <w:left w:val="single" w:sz="4" w:color="D9D9D9"/>
              <w:bottom w:val="single" w:sz="4" w:color="D9D9D9"/>
              <w:right w:val="single" w:sz="4" w:color="D9D9D9"/>
            </w:tcBorders>
          </w:tcPr>
          <w:p>
            <w:pPr>
              <w:spacing w:before="100" w:after="100"/>
            </w:pPr>
            <w:r>
              <w:rPr>
                <w:b w:val="0"/>
                <w:sz w:val="20"/>
              </w:rPr>
              <w:t>Traceable data, correct SI calculations, clear graphs, justified fit and residual inspection.</w:t>
            </w:r>
          </w:p>
        </w:tc>
      </w:tr>
      <w:tr>
        <w:trPr>
          <w:cantSplit/>
        </w:trPr>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Uncertainty and critical evaluation</w:t>
            </w:r>
          </w:p>
        </w:tc>
        <w:tc>
          <w:tcPr>
            <w:tcW w:type="dxa" w:w="936"/>
            <w:tcBorders>
              <w:top w:val="single" w:sz="4" w:color="D9D9D9"/>
              <w:left w:val="single" w:sz="4" w:color="D9D9D9"/>
              <w:bottom w:val="single" w:sz="4" w:color="D9D9D9"/>
              <w:right w:val="single" w:sz="4" w:color="D9D9D9"/>
            </w:tcBorders>
          </w:tcPr>
          <w:p>
            <w:pPr>
              <w:spacing w:before="100" w:after="100"/>
            </w:pPr>
            <w:r>
              <w:rPr>
                <w:b w:val="0"/>
                <w:sz w:val="20"/>
              </w:rPr>
              <w:t>25%</w:t>
            </w:r>
          </w:p>
        </w:tc>
        <w:tc>
          <w:tcPr>
            <w:tcW w:type="dxa" w:w="6408"/>
            <w:tcBorders>
              <w:top w:val="single" w:sz="4" w:color="D9D9D9"/>
              <w:left w:val="single" w:sz="4" w:color="D9D9D9"/>
              <w:bottom w:val="single" w:sz="4" w:color="D9D9D9"/>
              <w:right w:val="single" w:sz="4" w:color="D9D9D9"/>
            </w:tcBorders>
          </w:tcPr>
          <w:p>
            <w:pPr>
              <w:spacing w:before="100" w:after="100"/>
            </w:pPr>
            <w:r>
              <w:rPr>
                <w:b w:val="0"/>
                <w:sz w:val="20"/>
              </w:rPr>
              <w:t>Separates measurement, sampling and model limitations; claims remain proportionate.</w:t>
            </w:r>
          </w:p>
        </w:tc>
      </w:tr>
      <w:tr>
        <w:trPr>
          <w:cantSplit/>
        </w:trPr>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Communication and integrity</w:t>
            </w:r>
          </w:p>
        </w:tc>
        <w:tc>
          <w:tcPr>
            <w:tcW w:type="dxa" w:w="936"/>
            <w:tcBorders>
              <w:top w:val="single" w:sz="4" w:color="D9D9D9"/>
              <w:left w:val="single" w:sz="4" w:color="D9D9D9"/>
              <w:bottom w:val="single" w:sz="4" w:color="D9D9D9"/>
              <w:right w:val="single" w:sz="4" w:color="D9D9D9"/>
            </w:tcBorders>
          </w:tcPr>
          <w:p>
            <w:pPr>
              <w:spacing w:before="100" w:after="100"/>
            </w:pPr>
            <w:r>
              <w:rPr>
                <w:b w:val="0"/>
                <w:sz w:val="20"/>
              </w:rPr>
              <w:t>15%</w:t>
            </w:r>
          </w:p>
        </w:tc>
        <w:tc>
          <w:tcPr>
            <w:tcW w:type="dxa" w:w="6408"/>
            <w:tcBorders>
              <w:top w:val="single" w:sz="4" w:color="D9D9D9"/>
              <w:left w:val="single" w:sz="4" w:color="D9D9D9"/>
              <w:bottom w:val="single" w:sz="4" w:color="D9D9D9"/>
              <w:right w:val="single" w:sz="4" w:color="D9D9D9"/>
            </w:tcBorders>
          </w:tcPr>
          <w:p>
            <w:pPr>
              <w:spacing w:before="100" w:after="100"/>
            </w:pPr>
            <w:r>
              <w:rPr>
                <w:b w:val="0"/>
                <w:sz w:val="20"/>
              </w:rPr>
              <w:t>Coherent report, credible references, transparent contributions and AI disclosure.</w:t>
            </w:r>
          </w:p>
        </w:tc>
      </w:tr>
    </w:tbl>
    <w:p>
      <w:r>
        <w:t>Indicative descriptors: strong work is accurate, justified and critically qualified; competent work is largely correct with some incomplete justification; developing work has limited analysis or significant omissions; insufficient work lacks interpretable evidence or has unresolved major errors. Apply the institution’s marking scale and academic-integrity process rather than inventing grade boundaries.</w:t>
      </w:r>
    </w:p>
    <w:p>
      <w:pPr>
        <w:pStyle w:val="Heading2"/>
      </w:pPr>
      <w:r>
        <w:t>Individual oral check</w:t>
      </w:r>
    </w:p>
    <w:p>
      <w:r>
        <w:t>Suggested weighting: 10%. Ask students to explain one calculation, defend one design decision and identify a limitation that changes interpretation. Score physical reasoning, interpretation of their own data and critical judgement equally. Use an accessible equivalent where required by approved adjustments.</w:t>
      </w:r>
    </w:p>
    <w:p>
      <w:pPr>
        <w:pStyle w:val="Heading2"/>
      </w:pPr>
      <w:r>
        <w:t>Formative diagnostic questions</w:t>
      </w:r>
    </w:p>
    <w:p>
      <w:pPr>
        <w:pStyle w:val="ListBullet"/>
      </w:pPr>
      <w:r>
        <w:t>Convert 0.40 mm to metres. What are the units of a force–deflection slope?</w:t>
      </w:r>
    </w:p>
    <w:p>
      <w:pPr>
        <w:pStyle w:val="ListBullet"/>
      </w:pPr>
      <w:r>
        <w:t>Why do ten cycles on one stick not provide ten independent specimens?</w:t>
      </w:r>
    </w:p>
    <w:p>
      <w:pPr>
        <w:pStyle w:val="ListBullet"/>
      </w:pPr>
      <w:r>
        <w:t>Can stiffness or a high R² establish breaking strength? Explain.</w:t>
      </w:r>
    </w:p>
    <w:p>
      <w:pPr>
        <w:pStyle w:val="ListBullet"/>
      </w:pPr>
      <w:r>
        <w:t>Which uncertainty term is amplified by the fourth-power diameter dependence?</w:t>
      </w:r>
    </w:p>
    <w:p>
      <w:r>
        <w:br w:type="page"/>
      </w:r>
    </w:p>
    <w:p>
      <w:pPr>
        <w:pStyle w:val="Heading1"/>
      </w:pPr>
      <w:r>
        <w:t>Teacher answers and moderation notes</w:t>
      </w:r>
    </w:p>
    <w:p>
      <w:pPr>
        <w:pStyle w:val="Heading2"/>
      </w:pPr>
      <w:r>
        <w:t>Simulated example</w:t>
      </w:r>
    </w:p>
    <w:p>
      <w:r>
        <w:t>k = 5 N/mm = 5,000 N/m. I = π(0.0060)⁴/64 ≈ 6.36 × 10⁻¹¹ m⁴. E_app = 5,000(0.200)³/(48I) ≈ 1.31 × 10¹⁰ Pa = 13.1 GPa. The exact straight line is constructed; it supplies no empirical estimate of noise, repeatability or population variability. Do not use it to claim experimental validation.</w:t>
      </w:r>
    </w:p>
    <w:p>
      <w:pPr>
        <w:pStyle w:val="Heading2"/>
      </w:pPr>
      <w:r>
        <w:t>Diagnostic and activity answers</w:t>
      </w:r>
    </w:p>
    <w:p>
      <w:r>
        <w:t>0.40 mm = 0.00040 m. Slope of F against δ is N/m when SI units are used. Repeated cycles describe one specimen’s response and may be affected by loading history; independent specimens are needed to assess between-specimen variation. High R² measures fit to the chosen relationship, not truth of its assumptions or strength. Diameter uncertainty enters the approximate relative modulus uncertainty with coefficient 4.</w:t>
      </w:r>
    </w:p>
    <w:p>
      <w:r>
        <w:t>Ideal-model scaling: doubling span increases displacement eightfold at constant F, E and I; doubling circular diameter reduces displacement sixteenfold at constant F, E and L. Real specimens may violate geometry, small-deflection, support or material assumptions.</w:t>
      </w:r>
    </w:p>
    <w:p>
      <w:r>
        <w:t>Protocol audit: changed span, inadequate independent sampling, pseudoreplication, uncertain geometry/material matching, missing measurement controls and an unsupported stiffness-to-strength conclusion. Reward reasoned corrections, not just identification of labels. Claim B is more defensible, but still needs numerical results, fit diagnostics and explicit limits.</w:t>
      </w:r>
    </w:p>
    <w:p>
      <w:pPr>
        <w:pStyle w:val="Heading2"/>
      </w:pPr>
      <w:r>
        <w:t>Marking and feedback</w:t>
      </w:r>
    </w:p>
    <w:p>
      <w:r>
        <w:t>Moderate a sample of reports using shared criteria. Accept inconclusive results when analysis is sound. Distinguish a calculation error from a conceptual error and avoid penalising the same fault repeatedly. Refer integrity concerns to institutional procedures; do not treat an AI detector score as proof. Give feedback on a specific reasoning or method improvement.</w:t>
      </w:r>
    </w:p>
    <w:p>
      <w:pPr>
        <w:pStyle w:val="Heading2"/>
      </w:pPr>
      <w:r>
        <w:t>Sources for verification</w:t>
      </w:r>
    </w:p>
    <w:p>
      <w:r>
        <w:t>University of Cambridge. The Three Point Bend Test. https://mi.eng.cam.ac.uk/IALego/bender_files/bend_theory.pdf</w:t>
      </w:r>
    </w:p>
    <w:p>
      <w:r>
        <w:t>Students should add sources appropriate to wood structure, conditioning or uncertainty when used in their discussion. Verify bibliographic details against the source itself; do not accept invented AI citations.</w:t>
      </w:r>
    </w:p>
    <w:p>
      <w:r>
        <w:br w:type="page"/>
      </w:r>
    </w:p>
    <w:p>
      <w:pPr>
        <w:pStyle w:val="Heading1"/>
      </w:pPr>
      <w:r>
        <w:t>6 Teaching evaluation and future application</w:t>
      </w:r>
    </w:p>
    <w:p>
      <w:pPr>
        <w:pStyle w:val="Heading2"/>
      </w:pPr>
      <w:r>
        <w:t>Teaching process analysis</w:t>
      </w:r>
    </w:p>
    <w:p>
      <w:r>
        <w:t>The revised unit shifts from school-level description to first-year quantitative modelling. Characterisation precedes protocol design; piloting precedes data collection; analysis precedes application. This sequencing exposes the dependence of conclusions on measurement, sampling and physical assumptions. The extended two-hour sessions provide time for apparatus checks, independent thinking and critique, but actual timing must be trialled.</w:t>
      </w:r>
    </w:p>
    <w:p>
      <w:r>
        <w:t>Scaffolded calculations and open analysis routes accommodate varied preparation without lowering the outcomes. Group practical work supports shared equipment use; individual reports and oral checks provide evidence of personal understanding. Practical access and mathematical confidence should be reviewed after each session, with scaffolds adjusted in response.</w:t>
      </w:r>
    </w:p>
    <w:p>
      <w:pPr>
        <w:pStyle w:val="Heading2"/>
      </w:pPr>
      <w:r>
        <w:t>Tool and model evaluation</w:t>
      </w:r>
    </w:p>
    <w:p>
      <w:r>
        <w:t>Generative AI supports drafting, alternative explanations and critique examples. It does not validate theory, references, student achievement or safe load limits. A spreadsheet or notebook makes numerical analysis inspectable; a tutor-verified worked example checks the workflow. No controlled comparison of AI models, preparation-time study or classroom outcome evaluation has been conducted. Any effectiveness claim remains provisional.</w:t>
      </w:r>
    </w:p>
    <w:tbl>
      <w:tblPr>
        <w:tblW w:type="auto" w:w="0"/>
        <w:tblLayout w:type="fixed"/>
        <w:tblLook w:firstColumn="1" w:firstRow="1" w:lastColumn="0" w:lastRow="0" w:noHBand="0" w:noVBand="1" w:val="04A0"/>
      </w:tblPr>
      <w:tblGrid>
        <w:gridCol w:w="1584"/>
        <w:gridCol w:w="5040"/>
        <w:gridCol w:w="3456"/>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Stage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Action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Evidence to collect</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Before delivery</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Align to approved module outcomes; pilot apparatus and workload; review accessibility and AI rules.</w:t>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t>Approved materials and feasible protocol.</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During delivery</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Check concepts, participation, raw-data quality and analysis decisions.</w:t>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t>Diagnostic responses, logs, timings and formative work.</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After delivery</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Moderate reports and review feedback against each outcome.</w:t>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t>Criterion patterns and specific misconceptions.</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Next iteration</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Revise weak instructions, data templates and support; compare cautiously across cohorts.</w:t>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t>Documented revisions and evidence of changed understanding.</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Future applications</w:t>
            </w:r>
          </w:p>
        </w:tc>
        <w:tc>
          <w:tcPr>
            <w:tcW w:type="dxa" w:w="5040"/>
            <w:tcBorders>
              <w:top w:val="single" w:sz="4" w:color="D9D9D9"/>
              <w:left w:val="single" w:sz="4" w:color="D9D9D9"/>
              <w:bottom w:val="single" w:sz="4" w:color="D9D9D9"/>
              <w:right w:val="single" w:sz="4" w:color="D9D9D9"/>
            </w:tcBorders>
          </w:tcPr>
          <w:p>
            <w:pPr>
              <w:spacing w:before="100" w:after="100"/>
            </w:pPr>
            <w:r>
              <w:rPr>
                <w:b w:val="0"/>
                <w:sz w:val="20"/>
              </w:rPr>
              <w:t>Extend to manufactured dowels, paper beams or conditioned wood with fresh risk and model checks.</w:t>
            </w:r>
          </w:p>
        </w:tc>
        <w:tc>
          <w:tcPr>
            <w:tcW w:type="dxa" w:w="3456"/>
            <w:tcBorders>
              <w:top w:val="single" w:sz="4" w:color="D9D9D9"/>
              <w:left w:val="single" w:sz="4" w:color="D9D9D9"/>
              <w:bottom w:val="single" w:sz="4" w:color="D9D9D9"/>
              <w:right w:val="single" w:sz="4" w:color="D9D9D9"/>
            </w:tcBorders>
          </w:tcPr>
          <w:p>
            <w:pPr>
              <w:spacing w:before="100" w:after="100"/>
            </w:pPr>
            <w:r>
              <w:rPr>
                <w:b w:val="0"/>
                <w:sz w:val="20"/>
              </w:rPr>
              <w:t>A new protocol suited to the material and question.</w:t>
            </w:r>
          </w:p>
        </w:tc>
      </w:tr>
    </w:tbl>
    <w:p>
      <w:r>
        <w:t>[AI REVIEW] Use anonymised misconception summaries to prepare practice tasks. Record factual corrections and revision effort alongside preparation time to assess whether AI adds value. Evaluate learning from student evidence rather than the appearance of polished resources.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