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2600" w:after="0"/>
        <w:jc w:val="center"/>
        <w:rPr/>
      </w:pPr>
      <w:r>
        <w:rPr>
          <w:b/>
          <w:bCs/>
          <w:sz w:val="24"/>
          <w:szCs w:val="24"/>
        </w:rPr>
        <w:t>Guilherme Ayres Camarini</w:t>
      </w:r>
    </w:p>
    <w:p>
      <w:pPr>
        <w:pStyle w:val="Normal"/>
        <w:spacing w:lineRule="auto" w:line="360" w:before="0" w:after="0"/>
        <w:jc w:val="center"/>
        <w:rPr/>
      </w:pPr>
      <w:r>
        <w:rPr>
          <w:b/>
          <w:bCs/>
          <w:sz w:val="24"/>
          <w:szCs w:val="24"/>
        </w:rPr>
        <w:t>Henrique Martins da Luz</w:t>
      </w:r>
    </w:p>
    <w:p>
      <w:pPr>
        <w:pStyle w:val="Normal"/>
        <w:spacing w:lineRule="auto" w:line="360" w:before="0" w:after="0"/>
        <w:jc w:val="center"/>
        <w:rPr/>
      </w:pPr>
      <w:r>
        <w:rPr>
          <w:b/>
          <w:bCs/>
          <w:sz w:val="24"/>
          <w:szCs w:val="24"/>
        </w:rPr>
        <w:t>João Pedro Loureiro Lourenço</w:t>
      </w:r>
    </w:p>
    <w:p>
      <w:pPr>
        <w:pStyle w:val="Normal"/>
        <w:spacing w:lineRule="auto" w:line="360" w:before="0" w:after="0"/>
        <w:jc w:val="center"/>
        <w:rPr/>
      </w:pPr>
      <w:r>
        <w:rPr>
          <w:b/>
          <w:bCs/>
          <w:sz w:val="24"/>
          <w:szCs w:val="24"/>
        </w:rPr>
        <w:t>Marlon Alves Ferreira</w:t>
      </w:r>
    </w:p>
    <w:p>
      <w:pPr>
        <w:pStyle w:val="Normal"/>
        <w:spacing w:lineRule="auto" w:line="360" w:before="2000" w:after="0"/>
        <w:jc w:val="center"/>
        <w:rPr/>
      </w:pPr>
      <w:r>
        <w:rPr>
          <w:b/>
          <w:bCs/>
          <w:sz w:val="24"/>
          <w:szCs w:val="24"/>
        </w:rPr>
        <w:t>RISCO DE ALAGAMENTO URBANO: sistema colaborativo com fusão de dados meteorológicos e PostGIS</w:t>
      </w:r>
    </w:p>
    <w:p>
      <w:pPr>
        <w:pStyle w:val="Normal"/>
        <w:spacing w:lineRule="auto" w:line="360" w:before="3400" w:after="0"/>
        <w:jc w:val="center"/>
        <w:rPr/>
      </w:pPr>
      <w:r>
        <w:rPr>
          <w:b/>
          <w:bCs/>
          <w:sz w:val="24"/>
          <w:szCs w:val="24"/>
        </w:rPr>
        <w:t>São Caetano do Sul – SP</w:t>
      </w:r>
    </w:p>
    <w:p>
      <w:pPr>
        <w:pStyle w:val="Normal"/>
        <w:spacing w:lineRule="auto" w:line="360" w:before="0" w:after="0"/>
        <w:jc w:val="center"/>
        <w:rPr/>
      </w:pPr>
      <w:r>
        <w:rPr>
          <w:b/>
          <w:bCs/>
          <w:sz w:val="24"/>
          <w:szCs w:val="24"/>
        </w:rPr>
        <w:t>2026</w:t>
      </w:r>
    </w:p>
    <w:p>
      <w:pPr>
        <w:pStyle w:val="Normal"/>
        <w:pageBreakBefore/>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2400" w:after="1600"/>
        <w:jc w:val="center"/>
        <w:rPr/>
      </w:pPr>
      <w:r>
        <w:rPr>
          <w:b/>
          <w:bCs/>
          <w:sz w:val="24"/>
          <w:szCs w:val="24"/>
        </w:rPr>
        <w:t>RISCO DE ALAGAMENTO URBANO: sistema colaborativo com fusão de dados meteorológicos e PostGIS</w:t>
      </w:r>
    </w:p>
    <w:p>
      <w:pPr>
        <w:pStyle w:val="Normal"/>
        <w:jc w:val="right"/>
        <w:rPr/>
      </w:pPr>
      <w:r>
        <w:rPr>
          <w:b/>
          <w:bCs/>
        </w:rPr>
        <w:t>Guilherme Ayres Camarini   RA: 8143097</w:t>
      </w:r>
    </w:p>
    <w:p>
      <w:pPr>
        <w:pStyle w:val="Normal"/>
        <w:jc w:val="right"/>
        <w:rPr/>
      </w:pPr>
      <w:r>
        <w:rPr>
          <w:b/>
          <w:bCs/>
        </w:rPr>
        <w:t>Henrique Martins da Luz   RA: 8145186</w:t>
      </w:r>
    </w:p>
    <w:p>
      <w:pPr>
        <w:pStyle w:val="Normal"/>
        <w:jc w:val="right"/>
        <w:rPr/>
      </w:pPr>
      <w:r>
        <w:rPr>
          <w:b/>
          <w:bCs/>
        </w:rPr>
        <w:t>João Pedro Loureiro Lourenço   RA: 8145579</w:t>
      </w:r>
    </w:p>
    <w:p>
      <w:pPr>
        <w:pStyle w:val="Normal"/>
        <w:jc w:val="right"/>
        <w:rPr/>
      </w:pPr>
      <w:r>
        <w:rPr>
          <w:b/>
          <w:bCs/>
        </w:rPr>
        <w:t>Marlon Alves Ferreira   RA: 8145148</w:t>
      </w:r>
    </w:p>
    <w:p>
      <w:pPr>
        <w:pStyle w:val="Normal"/>
        <w:spacing w:lineRule="auto" w:line="360" w:before="3200" w:after="0"/>
        <w:jc w:val="center"/>
        <w:rPr/>
      </w:pPr>
      <w:r>
        <w:rPr>
          <w:b/>
          <w:bCs/>
          <w:sz w:val="24"/>
          <w:szCs w:val="24"/>
        </w:rPr>
        <w:t>São Caetano do Sul – SP</w:t>
      </w:r>
    </w:p>
    <w:p>
      <w:pPr>
        <w:pStyle w:val="Normal"/>
        <w:spacing w:lineRule="auto" w:line="360" w:before="0" w:after="0"/>
        <w:jc w:val="center"/>
        <w:rPr/>
      </w:pPr>
      <w:r>
        <w:rPr>
          <w:b/>
          <w:bCs/>
          <w:sz w:val="24"/>
          <w:szCs w:val="24"/>
        </w:rPr>
        <w:t>2026</w:t>
      </w:r>
    </w:p>
    <w:p>
      <w:pPr>
        <w:pStyle w:val="Normal"/>
        <w:pageBreakBefore/>
        <w:spacing w:lineRule="auto" w:line="360" w:before="0" w:after="0"/>
        <w:jc w:val="center"/>
        <w:rPr/>
      </w:pPr>
      <w:r>
        <w:rPr>
          <w:b/>
          <w:bCs/>
          <w:sz w:val="24"/>
          <w:szCs w:val="24"/>
        </w:rPr>
        <w:t>Universidade Municipal de São Caetano do Sul</w:t>
      </w:r>
    </w:p>
    <w:p>
      <w:pPr>
        <w:pStyle w:val="Normal"/>
        <w:spacing w:lineRule="auto" w:line="360" w:before="0" w:after="0"/>
        <w:jc w:val="center"/>
        <w:rPr/>
      </w:pPr>
      <w:r>
        <w:rPr>
          <w:b/>
          <w:bCs/>
          <w:sz w:val="24"/>
          <w:szCs w:val="24"/>
        </w:rPr>
        <w:t>Escola de Tecnologias da USCS</w:t>
      </w:r>
    </w:p>
    <w:p>
      <w:pPr>
        <w:pStyle w:val="Normal"/>
        <w:spacing w:lineRule="auto" w:line="360" w:before="0" w:after="0"/>
        <w:jc w:val="center"/>
        <w:rPr/>
      </w:pPr>
      <w:r>
        <w:rPr>
          <w:b/>
          <w:bCs/>
          <w:sz w:val="24"/>
          <w:szCs w:val="24"/>
        </w:rPr>
        <w:t>Curso Superior de Graduação em Ciência da Computação</w:t>
      </w:r>
    </w:p>
    <w:p>
      <w:pPr>
        <w:pStyle w:val="Normal"/>
        <w:spacing w:lineRule="auto" w:line="360" w:before="1400" w:after="0"/>
        <w:jc w:val="center"/>
        <w:rPr/>
      </w:pPr>
      <w:r>
        <w:rPr>
          <w:b/>
          <w:bCs/>
          <w:sz w:val="24"/>
          <w:szCs w:val="24"/>
        </w:rPr>
        <w:t>Guilherme Ayres Camarini</w:t>
      </w:r>
    </w:p>
    <w:p>
      <w:pPr>
        <w:pStyle w:val="Normal"/>
        <w:spacing w:lineRule="auto" w:line="360" w:before="0" w:after="0"/>
        <w:jc w:val="center"/>
        <w:rPr/>
      </w:pPr>
      <w:r>
        <w:rPr>
          <w:b/>
          <w:bCs/>
          <w:sz w:val="24"/>
          <w:szCs w:val="24"/>
        </w:rPr>
        <w:t>Henrique Martins da Luz</w:t>
      </w:r>
    </w:p>
    <w:p>
      <w:pPr>
        <w:pStyle w:val="Normal"/>
        <w:spacing w:lineRule="auto" w:line="360" w:before="0" w:after="0"/>
        <w:jc w:val="center"/>
        <w:rPr/>
      </w:pPr>
      <w:r>
        <w:rPr>
          <w:b/>
          <w:bCs/>
          <w:sz w:val="24"/>
          <w:szCs w:val="24"/>
        </w:rPr>
        <w:t>João Pedro Loureiro Lourenço</w:t>
      </w:r>
    </w:p>
    <w:p>
      <w:pPr>
        <w:pStyle w:val="Normal"/>
        <w:spacing w:lineRule="auto" w:line="360" w:before="0" w:after="0"/>
        <w:jc w:val="center"/>
        <w:rPr/>
      </w:pPr>
      <w:r>
        <w:rPr>
          <w:b/>
          <w:bCs/>
          <w:sz w:val="24"/>
          <w:szCs w:val="24"/>
        </w:rPr>
        <w:t>Marlon Alves Ferreira</w:t>
      </w:r>
    </w:p>
    <w:p>
      <w:pPr>
        <w:pStyle w:val="Normal"/>
        <w:spacing w:lineRule="auto" w:line="360" w:before="1400" w:after="800"/>
        <w:jc w:val="center"/>
        <w:rPr/>
      </w:pPr>
      <w:r>
        <w:rPr>
          <w:b/>
          <w:bCs/>
          <w:sz w:val="24"/>
          <w:szCs w:val="24"/>
        </w:rPr>
        <w:t>RISCO DE ALAGAMENTO URBANO: sistema colaborativo com fusão de dados meteorológicos e PostGIS</w:t>
      </w:r>
    </w:p>
    <w:p>
      <w:pPr>
        <w:pStyle w:val="Normal"/>
        <w:spacing w:lineRule="auto" w:line="240" w:before="0" w:after="120"/>
        <w:ind w:left="4535"/>
        <w:jc w:val="both"/>
        <w:rPr/>
      </w:pPr>
      <w:r>
        <w:rPr>
          <w:sz w:val="22"/>
          <w:szCs w:val="22"/>
        </w:rPr>
        <w:t>Trabalho de conclusão de curso apresentado à Universidade Municipal de São Caetano do Sul, como requisito parcial para a obtenção do Título de Bacharel em Ciência da Computação.</w:t>
      </w:r>
    </w:p>
    <w:p>
      <w:pPr>
        <w:pStyle w:val="Normal"/>
        <w:spacing w:lineRule="auto" w:line="240" w:before="0" w:after="120"/>
        <w:ind w:left="4535"/>
        <w:jc w:val="both"/>
        <w:rPr/>
      </w:pPr>
      <w:r>
        <w:rPr>
          <w:sz w:val="22"/>
          <w:szCs w:val="22"/>
        </w:rPr>
        <w:t>Orientador: Prof. Dr. Marcos Alberto Bussab</w:t>
      </w:r>
    </w:p>
    <w:p>
      <w:pPr>
        <w:pStyle w:val="Normal"/>
        <w:spacing w:lineRule="auto" w:line="360" w:before="2400" w:after="0"/>
        <w:jc w:val="center"/>
        <w:rPr/>
      </w:pPr>
      <w:r>
        <w:rPr>
          <w:b/>
          <w:bCs/>
          <w:sz w:val="24"/>
          <w:szCs w:val="24"/>
        </w:rPr>
        <w:t>São Caetano do Sul – SP</w:t>
      </w:r>
    </w:p>
    <w:p>
      <w:pPr>
        <w:pStyle w:val="Normal"/>
        <w:spacing w:lineRule="auto" w:line="360" w:before="0" w:after="0"/>
        <w:jc w:val="center"/>
        <w:rPr/>
      </w:pPr>
      <w:r>
        <w:rPr>
          <w:b/>
          <w:bCs/>
          <w:sz w:val="24"/>
          <w:szCs w:val="24"/>
        </w:rPr>
        <w:t>2026</w:t>
      </w:r>
      <w:r>
        <w:br w:type="page"/>
      </w:r>
    </w:p>
    <w:p>
      <w:pPr>
        <w:pStyle w:val="Normal"/>
        <w:spacing w:before="6000" w:after="120"/>
        <w:rPr/>
      </w:pPr>
      <w:r>
        <w:rPr/>
      </w:r>
    </w:p>
    <w:tbl>
      <w:tblPr>
        <w:tblW w:w="7400" w:type="dxa"/>
        <w:jc w:val="center"/>
        <w:tblInd w:w="0" w:type="dxa"/>
        <w:tblLayout w:type="fixed"/>
        <w:tblCellMar>
          <w:top w:w="160" w:type="dxa"/>
          <w:left w:w="240" w:type="dxa"/>
          <w:bottom w:w="160" w:type="dxa"/>
          <w:right w:w="240" w:type="dxa"/>
        </w:tblCellMar>
      </w:tblPr>
      <w:tblGrid>
        <w:gridCol w:w="7400"/>
      </w:tblGrid>
      <w:tr>
        <w:trPr/>
        <w:tc>
          <w:tcPr>
            <w:tcW w:w="7400" w:type="dxa"/>
            <w:tcBorders>
              <w:top w:val="single" w:sz="6" w:space="0" w:color="000000"/>
              <w:left w:val="single" w:sz="6" w:space="0" w:color="000000"/>
              <w:bottom w:val="single" w:sz="6" w:space="0" w:color="000000"/>
              <w:right w:val="single" w:sz="6" w:space="0" w:color="000000"/>
            </w:tcBorders>
          </w:tcPr>
          <w:p>
            <w:pPr>
              <w:pStyle w:val="Normal"/>
              <w:spacing w:lineRule="auto" w:line="240" w:before="0" w:after="100"/>
              <w:rPr/>
            </w:pPr>
            <w:r>
              <w:rPr>
                <w:b/>
                <w:bCs/>
                <w:sz w:val="20"/>
                <w:szCs w:val="20"/>
                <w:highlight w:val="yellow"/>
              </w:rPr>
              <w:t>[FICHA PROVISÓRIA — a versão oficial é elaborada pela biblioteca da USCS]</w:t>
            </w:r>
          </w:p>
          <w:p>
            <w:pPr>
              <w:pStyle w:val="Normal"/>
              <w:spacing w:lineRule="auto" w:line="240" w:before="0" w:after="100"/>
              <w:rPr/>
            </w:pPr>
            <w:r>
              <w:rPr>
                <w:sz w:val="20"/>
                <w:szCs w:val="20"/>
              </w:rPr>
              <w:t>CAMARINI, Guilherme Ayres; LUZ, Henrique Martins da; LOURENÇO, João Pedro Loureiro; FERREIRA, Marlon Alves.</w:t>
            </w:r>
          </w:p>
          <w:p>
            <w:pPr>
              <w:pStyle w:val="Normal"/>
              <w:spacing w:lineRule="auto" w:line="240" w:before="0" w:after="100"/>
              <w:rPr/>
            </w:pPr>
            <w:r>
              <w:rPr>
                <w:sz w:val="20"/>
                <w:szCs w:val="20"/>
              </w:rPr>
              <w:t>Risco de alagamento urbano: sistema colaborativo com fusão de dados meteorológicos e PostGIS / Guilherme Ayres Camarini, Henrique Martins da Luz, João Pedro Loureiro Lourenço, Marlon Alves Ferreira. – São Caetano do Sul – SP, 2026.</w:t>
            </w:r>
          </w:p>
          <w:p>
            <w:pPr>
              <w:pStyle w:val="Normal"/>
              <w:spacing w:lineRule="auto" w:line="240" w:before="0" w:after="100"/>
              <w:rPr/>
            </w:pPr>
            <w:r>
              <w:rPr>
                <w:b/>
                <w:bCs/>
                <w:sz w:val="20"/>
                <w:szCs w:val="20"/>
                <w:highlight w:val="yellow"/>
              </w:rPr>
              <w:t>[nº de folhas]</w:t>
            </w:r>
            <w:r>
              <w:rPr>
                <w:sz w:val="20"/>
                <w:szCs w:val="20"/>
              </w:rPr>
              <w:t xml:space="preserve"> f. : il. ; 30 cm.</w:t>
            </w:r>
          </w:p>
          <w:p>
            <w:pPr>
              <w:pStyle w:val="Normal"/>
              <w:spacing w:lineRule="auto" w:line="240" w:before="0" w:after="100"/>
              <w:rPr/>
            </w:pPr>
            <w:r>
              <w:rPr>
                <w:sz w:val="20"/>
                <w:szCs w:val="20"/>
              </w:rPr>
              <w:t>Orientador: Prof. Dr. Marcos Alberto Bussab.</w:t>
            </w:r>
          </w:p>
          <w:p>
            <w:pPr>
              <w:pStyle w:val="Normal"/>
              <w:spacing w:lineRule="auto" w:line="240" w:before="0" w:after="100"/>
              <w:rPr/>
            </w:pPr>
            <w:r>
              <w:rPr>
                <w:sz w:val="20"/>
                <w:szCs w:val="20"/>
              </w:rPr>
              <w:t>TCC (Graduação) – Universidade Municipal de São Caetano do Sul, Escola de Tecnologias da USCS, Curso Superior de Graduação em Ciência da Computação, 2026.</w:t>
            </w:r>
          </w:p>
          <w:p>
            <w:pPr>
              <w:pStyle w:val="Normal"/>
              <w:spacing w:lineRule="auto" w:line="240" w:before="0" w:after="100"/>
              <w:rPr/>
            </w:pPr>
            <w:r>
              <w:rPr>
                <w:sz w:val="20"/>
                <w:szCs w:val="20"/>
              </w:rPr>
              <w:t>1. Alagamentos urbanos. 2. Dados colaborativos. 3. Fusão de dados. 4. PostGIS. 5. Processo de Análise Hierárquica. I. Bussab, Marcos Alberto. II. Universidade Municipal de São Caetano do Sul. III. Ciência da Computação. IV. Título.</w:t>
            </w:r>
          </w:p>
        </w:tc>
      </w:tr>
    </w:tbl>
    <w:p>
      <w:pPr>
        <w:pStyle w:val="Normal"/>
        <w:spacing w:lineRule="auto" w:line="360" w:before="1800" w:after="0"/>
        <w:jc w:val="center"/>
        <w:rPr/>
      </w:pPr>
      <w:r>
        <w:br w:type="page"/>
      </w:r>
      <w:r>
        <w:rPr>
          <w:b/>
          <w:bCs/>
          <w:sz w:val="24"/>
          <w:szCs w:val="24"/>
        </w:rPr>
        <w:t>REITOR DA UNIVERSIDADE MUNICIPAL DE SÃO CAETANO DO SUL</w:t>
      </w:r>
    </w:p>
    <w:p>
      <w:pPr>
        <w:pStyle w:val="Normal"/>
        <w:spacing w:lineRule="auto" w:line="360" w:before="0" w:after="0"/>
        <w:jc w:val="center"/>
        <w:rPr/>
      </w:pPr>
      <w:r>
        <w:rPr>
          <w:b w:val="false"/>
          <w:bCs w:val="false"/>
          <w:sz w:val="24"/>
          <w:szCs w:val="24"/>
        </w:rPr>
        <w:t>Prof. Dr. Leandro Campi Prearo</w:t>
      </w:r>
    </w:p>
    <w:p>
      <w:pPr>
        <w:pStyle w:val="Normal"/>
        <w:spacing w:lineRule="auto" w:line="360" w:before="1000" w:after="0"/>
        <w:jc w:val="center"/>
        <w:rPr/>
      </w:pPr>
      <w:r>
        <w:rPr>
          <w:b/>
          <w:bCs/>
          <w:sz w:val="24"/>
          <w:szCs w:val="24"/>
        </w:rPr>
        <w:t>PRÓ-REITOR DE FORMAÇÃO ACADÊMICA E INOVAÇÃO NA GRADUAÇÃO</w:t>
      </w:r>
    </w:p>
    <w:p>
      <w:pPr>
        <w:pStyle w:val="Normal"/>
        <w:spacing w:lineRule="auto" w:line="360" w:before="0" w:after="0"/>
        <w:jc w:val="center"/>
        <w:rPr/>
      </w:pPr>
      <w:r>
        <w:rPr>
          <w:b w:val="false"/>
          <w:bCs w:val="false"/>
          <w:sz w:val="24"/>
          <w:szCs w:val="24"/>
        </w:rPr>
        <w:t>Prof. Me. Silton Marcell Romboli</w:t>
      </w:r>
    </w:p>
    <w:p>
      <w:pPr>
        <w:pStyle w:val="Normal"/>
        <w:spacing w:lineRule="auto" w:line="360" w:before="1000" w:after="0"/>
        <w:jc w:val="center"/>
        <w:rPr/>
      </w:pPr>
      <w:r>
        <w:rPr>
          <w:b/>
          <w:bCs/>
          <w:sz w:val="24"/>
          <w:szCs w:val="24"/>
        </w:rPr>
        <w:t>GESTOR DO CURSO DE CIÊNCIA DA COMPUTAÇÃO</w:t>
      </w:r>
    </w:p>
    <w:p>
      <w:pPr>
        <w:pStyle w:val="Normal"/>
        <w:spacing w:lineRule="auto" w:line="360" w:before="0" w:after="0"/>
        <w:jc w:val="center"/>
        <w:rPr/>
      </w:pPr>
      <w:r>
        <w:rPr>
          <w:b w:val="false"/>
          <w:bCs w:val="false"/>
          <w:sz w:val="24"/>
          <w:szCs w:val="24"/>
        </w:rPr>
        <w:t>Prof. Me. Fabrício Perrella</w:t>
      </w:r>
    </w:p>
    <w:p>
      <w:pPr>
        <w:pStyle w:val="Normal"/>
        <w:pageBreakBefore/>
        <w:spacing w:lineRule="auto" w:line="360" w:before="0" w:after="0"/>
        <w:jc w:val="center"/>
        <w:rPr/>
      </w:pPr>
      <w:r>
        <w:rPr>
          <w:b/>
          <w:bCs/>
          <w:sz w:val="24"/>
          <w:szCs w:val="24"/>
        </w:rPr>
        <w:t>Universidade Municipal de São Caetano do Sul</w:t>
      </w:r>
    </w:p>
    <w:p>
      <w:pPr>
        <w:pStyle w:val="Normal"/>
        <w:spacing w:lineRule="auto" w:line="360" w:before="1000" w:after="600"/>
        <w:jc w:val="center"/>
        <w:rPr/>
      </w:pPr>
      <w:r>
        <w:rPr>
          <w:b/>
          <w:bCs/>
          <w:sz w:val="24"/>
          <w:szCs w:val="24"/>
        </w:rPr>
        <w:t>RISCO DE ALAGAMENTO URBANO: sistema colaborativo com fusão de dados meteorológicos e PostGIS</w:t>
      </w:r>
    </w:p>
    <w:p>
      <w:pPr>
        <w:pStyle w:val="Normal"/>
        <w:spacing w:before="0" w:after="400"/>
        <w:jc w:val="both"/>
        <w:rPr/>
      </w:pPr>
      <w:r>
        <w:rPr/>
        <w:t>Trabalho de conclusão de curso apresentado à Universidade Municipal de São Caetano do Sul, como requisito parcial para a obtenção do Título de Bacharel em Ciência da Computação, composta pela banca examinadora:</w:t>
      </w:r>
    </w:p>
    <w:p>
      <w:pPr>
        <w:pStyle w:val="Normal"/>
        <w:spacing w:lineRule="auto" w:line="360" w:before="600" w:after="0"/>
        <w:jc w:val="center"/>
        <w:rPr/>
      </w:pPr>
      <w:r>
        <w:rPr>
          <w:b w:val="false"/>
          <w:bCs w:val="false"/>
          <w:sz w:val="24"/>
          <w:szCs w:val="24"/>
        </w:rPr>
        <w:t>_______________________________________</w:t>
      </w:r>
    </w:p>
    <w:p>
      <w:pPr>
        <w:pStyle w:val="Normal"/>
        <w:spacing w:lineRule="auto" w:line="360" w:before="0" w:after="0"/>
        <w:jc w:val="center"/>
        <w:rPr/>
      </w:pPr>
      <w:r>
        <w:rPr>
          <w:b w:val="false"/>
          <w:bCs w:val="false"/>
          <w:sz w:val="24"/>
          <w:szCs w:val="24"/>
        </w:rPr>
        <w:t>Prof. Dr. Marcos Alberto Bussab</w:t>
      </w:r>
    </w:p>
    <w:p>
      <w:pPr>
        <w:pStyle w:val="Normal"/>
        <w:spacing w:lineRule="auto" w:line="360" w:before="0" w:after="0"/>
        <w:jc w:val="center"/>
        <w:rPr/>
      </w:pPr>
      <w:r>
        <w:rPr>
          <w:b w:val="false"/>
          <w:bCs w:val="false"/>
          <w:sz w:val="22"/>
          <w:szCs w:val="22"/>
        </w:rPr>
        <w:t>Orientador</w:t>
      </w:r>
    </w:p>
    <w:p>
      <w:pPr>
        <w:pStyle w:val="Normal"/>
        <w:spacing w:lineRule="auto" w:line="360" w:before="800" w:after="0"/>
        <w:jc w:val="center"/>
        <w:rPr/>
      </w:pPr>
      <w:r>
        <w:rPr>
          <w:b w:val="false"/>
          <w:bCs w:val="false"/>
          <w:sz w:val="24"/>
          <w:szCs w:val="24"/>
        </w:rPr>
        <w:t xml:space="preserve">São Caetano do Sul – SP, </w:t>
      </w:r>
      <w:r>
        <w:rPr>
          <w:b/>
          <w:bCs/>
          <w:sz w:val="24"/>
          <w:szCs w:val="24"/>
          <w:highlight w:val="yellow"/>
        </w:rPr>
        <w:t>[data da banca]</w:t>
      </w:r>
      <w:r>
        <w:rPr>
          <w:b w:val="false"/>
          <w:bCs w:val="false"/>
          <w:sz w:val="24"/>
          <w:szCs w:val="24"/>
        </w:rPr>
        <w:t xml:space="preserve"> de 2026</w:t>
      </w:r>
    </w:p>
    <w:p>
      <w:pPr>
        <w:pStyle w:val="Titulosemnumero"/>
        <w:pageBreakBefore/>
        <w:rPr/>
      </w:pPr>
      <w:r>
        <w:rPr/>
        <w:t>Agradecimentos</w:t>
      </w:r>
    </w:p>
    <w:p>
      <w:pPr>
        <w:pStyle w:val="Normal"/>
        <w:ind w:firstLine="709"/>
        <w:jc w:val="both"/>
        <w:rPr/>
      </w:pPr>
      <w:r>
        <w:rPr/>
        <w:t>Ao Prof. Dr. Marcos Alberto Bussab, pela orientação, pelas críticas que mudaram o rumo técnico do trabalho e pela abertura para ajustar o escopo quando as fontes de dados não se confirmaram.</w:t>
      </w:r>
    </w:p>
    <w:p>
      <w:pPr>
        <w:pStyle w:val="Normal"/>
        <w:ind w:firstLine="709"/>
        <w:jc w:val="both"/>
        <w:rPr/>
      </w:pPr>
      <w:r>
        <w:rPr/>
        <w:t>Aos professores do curso de Ciência da Computação da Universidade Municipal de São Caetano do Sul, pela formação que tornou este trabalho possível.</w:t>
      </w:r>
    </w:p>
    <w:p>
      <w:pPr>
        <w:pStyle w:val="Normal"/>
        <w:ind w:firstLine="709"/>
        <w:jc w:val="both"/>
        <w:rPr/>
      </w:pPr>
      <w:r>
        <w:rPr/>
        <w:t>Às pessoas que responderam ao formulário de avaliação do aplicativo, pelo tempo e pelas sugestões, que se tornaram melhorias no aplicativo.</w:t>
      </w:r>
    </w:p>
    <w:p>
      <w:pPr>
        <w:pStyle w:val="Titulosemnumero"/>
        <w:pageBreakBefore/>
        <w:rPr/>
      </w:pPr>
      <w:r>
        <w:rPr/>
        <w:t>Resumo</w:t>
      </w:r>
    </w:p>
    <w:p>
      <w:pPr>
        <w:pStyle w:val="Normal"/>
        <w:ind w:firstLine="709"/>
        <w:jc w:val="both"/>
        <w:rPr/>
      </w:pPr>
      <w:r>
        <w:rPr/>
        <w:t>Alagamentos urbanos afetam a mobilidade e a segurança em cidades densamente urbanizadas, e os dados que ajudam a antecipá-los estão espalhados por serviços heterogêneos e por relatos de cidadãos. Este trabalho desenvolveu e avaliou, segundo a Design Science Research, um sistema colaborativo de classificação do risco de alagamento para São Caetano do Sul (SP), composto por aplicativo Android em Kotlin com interfaces XML, API REST em FastAPI e banco PostgreSQL/PostGIS. O sistema funde a chuva atual e a previsão de duas fontes meteorológicas (OpenWeather e Open-Meteo) por uma regra explícita — vale o maior valor e a divergência é registrada —, agrega os relatos dos usuários por proximidade no tempo e no espaço e combina os três critérios por um índice de risco com pesos obtidos pelo Processo de Análise Hierárquica (54%, 30% e 16%; razão de consistência de 0,0079). Os avisos oficiais do INMET funcionam como piso da classificação. A análise de sensibilidade mostrou que variar um peso em 10% altera a classe em no máximo 7,1% de 280 cenários. O benchmark com até 1 milhão de registros sintéticos mostrou que o índice espacial GiST tornou a consulta por região 81,6 vezes mais rápida com 100 mil registros, e que, com 1 milhão, o custo passa a ser dominado pela quantidade de linhas devolvidas. As leituras da API tiveram percentil 95 abaixo de 17 ms com 1 milhão de registros, e o cadastro com risco calculado automaticamente, 809 ms sem cache. A suíte automatizada tem 114 testes, e os 29 casos do plano de testes foram aprovados. Na avaliação da interface por questionário, 12 participantes deram média de 4,79 em 5 às sete telas, acima do critério de 4, e as sugestões levaram a quatro melhorias no aplicativo. Conclui-se que a arquitetura é viável e que a camada própria de fusão e classificação vai além da exibição de dados de terceiros, com as limitações de não haver pluviômetro físico nem calibração dos pesos com dados reais.</w:t>
      </w:r>
    </w:p>
    <w:p>
      <w:pPr>
        <w:pStyle w:val="Normal"/>
        <w:jc w:val="both"/>
        <w:rPr/>
      </w:pPr>
      <w:r>
        <w:rPr>
          <w:b/>
          <w:bCs/>
        </w:rPr>
        <w:t>Palavras-chave:</w:t>
      </w:r>
      <w:r>
        <w:rPr/>
        <w:t xml:space="preserve"> Alagamentos urbanos. Dados colaborativos. Fusão de dados. PostGIS. Processo de Análise Hierárquica.</w:t>
      </w:r>
    </w:p>
    <w:p>
      <w:pPr>
        <w:pStyle w:val="Titulosemnumero"/>
        <w:pageBreakBefore/>
        <w:rPr/>
      </w:pPr>
      <w:r>
        <w:rPr/>
        <w:t>Abstract</w:t>
      </w:r>
    </w:p>
    <w:p>
      <w:pPr>
        <w:pStyle w:val="Normal"/>
        <w:ind w:firstLine="709"/>
        <w:jc w:val="both"/>
        <w:rPr/>
      </w:pPr>
      <w:r>
        <w:rPr/>
        <w:t>Urban flooding affects mobility and safety in densely urbanized cities, and the data that help anticipate it are scattered across heterogeneous services and citizen reports. Following Design Science Research, this work developed and evaluated a collaborative flood-risk classification system for São Caetano do Sul, Brazil, comprising a native Android application in Kotlin with XML layouts, a FastAPI REST service and a PostgreSQL/PostGIS database. The system fuses current rainfall and forecasts from two meteorological sources (OpenWeather and Open-Meteo) through an explicit rule — the higher value is used and disagreement is recorded —, aggregates user reports by proximity in time and space, and combines the three criteria into a risk index weighted by the Analytic Hierarchy Process (54%, 30% and 16%; consistency ratio of 0.0079). Official warnings from INMET act as a floor for the final class. A sensitivity analysis showed that changing one weight by 10% changes the class in at most 7.1% of 280 scenarios. A benchmark with up to one million synthetic records showed that the GiST spatial index made the region query 81.6 times faster at 100,000 records and that, at one million, cost becomes dominated by the number of returned rows. API reads had a 95th percentile below 17 ms with one million records, and report submission with automatic risk calculation took 809 ms without cache. The automated suite has 114 tests, and all 29 test-plan cases passed. In a questionnaire-based interface evaluation, 12 participants rated the seven screens 4.79 out of 5 on average, above the threshold of 4, and their suggestions led to four improvements in the app. The architecture proved feasible, and its own fusion and classification layer goes beyond displaying third-party data, within the limitations of lacking a physical rain gauge and of weights not calibrated with real data.</w:t>
      </w:r>
    </w:p>
    <w:p>
      <w:pPr>
        <w:pStyle w:val="Normal"/>
        <w:jc w:val="both"/>
        <w:rPr/>
      </w:pPr>
      <w:r>
        <w:rPr>
          <w:b/>
          <w:bCs/>
        </w:rPr>
        <w:t>Keywords:</w:t>
      </w:r>
      <w:r>
        <w:rPr/>
        <w:t xml:space="preserve"> Urban flooding. Crowdsourced data. Data fusion. PostGIS. Analytic Hierarchy Process.</w:t>
      </w:r>
    </w:p>
    <w:p>
      <w:pPr>
        <w:pStyle w:val="Titulosemnumero"/>
        <w:pageBreakBefore/>
        <w:rPr/>
      </w:pPr>
      <w:r>
        <w:rPr/>
        <w:t>Lista de ilustrações</w:t>
      </w:r>
    </w:p>
    <w:p>
      <w:pPr>
        <w:pStyle w:val="TableofFigures"/>
        <w:tabs>
          <w:tab w:val="clear" w:pos="9071"/>
          <w:tab w:val="right" w:pos="9070" w:leader="dot"/>
        </w:tabs>
        <w:rPr/>
      </w:pPr>
      <w:r>
        <w:fldChar w:fldCharType="begin"/>
      </w:r>
      <w:r>
        <w:rPr/>
        <w:instrText xml:space="preserve"> TOC \c "Figura" \h </w:instrText>
      </w:r>
      <w:r>
        <w:rPr/>
        <w:fldChar w:fldCharType="separate"/>
      </w:r>
      <w:hyperlink w:anchor="Figura!0|sequence" w:tooltip="Figura 1 – Cronograma executado do TCC II (diagrama de Gantt)">
        <w:r>
          <w:rPr/>
          <w:t>Figura 1 – Cronograma executado do TCC II (diagrama de Gantt)</w:t>
          <w:tab/>
          <w:t>33</w:t>
        </w:r>
      </w:hyperlink>
    </w:p>
    <w:p>
      <w:pPr>
        <w:pStyle w:val="TableofFigures"/>
        <w:tabs>
          <w:tab w:val="clear" w:pos="9071"/>
          <w:tab w:val="right" w:pos="9070" w:leader="dot"/>
        </w:tabs>
        <w:rPr/>
      </w:pPr>
      <w:hyperlink w:anchor="Figura!1|sequence" w:tooltip="Figura 2 – Arquitetura do sistema">
        <w:r>
          <w:rPr/>
          <w:t>Figura 2 – Arquitetura do sistema</w:t>
          <w:tab/>
          <w:t>34</w:t>
        </w:r>
      </w:hyperlink>
    </w:p>
    <w:p>
      <w:pPr>
        <w:pStyle w:val="TableofFigures"/>
        <w:tabs>
          <w:tab w:val="clear" w:pos="9071"/>
          <w:tab w:val="right" w:pos="9070" w:leader="dot"/>
        </w:tabs>
        <w:rPr/>
      </w:pPr>
      <w:hyperlink w:anchor="Figura!2|sequence" w:tooltip="Figura 3 – Etapas do cálculo de risco e caminhos de falha">
        <w:r>
          <w:rPr/>
          <w:t>Figura 3 – Etapas do cálculo de risco e caminhos de falha</w:t>
          <w:tab/>
          <w:t>36</w:t>
        </w:r>
      </w:hyperlink>
    </w:p>
    <w:p>
      <w:pPr>
        <w:pStyle w:val="TableofFigures"/>
        <w:tabs>
          <w:tab w:val="clear" w:pos="9071"/>
          <w:tab w:val="right" w:pos="9070" w:leader="dot"/>
        </w:tabs>
        <w:rPr/>
      </w:pPr>
      <w:hyperlink w:anchor="Figura!3|sequence" w:tooltip="Figura 4 – Diagrama entidade-relacionamento do banco de dados">
        <w:r>
          <w:rPr/>
          <w:t>Figura 4 – Diagrama entidade-relacionamento do banco de dados</w:t>
          <w:tab/>
          <w:t>37</w:t>
        </w:r>
      </w:hyperlink>
    </w:p>
    <w:p>
      <w:pPr>
        <w:pStyle w:val="TableofFigures"/>
        <w:tabs>
          <w:tab w:val="clear" w:pos="9071"/>
          <w:tab w:val="right" w:pos="9070" w:leader="dot"/>
        </w:tabs>
        <w:rPr/>
      </w:pPr>
      <w:hyperlink w:anchor="Figura!4|sequence" w:tooltip="Figura 5 – Entrada (a), aba Mapa (b) e ocorrência selecionada no mapa (c)">
        <w:r>
          <w:rPr/>
          <w:t>Figura 5 – Entrada (a), aba Mapa (b) e ocorrência selecionada no mapa (c)</w:t>
          <w:tab/>
          <w:t>43</w:t>
        </w:r>
      </w:hyperlink>
    </w:p>
    <w:p>
      <w:pPr>
        <w:pStyle w:val="TableofFigures"/>
        <w:tabs>
          <w:tab w:val="clear" w:pos="9071"/>
          <w:tab w:val="right" w:pos="9070" w:leader="dot"/>
        </w:tabs>
        <w:rPr/>
      </w:pPr>
      <w:hyperlink w:anchor="Figura!5|sequence" w:tooltip="Figura 6 – Aba Alertas (a), lista filtrada (b) e detalhes de uma ocorrência (c)">
        <w:r>
          <w:rPr/>
          <w:t>Figura 6 – Aba Alertas (a), lista filtrada (b) e detalhes de uma ocorrência (c)</w:t>
          <w:tab/>
          <w:t>44</w:t>
        </w:r>
      </w:hyperlink>
    </w:p>
    <w:p>
      <w:pPr>
        <w:pStyle w:val="TableofFigures"/>
        <w:tabs>
          <w:tab w:val="clear" w:pos="9071"/>
          <w:tab w:val="right" w:pos="9070" w:leader="dot"/>
        </w:tabs>
        <w:rPr/>
      </w:pPr>
      <w:hyperlink w:anchor="Figura!6|sequence" w:tooltip="Figura 7 – Cadastro de ocorrência (a), aba Previsão (b) e origem da chuva atual (c)">
        <w:r>
          <w:rPr/>
          <w:t>Figura 7 – Cadastro de ocorrência (a), aba Previsão (b) e origem da chuva atual (c)</w:t>
          <w:tab/>
          <w:t>45</w:t>
        </w:r>
      </w:hyperlink>
    </w:p>
    <w:p>
      <w:pPr>
        <w:pStyle w:val="TableofFigures"/>
        <w:tabs>
          <w:tab w:val="clear" w:pos="9071"/>
          <w:tab w:val="right" w:pos="9070" w:leader="dot"/>
        </w:tabs>
        <w:rPr/>
      </w:pPr>
      <w:hyperlink w:anchor="Figura!7|sequence" w:tooltip="Figura 8 – Aba Ajustes (a) e perfil do usuário (b)">
        <w:r>
          <w:rPr/>
          <w:t>Figura 8 – Aba Ajustes (a) e perfil do usuário (b)</w:t>
          <w:tab/>
          <w:t>46</w:t>
        </w:r>
      </w:hyperlink>
    </w:p>
    <w:p>
      <w:pPr>
        <w:pStyle w:val="TableofFigures"/>
        <w:tabs>
          <w:tab w:val="clear" w:pos="9071"/>
          <w:tab w:val="right" w:pos="9070" w:leader="dot"/>
        </w:tabs>
        <w:rPr/>
      </w:pPr>
      <w:hyperlink w:anchor="Figura!8|sequence" w:tooltip="Figura 9 – Tempo da consulta espacial com e sem índice GiST">
        <w:r>
          <w:rPr/>
          <w:t>Figura 9 – Tempo da consulta espacial com e sem índice GiST</w:t>
          <w:tab/>
          <w:t>52</w:t>
        </w:r>
      </w:hyperlink>
    </w:p>
    <w:p>
      <w:pPr>
        <w:pStyle w:val="TableofFigures"/>
        <w:tabs>
          <w:tab w:val="clear" w:pos="9071"/>
          <w:tab w:val="right" w:pos="9070" w:leader="dot"/>
        </w:tabs>
        <w:rPr/>
      </w:pPr>
      <w:hyperlink w:anchor="Figura!9|sequence" w:tooltip="Figura 10 – Tempo da consulta do endpoint com e sem índice GiST">
        <w:r>
          <w:rPr/>
          <w:t>Figura 10 – Tempo da consulta do endpoint com e sem índice GiST</w:t>
          <w:tab/>
          <w:t>53</w:t>
        </w:r>
      </w:hyperlink>
      <w:r>
        <w:rPr/>
        <w:fldChar w:fldCharType="end"/>
      </w:r>
    </w:p>
    <w:p>
      <w:pPr>
        <w:pStyle w:val="Titulosemnumero"/>
        <w:pageBreakBefore/>
        <w:rPr/>
      </w:pPr>
      <w:r>
        <w:rPr/>
        <w:t>Lista de tabelas</w:t>
      </w:r>
    </w:p>
    <w:p>
      <w:pPr>
        <w:pStyle w:val="TableofFigures"/>
        <w:tabs>
          <w:tab w:val="clear" w:pos="9071"/>
          <w:tab w:val="right" w:pos="9070" w:leader="dot"/>
        </w:tabs>
        <w:rPr/>
      </w:pPr>
      <w:r>
        <w:fldChar w:fldCharType="begin"/>
      </w:r>
      <w:r>
        <w:rPr/>
        <w:instrText xml:space="preserve"> TOC \c "Tabela" \h </w:instrText>
      </w:r>
      <w:r>
        <w:rPr/>
        <w:fldChar w:fldCharType="separate"/>
      </w:r>
      <w:hyperlink w:anchor="Tabela!0|sequence" w:tooltip="Tabela 1 – Comparação com soluções correlatas">
        <w:r>
          <w:rPr/>
          <w:t>Tabela 1 – Comparação com soluções correlatas</w:t>
          <w:tab/>
          <w:t>26</w:t>
        </w:r>
      </w:hyperlink>
    </w:p>
    <w:p>
      <w:pPr>
        <w:pStyle w:val="TableofFigures"/>
        <w:tabs>
          <w:tab w:val="clear" w:pos="9071"/>
          <w:tab w:val="right" w:pos="9070" w:leader="dot"/>
        </w:tabs>
        <w:rPr/>
      </w:pPr>
      <w:hyperlink w:anchor="Tabela!1|sequence" w:tooltip="Tabela 2 – Etapas da Design Science Research no trabalho">
        <w:r>
          <w:rPr/>
          <w:t>Tabela 2 – Etapas da Design Science Research no trabalho</w:t>
          <w:tab/>
          <w:t>27</w:t>
        </w:r>
      </w:hyperlink>
    </w:p>
    <w:p>
      <w:pPr>
        <w:pStyle w:val="TableofFigures"/>
        <w:tabs>
          <w:tab w:val="clear" w:pos="9071"/>
          <w:tab w:val="right" w:pos="9070" w:leader="dot"/>
        </w:tabs>
        <w:rPr/>
      </w:pPr>
      <w:hyperlink w:anchor="Tabela!2|sequence" w:tooltip="Tabela 3 – Fontes de dados avaliadas e situação final">
        <w:r>
          <w:rPr/>
          <w:t>Tabela 3 – Fontes de dados avaliadas e situação final</w:t>
          <w:tab/>
          <w:t>28</w:t>
        </w:r>
      </w:hyperlink>
    </w:p>
    <w:p>
      <w:pPr>
        <w:pStyle w:val="TableofFigures"/>
        <w:tabs>
          <w:tab w:val="clear" w:pos="9071"/>
          <w:tab w:val="right" w:pos="9070" w:leader="dot"/>
        </w:tabs>
        <w:rPr/>
      </w:pPr>
      <w:hyperlink w:anchor="Tabela!3|sequence" w:tooltip="Tabela 4 – Requisitos funcionais, critérios de aceitação e casos de teste">
        <w:r>
          <w:rPr/>
          <w:t>Tabela 4 – Requisitos funcionais, critérios de aceitação e casos de teste</w:t>
          <w:tab/>
          <w:t>31</w:t>
        </w:r>
      </w:hyperlink>
    </w:p>
    <w:p>
      <w:pPr>
        <w:pStyle w:val="TableofFigures"/>
        <w:tabs>
          <w:tab w:val="clear" w:pos="9071"/>
          <w:tab w:val="right" w:pos="9070" w:leader="dot"/>
        </w:tabs>
        <w:rPr/>
      </w:pPr>
      <w:hyperlink w:anchor="Tabela!4|sequence" w:tooltip="Tabela 5 – Requisitos não funcionais">
        <w:r>
          <w:rPr/>
          <w:t>Tabela 5 – Requisitos não funcionais</w:t>
          <w:tab/>
          <w:t>32</w:t>
        </w:r>
      </w:hyperlink>
    </w:p>
    <w:p>
      <w:pPr>
        <w:pStyle w:val="TableofFigures"/>
        <w:tabs>
          <w:tab w:val="clear" w:pos="9071"/>
          <w:tab w:val="right" w:pos="9070" w:leader="dot"/>
        </w:tabs>
        <w:rPr/>
      </w:pPr>
      <w:hyperlink w:anchor="Tabela!5|sequence" w:tooltip="Tabela 6 – Papéis e responsabilidades da equipe">
        <w:r>
          <w:rPr/>
          <w:t>Tabela 6 – Papéis e responsabilidades da equipe</w:t>
          <w:tab/>
          <w:t>33</w:t>
        </w:r>
      </w:hyperlink>
    </w:p>
    <w:p>
      <w:pPr>
        <w:pStyle w:val="TableofFigures"/>
        <w:tabs>
          <w:tab w:val="clear" w:pos="9071"/>
          <w:tab w:val="right" w:pos="9070" w:leader="dot"/>
        </w:tabs>
        <w:rPr/>
      </w:pPr>
      <w:hyperlink w:anchor="Tabela!6|sequence" w:tooltip="Tabela 7 – Operações da API">
        <w:r>
          <w:rPr/>
          <w:t>Tabela 7 – Operações da API</w:t>
          <w:tab/>
          <w:t>34</w:t>
        </w:r>
      </w:hyperlink>
    </w:p>
    <w:p>
      <w:pPr>
        <w:pStyle w:val="TableofFigures"/>
        <w:tabs>
          <w:tab w:val="clear" w:pos="9071"/>
          <w:tab w:val="right" w:pos="9070" w:leader="dot"/>
        </w:tabs>
        <w:rPr/>
      </w:pPr>
      <w:hyperlink w:anchor="Tabela!7|sequence" w:tooltip="Tabela 8 – Decisões de arquitetura e justificativas">
        <w:r>
          <w:rPr/>
          <w:t>Tabela 8 – Decisões de arquitetura e justificativas</w:t>
          <w:tab/>
          <w:t>36</w:t>
        </w:r>
      </w:hyperlink>
    </w:p>
    <w:p>
      <w:pPr>
        <w:pStyle w:val="TableofFigures"/>
        <w:tabs>
          <w:tab w:val="clear" w:pos="9071"/>
          <w:tab w:val="right" w:pos="9070" w:leader="dot"/>
        </w:tabs>
        <w:rPr/>
      </w:pPr>
      <w:hyperlink w:anchor="Tabela!8|sequence" w:tooltip="Tabela 9 – Matriz de comparação pareada dos critérios">
        <w:r>
          <w:rPr/>
          <w:t>Tabela 9 – Matriz de comparação pareada dos critérios</w:t>
          <w:tab/>
          <w:t>39</w:t>
        </w:r>
      </w:hyperlink>
    </w:p>
    <w:p>
      <w:pPr>
        <w:pStyle w:val="TableofFigures"/>
        <w:tabs>
          <w:tab w:val="clear" w:pos="9071"/>
          <w:tab w:val="right" w:pos="9070" w:leader="dot"/>
        </w:tabs>
        <w:rPr/>
      </w:pPr>
      <w:hyperlink w:anchor="Tabela!9|sequence" w:tooltip="Tabela 10 – Conversão da intensidade de chuva em pontuação">
        <w:r>
          <w:rPr/>
          <w:t>Tabela 10 – Conversão da intensidade de chuva em pontuação</w:t>
          <w:tab/>
          <w:t>40</w:t>
        </w:r>
      </w:hyperlink>
    </w:p>
    <w:p>
      <w:pPr>
        <w:pStyle w:val="TableofFigures"/>
        <w:tabs>
          <w:tab w:val="clear" w:pos="9071"/>
          <w:tab w:val="right" w:pos="9070" w:leader="dot"/>
        </w:tabs>
        <w:rPr/>
      </w:pPr>
      <w:hyperlink w:anchor="Tabela!10|sequence" w:tooltip="Tabela 11 – Piso da classificação pelos avisos do INMET">
        <w:r>
          <w:rPr/>
          <w:t>Tabela 11 – Piso da classificação pelos avisos do INMET</w:t>
          <w:tab/>
          <w:t>41</w:t>
        </w:r>
      </w:hyperlink>
    </w:p>
    <w:p>
      <w:pPr>
        <w:pStyle w:val="TableofFigures"/>
        <w:tabs>
          <w:tab w:val="clear" w:pos="9071"/>
          <w:tab w:val="right" w:pos="9070" w:leader="dot"/>
        </w:tabs>
        <w:rPr/>
      </w:pPr>
      <w:hyperlink w:anchor="Tabela!11|sequence" w:tooltip="Tabela 12 – Tecnologias do aplicativo Android">
        <w:r>
          <w:rPr/>
          <w:t>Tabela 12 – Tecnologias do aplicativo Android</w:t>
          <w:tab/>
          <w:t>42</w:t>
        </w:r>
      </w:hyperlink>
    </w:p>
    <w:p>
      <w:pPr>
        <w:pStyle w:val="TableofFigures"/>
        <w:tabs>
          <w:tab w:val="clear" w:pos="9071"/>
          <w:tab w:val="right" w:pos="9070" w:leader="dot"/>
        </w:tabs>
        <w:rPr/>
      </w:pPr>
      <w:hyperlink w:anchor="Tabela!12|sequence" w:tooltip="Tabela 13 – Frentes de avaliação">
        <w:r>
          <w:rPr/>
          <w:t>Tabela 13 – Frentes de avaliação</w:t>
          <w:tab/>
          <w:t>48</w:t>
        </w:r>
      </w:hyperlink>
    </w:p>
    <w:p>
      <w:pPr>
        <w:pStyle w:val="TableofFigures"/>
        <w:tabs>
          <w:tab w:val="clear" w:pos="9071"/>
          <w:tab w:val="right" w:pos="9070" w:leader="dot"/>
        </w:tabs>
        <w:rPr/>
      </w:pPr>
      <w:hyperlink w:anchor="Tabela!13|sequence" w:tooltip="Tabela 14 – Casos de teste por módulo e situação em 29/10/2026">
        <w:r>
          <w:rPr/>
          <w:t>Tabela 14 – Casos de teste por módulo e situação em 29/10/2026</w:t>
          <w:tab/>
          <w:t>49</w:t>
        </w:r>
      </w:hyperlink>
    </w:p>
    <w:p>
      <w:pPr>
        <w:pStyle w:val="TableofFigures"/>
        <w:tabs>
          <w:tab w:val="clear" w:pos="9071"/>
          <w:tab w:val="right" w:pos="9070" w:leader="dot"/>
        </w:tabs>
        <w:rPr/>
      </w:pPr>
      <w:hyperlink w:anchor="Tabela!14|sequence" w:tooltip="Tabela 15 – Defeitos encontrados nos testes">
        <w:r>
          <w:rPr/>
          <w:t>Tabela 15 – Defeitos encontrados nos testes</w:t>
          <w:tab/>
          <w:t>50</w:t>
        </w:r>
      </w:hyperlink>
    </w:p>
    <w:p>
      <w:pPr>
        <w:pStyle w:val="TableofFigures"/>
        <w:tabs>
          <w:tab w:val="clear" w:pos="9071"/>
          <w:tab w:val="right" w:pos="9070" w:leader="dot"/>
        </w:tabs>
        <w:rPr/>
      </w:pPr>
      <w:hyperlink w:anchor="Tabela!15|sequence" w:tooltip="Tabela 16 – Consulta espacial: tempo de execução (mediana, ms)">
        <w:r>
          <w:rPr/>
          <w:t>Tabela 16 – Consulta espacial: tempo de execução (mediana, ms)</w:t>
          <w:tab/>
          <w:t>51</w:t>
        </w:r>
      </w:hyperlink>
    </w:p>
    <w:p>
      <w:pPr>
        <w:pStyle w:val="TableofFigures"/>
        <w:tabs>
          <w:tab w:val="clear" w:pos="9071"/>
          <w:tab w:val="right" w:pos="9070" w:leader="dot"/>
        </w:tabs>
        <w:rPr/>
      </w:pPr>
      <w:hyperlink w:anchor="Tabela!16|sequence" w:tooltip="Tabela 17 – Consulta do endpoint: tempo de execução (mediana, ms)">
        <w:r>
          <w:rPr/>
          <w:t>Tabela 17 – Consulta do endpoint: tempo de execução (mediana, ms)</w:t>
          <w:tab/>
          <w:t>53</w:t>
        </w:r>
      </w:hyperlink>
    </w:p>
    <w:p>
      <w:pPr>
        <w:pStyle w:val="TableofFigures"/>
        <w:tabs>
          <w:tab w:val="clear" w:pos="9071"/>
          <w:tab w:val="right" w:pos="9070" w:leader="dot"/>
        </w:tabs>
        <w:rPr/>
      </w:pPr>
      <w:hyperlink w:anchor="Tabela!17|sequence" w:tooltip="Tabela 18 – Latência das leituras e do cadastro com nível informado, no banco de demonstração (demo) e no de 1 milhão de registros (ms)">
        <w:r>
          <w:rPr/>
          <w:t>Tabela 18 – Latência das leituras e do cadastro com nível informado, no banco de demonstração (demo) e no de 1 milhão de registros (ms)</w:t>
          <w:tab/>
          <w:t>54</w:t>
        </w:r>
      </w:hyperlink>
    </w:p>
    <w:p>
      <w:pPr>
        <w:pStyle w:val="TableofFigures"/>
        <w:tabs>
          <w:tab w:val="clear" w:pos="9071"/>
          <w:tab w:val="right" w:pos="9070" w:leader="dot"/>
        </w:tabs>
        <w:rPr/>
      </w:pPr>
      <w:hyperlink w:anchor="Tabela!18|sequence" w:tooltip="Tabela 19 – Latência do cadastro com risco automático (ms)">
        <w:r>
          <w:rPr/>
          <w:t>Tabela 19 – Latência do cadastro com risco automático (ms)</w:t>
          <w:tab/>
          <w:t>54</w:t>
        </w:r>
      </w:hyperlink>
    </w:p>
    <w:p>
      <w:pPr>
        <w:pStyle w:val="TableofFigures"/>
        <w:tabs>
          <w:tab w:val="clear" w:pos="9071"/>
          <w:tab w:val="right" w:pos="9070" w:leader="dot"/>
        </w:tabs>
        <w:rPr/>
      </w:pPr>
      <w:hyperlink w:anchor="Tabela!19|sequence" w:tooltip="Tabela 20 – Atendimento dos requisitos de desempenho">
        <w:r>
          <w:rPr/>
          <w:t>Tabela 20 – Atendimento dos requisitos de desempenho</w:t>
          <w:tab/>
          <w:t>55</w:t>
        </w:r>
      </w:hyperlink>
    </w:p>
    <w:p>
      <w:pPr>
        <w:pStyle w:val="TableofFigures"/>
        <w:tabs>
          <w:tab w:val="clear" w:pos="9071"/>
          <w:tab w:val="right" w:pos="9070" w:leader="dot"/>
        </w:tabs>
        <w:rPr/>
      </w:pPr>
      <w:hyperlink w:anchor="Tabela!20|sequence" w:tooltip="Tabela 21 – Notas médias por tela e critério (12 participantes, escala de 1 a 5)">
        <w:r>
          <w:rPr/>
          <w:t>Tabela 21 – Notas médias por tela e critério (12 participantes, escala de 1 a 5)</w:t>
          <w:tab/>
          <w:t>55</w:t>
        </w:r>
      </w:hyperlink>
    </w:p>
    <w:p>
      <w:pPr>
        <w:pStyle w:val="TableofFigures"/>
        <w:tabs>
          <w:tab w:val="clear" w:pos="9071"/>
          <w:tab w:val="right" w:pos="9070" w:leader="dot"/>
        </w:tabs>
        <w:rPr/>
      </w:pPr>
      <w:hyperlink w:anchor="Tabela!21|sequence" w:tooltip="Tabela 22 – Perguntas específicas, respostas e melhorias aplicadas">
        <w:r>
          <w:rPr/>
          <w:t>Tabela 22 – Perguntas específicas, respostas e melhorias aplicadas</w:t>
          <w:tab/>
          <w:t>56</w:t>
        </w:r>
      </w:hyperlink>
    </w:p>
    <w:p>
      <w:pPr>
        <w:pStyle w:val="TableofFigures"/>
        <w:tabs>
          <w:tab w:val="clear" w:pos="9071"/>
          <w:tab w:val="right" w:pos="9070" w:leader="dot"/>
        </w:tabs>
        <w:rPr/>
      </w:pPr>
      <w:hyperlink w:anchor="Tabela!22|sequence" w:tooltip="Tabela 23 – Objetivos específicos e resultados">
        <w:r>
          <w:rPr/>
          <w:t>Tabela 23 – Objetivos específicos e resultados</w:t>
          <w:tab/>
          <w:t>59</w:t>
        </w:r>
      </w:hyperlink>
    </w:p>
    <w:p>
      <w:pPr>
        <w:pStyle w:val="TableofFigures"/>
        <w:tabs>
          <w:tab w:val="clear" w:pos="9071"/>
          <w:tab w:val="right" w:pos="9070" w:leader="dot"/>
        </w:tabs>
        <w:rPr/>
      </w:pPr>
      <w:hyperlink w:anchor="Tabela!23|sequence" w:tooltip="Tabela 24 – Casos de teste do plano PT-001 (versão 1.5)">
        <w:r>
          <w:rPr/>
          <w:t>Tabela 24 – Casos de teste do plano PT-001 (versão 1.5)</w:t>
          <w:tab/>
          <w:t>66</w:t>
        </w:r>
      </w:hyperlink>
      <w:r>
        <w:rPr/>
        <w:fldChar w:fldCharType="end"/>
      </w:r>
    </w:p>
    <w:p>
      <w:pPr>
        <w:pStyle w:val="Titulosemnumero"/>
        <w:pageBreakBefore/>
        <w:rPr/>
      </w:pPr>
      <w:r>
        <w:rPr/>
        <w:t>Lista de abreviaturas e siglas</w:t>
      </w:r>
    </w:p>
    <w:tbl>
      <w:tblPr>
        <w:tblW w:w="9071" w:type="dxa"/>
        <w:jc w:val="left"/>
        <w:tblInd w:w="108" w:type="dxa"/>
        <w:tblLayout w:type="fixed"/>
        <w:tblCellMar>
          <w:top w:w="0" w:type="dxa"/>
          <w:left w:w="108" w:type="dxa"/>
          <w:bottom w:w="0" w:type="dxa"/>
          <w:right w:w="108" w:type="dxa"/>
        </w:tblCellMar>
      </w:tblPr>
      <w:tblGrid>
        <w:gridCol w:w="1699"/>
        <w:gridCol w:w="7372"/>
      </w:tblGrid>
      <w:tr>
        <w:trPr/>
        <w:tc>
          <w:tcPr>
            <w:tcW w:w="1699" w:type="dxa"/>
            <w:tcBorders/>
          </w:tcPr>
          <w:p>
            <w:pPr>
              <w:pStyle w:val="Textodetabela"/>
              <w:rPr/>
            </w:pPr>
            <w:r>
              <w:rPr>
                <w:sz w:val="22"/>
                <w:szCs w:val="22"/>
              </w:rPr>
              <w:t>AHP</w:t>
            </w:r>
          </w:p>
        </w:tc>
        <w:tc>
          <w:tcPr>
            <w:tcW w:w="7372" w:type="dxa"/>
            <w:tcBorders/>
          </w:tcPr>
          <w:p>
            <w:pPr>
              <w:pStyle w:val="Textodetabela"/>
              <w:rPr/>
            </w:pPr>
            <w:r>
              <w:rPr>
                <w:sz w:val="22"/>
                <w:szCs w:val="22"/>
              </w:rPr>
              <w:t>Analytic Hierarchy Process (Processo de Análise Hierárquica)</w:t>
            </w:r>
          </w:p>
        </w:tc>
      </w:tr>
      <w:tr>
        <w:trPr/>
        <w:tc>
          <w:tcPr>
            <w:tcW w:w="1699" w:type="dxa"/>
            <w:tcBorders/>
          </w:tcPr>
          <w:p>
            <w:pPr>
              <w:pStyle w:val="Textodetabela"/>
              <w:rPr/>
            </w:pPr>
            <w:r>
              <w:rPr>
                <w:sz w:val="22"/>
                <w:szCs w:val="22"/>
              </w:rPr>
              <w:t>AMS</w:t>
            </w:r>
          </w:p>
        </w:tc>
        <w:tc>
          <w:tcPr>
            <w:tcW w:w="7372" w:type="dxa"/>
            <w:tcBorders/>
          </w:tcPr>
          <w:p>
            <w:pPr>
              <w:pStyle w:val="Textodetabela"/>
              <w:rPr/>
            </w:pPr>
            <w:r>
              <w:rPr>
                <w:sz w:val="22"/>
                <w:szCs w:val="22"/>
              </w:rPr>
              <w:t>American Meteorological Society</w:t>
            </w:r>
          </w:p>
        </w:tc>
      </w:tr>
      <w:tr>
        <w:trPr/>
        <w:tc>
          <w:tcPr>
            <w:tcW w:w="1699" w:type="dxa"/>
            <w:tcBorders/>
          </w:tcPr>
          <w:p>
            <w:pPr>
              <w:pStyle w:val="Textodetabela"/>
              <w:rPr/>
            </w:pPr>
            <w:r>
              <w:rPr>
                <w:sz w:val="22"/>
                <w:szCs w:val="22"/>
              </w:rPr>
              <w:t>ANA</w:t>
            </w:r>
          </w:p>
        </w:tc>
        <w:tc>
          <w:tcPr>
            <w:tcW w:w="7372" w:type="dxa"/>
            <w:tcBorders/>
          </w:tcPr>
          <w:p>
            <w:pPr>
              <w:pStyle w:val="Textodetabela"/>
              <w:rPr/>
            </w:pPr>
            <w:r>
              <w:rPr>
                <w:sz w:val="22"/>
                <w:szCs w:val="22"/>
              </w:rPr>
              <w:t>Agência Nacional de Águas e Saneamento Básico</w:t>
            </w:r>
          </w:p>
        </w:tc>
      </w:tr>
      <w:tr>
        <w:trPr/>
        <w:tc>
          <w:tcPr>
            <w:tcW w:w="1699" w:type="dxa"/>
            <w:tcBorders/>
          </w:tcPr>
          <w:p>
            <w:pPr>
              <w:pStyle w:val="Textodetabela"/>
              <w:rPr/>
            </w:pPr>
            <w:r>
              <w:rPr>
                <w:sz w:val="22"/>
                <w:szCs w:val="22"/>
              </w:rPr>
              <w:t>ANPD</w:t>
            </w:r>
          </w:p>
        </w:tc>
        <w:tc>
          <w:tcPr>
            <w:tcW w:w="7372" w:type="dxa"/>
            <w:tcBorders/>
          </w:tcPr>
          <w:p>
            <w:pPr>
              <w:pStyle w:val="Textodetabela"/>
              <w:rPr/>
            </w:pPr>
            <w:r>
              <w:rPr>
                <w:sz w:val="22"/>
                <w:szCs w:val="22"/>
              </w:rPr>
              <w:t>Autoridade Nacional de Proteção de Dados</w:t>
            </w:r>
          </w:p>
        </w:tc>
      </w:tr>
      <w:tr>
        <w:trPr/>
        <w:tc>
          <w:tcPr>
            <w:tcW w:w="1699" w:type="dxa"/>
            <w:tcBorders/>
          </w:tcPr>
          <w:p>
            <w:pPr>
              <w:pStyle w:val="Textodetabela"/>
              <w:rPr/>
            </w:pPr>
            <w:r>
              <w:rPr>
                <w:sz w:val="22"/>
                <w:szCs w:val="22"/>
              </w:rPr>
              <w:t>API</w:t>
            </w:r>
          </w:p>
        </w:tc>
        <w:tc>
          <w:tcPr>
            <w:tcW w:w="7372" w:type="dxa"/>
            <w:tcBorders/>
          </w:tcPr>
          <w:p>
            <w:pPr>
              <w:pStyle w:val="Textodetabela"/>
              <w:rPr/>
            </w:pPr>
            <w:r>
              <w:rPr>
                <w:sz w:val="22"/>
                <w:szCs w:val="22"/>
              </w:rPr>
              <w:t>Application Programming Interface (interface de programação de aplicações)</w:t>
            </w:r>
          </w:p>
        </w:tc>
      </w:tr>
      <w:tr>
        <w:trPr/>
        <w:tc>
          <w:tcPr>
            <w:tcW w:w="1699" w:type="dxa"/>
            <w:tcBorders/>
          </w:tcPr>
          <w:p>
            <w:pPr>
              <w:pStyle w:val="Textodetabela"/>
              <w:rPr/>
            </w:pPr>
            <w:r>
              <w:rPr>
                <w:sz w:val="22"/>
                <w:szCs w:val="22"/>
              </w:rPr>
              <w:t>CEMADEN</w:t>
            </w:r>
          </w:p>
        </w:tc>
        <w:tc>
          <w:tcPr>
            <w:tcW w:w="7372" w:type="dxa"/>
            <w:tcBorders/>
          </w:tcPr>
          <w:p>
            <w:pPr>
              <w:pStyle w:val="Textodetabela"/>
              <w:rPr/>
            </w:pPr>
            <w:r>
              <w:rPr>
                <w:sz w:val="22"/>
                <w:szCs w:val="22"/>
              </w:rPr>
              <w:t>Centro Nacional de Monitoramento e Alertas de Desastres Naturais</w:t>
            </w:r>
          </w:p>
        </w:tc>
      </w:tr>
      <w:tr>
        <w:trPr/>
        <w:tc>
          <w:tcPr>
            <w:tcW w:w="1699" w:type="dxa"/>
            <w:tcBorders/>
          </w:tcPr>
          <w:p>
            <w:pPr>
              <w:pStyle w:val="Textodetabela"/>
              <w:rPr/>
            </w:pPr>
            <w:r>
              <w:rPr>
                <w:sz w:val="22"/>
                <w:szCs w:val="22"/>
              </w:rPr>
              <w:t>CI</w:t>
            </w:r>
          </w:p>
        </w:tc>
        <w:tc>
          <w:tcPr>
            <w:tcW w:w="7372" w:type="dxa"/>
            <w:tcBorders/>
          </w:tcPr>
          <w:p>
            <w:pPr>
              <w:pStyle w:val="Textodetabela"/>
              <w:rPr/>
            </w:pPr>
            <w:r>
              <w:rPr>
                <w:sz w:val="22"/>
                <w:szCs w:val="22"/>
              </w:rPr>
              <w:t>Consistency Index (índice de consistência do AHP)</w:t>
            </w:r>
          </w:p>
        </w:tc>
      </w:tr>
      <w:tr>
        <w:trPr/>
        <w:tc>
          <w:tcPr>
            <w:tcW w:w="1699" w:type="dxa"/>
            <w:tcBorders/>
          </w:tcPr>
          <w:p>
            <w:pPr>
              <w:pStyle w:val="Textodetabela"/>
              <w:rPr/>
            </w:pPr>
            <w:r>
              <w:rPr>
                <w:sz w:val="22"/>
                <w:szCs w:val="22"/>
              </w:rPr>
              <w:t>CPTEC</w:t>
            </w:r>
          </w:p>
        </w:tc>
        <w:tc>
          <w:tcPr>
            <w:tcW w:w="7372" w:type="dxa"/>
            <w:tcBorders/>
          </w:tcPr>
          <w:p>
            <w:pPr>
              <w:pStyle w:val="Textodetabela"/>
              <w:rPr/>
            </w:pPr>
            <w:r>
              <w:rPr>
                <w:sz w:val="22"/>
                <w:szCs w:val="22"/>
              </w:rPr>
              <w:t>Centro de Previsão de Tempo e Estudos Climáticos</w:t>
            </w:r>
          </w:p>
        </w:tc>
      </w:tr>
      <w:tr>
        <w:trPr/>
        <w:tc>
          <w:tcPr>
            <w:tcW w:w="1699" w:type="dxa"/>
            <w:tcBorders/>
          </w:tcPr>
          <w:p>
            <w:pPr>
              <w:pStyle w:val="Textodetabela"/>
              <w:rPr/>
            </w:pPr>
            <w:r>
              <w:rPr>
                <w:sz w:val="22"/>
                <w:szCs w:val="22"/>
              </w:rPr>
              <w:t>CR</w:t>
            </w:r>
          </w:p>
        </w:tc>
        <w:tc>
          <w:tcPr>
            <w:tcW w:w="7372" w:type="dxa"/>
            <w:tcBorders/>
          </w:tcPr>
          <w:p>
            <w:pPr>
              <w:pStyle w:val="Textodetabela"/>
              <w:rPr/>
            </w:pPr>
            <w:r>
              <w:rPr>
                <w:sz w:val="22"/>
                <w:szCs w:val="22"/>
              </w:rPr>
              <w:t>Consistency Ratio (razão de consistência do AHP)</w:t>
            </w:r>
          </w:p>
        </w:tc>
      </w:tr>
      <w:tr>
        <w:trPr/>
        <w:tc>
          <w:tcPr>
            <w:tcW w:w="1699" w:type="dxa"/>
            <w:tcBorders/>
          </w:tcPr>
          <w:p>
            <w:pPr>
              <w:pStyle w:val="Textodetabela"/>
              <w:rPr/>
            </w:pPr>
            <w:r>
              <w:rPr>
                <w:sz w:val="22"/>
                <w:szCs w:val="22"/>
              </w:rPr>
              <w:t>DER</w:t>
            </w:r>
          </w:p>
        </w:tc>
        <w:tc>
          <w:tcPr>
            <w:tcW w:w="7372" w:type="dxa"/>
            <w:tcBorders/>
          </w:tcPr>
          <w:p>
            <w:pPr>
              <w:pStyle w:val="Textodetabela"/>
              <w:rPr/>
            </w:pPr>
            <w:r>
              <w:rPr>
                <w:sz w:val="22"/>
                <w:szCs w:val="22"/>
              </w:rPr>
              <w:t>Diagrama Entidade-Relacionamento</w:t>
            </w:r>
          </w:p>
        </w:tc>
      </w:tr>
      <w:tr>
        <w:trPr/>
        <w:tc>
          <w:tcPr>
            <w:tcW w:w="1699" w:type="dxa"/>
            <w:tcBorders/>
          </w:tcPr>
          <w:p>
            <w:pPr>
              <w:pStyle w:val="Textodetabela"/>
              <w:rPr/>
            </w:pPr>
            <w:r>
              <w:rPr>
                <w:sz w:val="22"/>
                <w:szCs w:val="22"/>
              </w:rPr>
              <w:t>DSR</w:t>
            </w:r>
          </w:p>
        </w:tc>
        <w:tc>
          <w:tcPr>
            <w:tcW w:w="7372" w:type="dxa"/>
            <w:tcBorders/>
          </w:tcPr>
          <w:p>
            <w:pPr>
              <w:pStyle w:val="Textodetabela"/>
              <w:rPr/>
            </w:pPr>
            <w:r>
              <w:rPr>
                <w:sz w:val="22"/>
                <w:szCs w:val="22"/>
              </w:rPr>
              <w:t>Design Science Research</w:t>
            </w:r>
          </w:p>
        </w:tc>
      </w:tr>
      <w:tr>
        <w:trPr/>
        <w:tc>
          <w:tcPr>
            <w:tcW w:w="1699" w:type="dxa"/>
            <w:tcBorders/>
          </w:tcPr>
          <w:p>
            <w:pPr>
              <w:pStyle w:val="Textodetabela"/>
              <w:rPr/>
            </w:pPr>
            <w:r>
              <w:rPr>
                <w:sz w:val="22"/>
                <w:szCs w:val="22"/>
              </w:rPr>
              <w:t>GiST</w:t>
            </w:r>
          </w:p>
        </w:tc>
        <w:tc>
          <w:tcPr>
            <w:tcW w:w="7372" w:type="dxa"/>
            <w:tcBorders/>
          </w:tcPr>
          <w:p>
            <w:pPr>
              <w:pStyle w:val="Textodetabela"/>
              <w:rPr/>
            </w:pPr>
            <w:r>
              <w:rPr>
                <w:sz w:val="22"/>
                <w:szCs w:val="22"/>
              </w:rPr>
              <w:t>Generalized Search Tree (árvore de busca generalizada)</w:t>
            </w:r>
          </w:p>
        </w:tc>
      </w:tr>
      <w:tr>
        <w:trPr/>
        <w:tc>
          <w:tcPr>
            <w:tcW w:w="1699" w:type="dxa"/>
            <w:tcBorders/>
          </w:tcPr>
          <w:p>
            <w:pPr>
              <w:pStyle w:val="Textodetabela"/>
              <w:rPr/>
            </w:pPr>
            <w:r>
              <w:rPr>
                <w:sz w:val="22"/>
                <w:szCs w:val="22"/>
              </w:rPr>
              <w:t>HTTP</w:t>
            </w:r>
          </w:p>
        </w:tc>
        <w:tc>
          <w:tcPr>
            <w:tcW w:w="7372" w:type="dxa"/>
            <w:tcBorders/>
          </w:tcPr>
          <w:p>
            <w:pPr>
              <w:pStyle w:val="Textodetabela"/>
              <w:rPr/>
            </w:pPr>
            <w:r>
              <w:rPr>
                <w:sz w:val="22"/>
                <w:szCs w:val="22"/>
              </w:rPr>
              <w:t>Hypertext Transfer Protocol</w:t>
            </w:r>
          </w:p>
        </w:tc>
      </w:tr>
      <w:tr>
        <w:trPr/>
        <w:tc>
          <w:tcPr>
            <w:tcW w:w="1699" w:type="dxa"/>
            <w:tcBorders/>
          </w:tcPr>
          <w:p>
            <w:pPr>
              <w:pStyle w:val="Textodetabela"/>
              <w:rPr/>
            </w:pPr>
            <w:r>
              <w:rPr>
                <w:sz w:val="22"/>
                <w:szCs w:val="22"/>
              </w:rPr>
              <w:t>IBGE</w:t>
            </w:r>
          </w:p>
        </w:tc>
        <w:tc>
          <w:tcPr>
            <w:tcW w:w="7372" w:type="dxa"/>
            <w:tcBorders/>
          </w:tcPr>
          <w:p>
            <w:pPr>
              <w:pStyle w:val="Textodetabela"/>
              <w:rPr/>
            </w:pPr>
            <w:r>
              <w:rPr>
                <w:sz w:val="22"/>
                <w:szCs w:val="22"/>
              </w:rPr>
              <w:t>Instituto Brasileiro de Geografia e Estatística</w:t>
            </w:r>
          </w:p>
        </w:tc>
      </w:tr>
      <w:tr>
        <w:trPr/>
        <w:tc>
          <w:tcPr>
            <w:tcW w:w="1699" w:type="dxa"/>
            <w:tcBorders/>
          </w:tcPr>
          <w:p>
            <w:pPr>
              <w:pStyle w:val="Textodetabela"/>
              <w:rPr/>
            </w:pPr>
            <w:r>
              <w:rPr>
                <w:sz w:val="22"/>
                <w:szCs w:val="22"/>
              </w:rPr>
              <w:t>INMET</w:t>
            </w:r>
          </w:p>
        </w:tc>
        <w:tc>
          <w:tcPr>
            <w:tcW w:w="7372" w:type="dxa"/>
            <w:tcBorders/>
          </w:tcPr>
          <w:p>
            <w:pPr>
              <w:pStyle w:val="Textodetabela"/>
              <w:rPr/>
            </w:pPr>
            <w:r>
              <w:rPr>
                <w:sz w:val="22"/>
                <w:szCs w:val="22"/>
              </w:rPr>
              <w:t>Instituto Nacional de Meteorologia</w:t>
            </w:r>
          </w:p>
        </w:tc>
      </w:tr>
      <w:tr>
        <w:trPr/>
        <w:tc>
          <w:tcPr>
            <w:tcW w:w="1699" w:type="dxa"/>
            <w:tcBorders/>
          </w:tcPr>
          <w:p>
            <w:pPr>
              <w:pStyle w:val="Textodetabela"/>
              <w:rPr/>
            </w:pPr>
            <w:r>
              <w:rPr>
                <w:sz w:val="22"/>
                <w:szCs w:val="22"/>
              </w:rPr>
              <w:t>INPE</w:t>
            </w:r>
          </w:p>
        </w:tc>
        <w:tc>
          <w:tcPr>
            <w:tcW w:w="7372" w:type="dxa"/>
            <w:tcBorders/>
          </w:tcPr>
          <w:p>
            <w:pPr>
              <w:pStyle w:val="Textodetabela"/>
              <w:rPr/>
            </w:pPr>
            <w:r>
              <w:rPr>
                <w:sz w:val="22"/>
                <w:szCs w:val="22"/>
              </w:rPr>
              <w:t>Instituto Nacional de Pesquisas Espaciais</w:t>
            </w:r>
          </w:p>
        </w:tc>
      </w:tr>
      <w:tr>
        <w:trPr/>
        <w:tc>
          <w:tcPr>
            <w:tcW w:w="1699" w:type="dxa"/>
            <w:tcBorders/>
          </w:tcPr>
          <w:p>
            <w:pPr>
              <w:pStyle w:val="Textodetabela"/>
              <w:rPr/>
            </w:pPr>
            <w:r>
              <w:rPr>
                <w:sz w:val="22"/>
                <w:szCs w:val="22"/>
              </w:rPr>
              <w:t>IRA</w:t>
            </w:r>
          </w:p>
        </w:tc>
        <w:tc>
          <w:tcPr>
            <w:tcW w:w="7372" w:type="dxa"/>
            <w:tcBorders/>
          </w:tcPr>
          <w:p>
            <w:pPr>
              <w:pStyle w:val="Textodetabela"/>
              <w:rPr/>
            </w:pPr>
            <w:r>
              <w:rPr>
                <w:sz w:val="22"/>
                <w:szCs w:val="22"/>
              </w:rPr>
              <w:t>Índice de Risco de Alagamento</w:t>
            </w:r>
          </w:p>
        </w:tc>
      </w:tr>
      <w:tr>
        <w:trPr/>
        <w:tc>
          <w:tcPr>
            <w:tcW w:w="1699" w:type="dxa"/>
            <w:tcBorders/>
          </w:tcPr>
          <w:p>
            <w:pPr>
              <w:pStyle w:val="Textodetabela"/>
              <w:rPr/>
            </w:pPr>
            <w:r>
              <w:rPr>
                <w:sz w:val="22"/>
                <w:szCs w:val="22"/>
              </w:rPr>
              <w:t>JSON</w:t>
            </w:r>
          </w:p>
        </w:tc>
        <w:tc>
          <w:tcPr>
            <w:tcW w:w="7372" w:type="dxa"/>
            <w:tcBorders/>
          </w:tcPr>
          <w:p>
            <w:pPr>
              <w:pStyle w:val="Textodetabela"/>
              <w:rPr/>
            </w:pPr>
            <w:r>
              <w:rPr>
                <w:sz w:val="22"/>
                <w:szCs w:val="22"/>
              </w:rPr>
              <w:t>JavaScript Object Notation</w:t>
            </w:r>
          </w:p>
        </w:tc>
      </w:tr>
      <w:tr>
        <w:trPr/>
        <w:tc>
          <w:tcPr>
            <w:tcW w:w="1699" w:type="dxa"/>
            <w:tcBorders/>
          </w:tcPr>
          <w:p>
            <w:pPr>
              <w:pStyle w:val="Textodetabela"/>
              <w:rPr/>
            </w:pPr>
            <w:r>
              <w:rPr>
                <w:sz w:val="22"/>
                <w:szCs w:val="22"/>
              </w:rPr>
              <w:t>LGPD</w:t>
            </w:r>
          </w:p>
        </w:tc>
        <w:tc>
          <w:tcPr>
            <w:tcW w:w="7372" w:type="dxa"/>
            <w:tcBorders/>
          </w:tcPr>
          <w:p>
            <w:pPr>
              <w:pStyle w:val="Textodetabela"/>
              <w:rPr/>
            </w:pPr>
            <w:r>
              <w:rPr>
                <w:sz w:val="22"/>
                <w:szCs w:val="22"/>
              </w:rPr>
              <w:t>Lei Geral de Proteção de Dados Pessoais</w:t>
            </w:r>
          </w:p>
        </w:tc>
      </w:tr>
      <w:tr>
        <w:trPr/>
        <w:tc>
          <w:tcPr>
            <w:tcW w:w="1699" w:type="dxa"/>
            <w:tcBorders/>
          </w:tcPr>
          <w:p>
            <w:pPr>
              <w:pStyle w:val="Textodetabela"/>
              <w:rPr/>
            </w:pPr>
            <w:r>
              <w:rPr>
                <w:sz w:val="22"/>
                <w:szCs w:val="22"/>
              </w:rPr>
              <w:t>MVP</w:t>
            </w:r>
          </w:p>
        </w:tc>
        <w:tc>
          <w:tcPr>
            <w:tcW w:w="7372" w:type="dxa"/>
            <w:tcBorders/>
          </w:tcPr>
          <w:p>
            <w:pPr>
              <w:pStyle w:val="Textodetabela"/>
              <w:rPr/>
            </w:pPr>
            <w:r>
              <w:rPr>
                <w:sz w:val="22"/>
                <w:szCs w:val="22"/>
              </w:rPr>
              <w:t>Minimum Viable Product (produto mínimo viável)</w:t>
            </w:r>
          </w:p>
        </w:tc>
      </w:tr>
      <w:tr>
        <w:trPr/>
        <w:tc>
          <w:tcPr>
            <w:tcW w:w="1699" w:type="dxa"/>
            <w:tcBorders/>
          </w:tcPr>
          <w:p>
            <w:pPr>
              <w:pStyle w:val="Textodetabela"/>
              <w:rPr/>
            </w:pPr>
            <w:r>
              <w:rPr>
                <w:sz w:val="22"/>
                <w:szCs w:val="22"/>
              </w:rPr>
              <w:t>OMM</w:t>
            </w:r>
          </w:p>
        </w:tc>
        <w:tc>
          <w:tcPr>
            <w:tcW w:w="7372" w:type="dxa"/>
            <w:tcBorders/>
          </w:tcPr>
          <w:p>
            <w:pPr>
              <w:pStyle w:val="Textodetabela"/>
              <w:rPr/>
            </w:pPr>
            <w:r>
              <w:rPr>
                <w:sz w:val="22"/>
                <w:szCs w:val="22"/>
              </w:rPr>
              <w:t>Organização Meteorológica Mundial</w:t>
            </w:r>
          </w:p>
        </w:tc>
      </w:tr>
      <w:tr>
        <w:trPr/>
        <w:tc>
          <w:tcPr>
            <w:tcW w:w="1699" w:type="dxa"/>
            <w:tcBorders/>
          </w:tcPr>
          <w:p>
            <w:pPr>
              <w:pStyle w:val="Textodetabela"/>
              <w:rPr/>
            </w:pPr>
            <w:r>
              <w:rPr>
                <w:sz w:val="22"/>
                <w:szCs w:val="22"/>
              </w:rPr>
              <w:t>REST</w:t>
            </w:r>
          </w:p>
        </w:tc>
        <w:tc>
          <w:tcPr>
            <w:tcW w:w="7372" w:type="dxa"/>
            <w:tcBorders/>
          </w:tcPr>
          <w:p>
            <w:pPr>
              <w:pStyle w:val="Textodetabela"/>
              <w:rPr/>
            </w:pPr>
            <w:r>
              <w:rPr>
                <w:sz w:val="22"/>
                <w:szCs w:val="22"/>
              </w:rPr>
              <w:t>Representational State Transfer</w:t>
            </w:r>
          </w:p>
        </w:tc>
      </w:tr>
      <w:tr>
        <w:trPr/>
        <w:tc>
          <w:tcPr>
            <w:tcW w:w="1699" w:type="dxa"/>
            <w:tcBorders/>
          </w:tcPr>
          <w:p>
            <w:pPr>
              <w:pStyle w:val="Textodetabela"/>
              <w:rPr/>
            </w:pPr>
            <w:r>
              <w:rPr>
                <w:sz w:val="22"/>
                <w:szCs w:val="22"/>
              </w:rPr>
              <w:t>RF</w:t>
            </w:r>
          </w:p>
        </w:tc>
        <w:tc>
          <w:tcPr>
            <w:tcW w:w="7372" w:type="dxa"/>
            <w:tcBorders/>
          </w:tcPr>
          <w:p>
            <w:pPr>
              <w:pStyle w:val="Textodetabela"/>
              <w:rPr/>
            </w:pPr>
            <w:r>
              <w:rPr>
                <w:sz w:val="22"/>
                <w:szCs w:val="22"/>
              </w:rPr>
              <w:t>Requisito Funcional</w:t>
            </w:r>
          </w:p>
        </w:tc>
      </w:tr>
      <w:tr>
        <w:trPr/>
        <w:tc>
          <w:tcPr>
            <w:tcW w:w="1699" w:type="dxa"/>
            <w:tcBorders/>
          </w:tcPr>
          <w:p>
            <w:pPr>
              <w:pStyle w:val="Textodetabela"/>
              <w:rPr/>
            </w:pPr>
            <w:r>
              <w:rPr>
                <w:sz w:val="22"/>
                <w:szCs w:val="22"/>
              </w:rPr>
              <w:t>RI</w:t>
            </w:r>
          </w:p>
        </w:tc>
        <w:tc>
          <w:tcPr>
            <w:tcW w:w="7372" w:type="dxa"/>
            <w:tcBorders/>
          </w:tcPr>
          <w:p>
            <w:pPr>
              <w:pStyle w:val="Textodetabela"/>
              <w:rPr/>
            </w:pPr>
            <w:r>
              <w:rPr>
                <w:sz w:val="22"/>
                <w:szCs w:val="22"/>
              </w:rPr>
              <w:t>Random Index (índice aleatório do AHP)</w:t>
            </w:r>
          </w:p>
        </w:tc>
      </w:tr>
      <w:tr>
        <w:trPr/>
        <w:tc>
          <w:tcPr>
            <w:tcW w:w="1699" w:type="dxa"/>
            <w:tcBorders/>
          </w:tcPr>
          <w:p>
            <w:pPr>
              <w:pStyle w:val="Textodetabela"/>
              <w:rPr/>
            </w:pPr>
            <w:r>
              <w:rPr>
                <w:sz w:val="22"/>
                <w:szCs w:val="22"/>
              </w:rPr>
              <w:t>RNF</w:t>
            </w:r>
          </w:p>
        </w:tc>
        <w:tc>
          <w:tcPr>
            <w:tcW w:w="7372" w:type="dxa"/>
            <w:tcBorders/>
          </w:tcPr>
          <w:p>
            <w:pPr>
              <w:pStyle w:val="Textodetabela"/>
              <w:rPr/>
            </w:pPr>
            <w:r>
              <w:rPr>
                <w:sz w:val="22"/>
                <w:szCs w:val="22"/>
              </w:rPr>
              <w:t>Requisito Não Funcional</w:t>
            </w:r>
          </w:p>
        </w:tc>
      </w:tr>
      <w:tr>
        <w:trPr/>
        <w:tc>
          <w:tcPr>
            <w:tcW w:w="1699" w:type="dxa"/>
            <w:tcBorders/>
          </w:tcPr>
          <w:p>
            <w:pPr>
              <w:pStyle w:val="Textodetabela"/>
              <w:rPr/>
            </w:pPr>
            <w:r>
              <w:rPr>
                <w:sz w:val="22"/>
                <w:szCs w:val="22"/>
              </w:rPr>
              <w:t>SDK</w:t>
            </w:r>
          </w:p>
        </w:tc>
        <w:tc>
          <w:tcPr>
            <w:tcW w:w="7372" w:type="dxa"/>
            <w:tcBorders/>
          </w:tcPr>
          <w:p>
            <w:pPr>
              <w:pStyle w:val="Textodetabela"/>
              <w:rPr/>
            </w:pPr>
            <w:r>
              <w:rPr>
                <w:sz w:val="22"/>
                <w:szCs w:val="22"/>
              </w:rPr>
              <w:t>Software Development Kit</w:t>
            </w:r>
          </w:p>
        </w:tc>
      </w:tr>
      <w:tr>
        <w:trPr/>
        <w:tc>
          <w:tcPr>
            <w:tcW w:w="1699" w:type="dxa"/>
            <w:tcBorders/>
          </w:tcPr>
          <w:p>
            <w:pPr>
              <w:pStyle w:val="Textodetabela"/>
              <w:rPr/>
            </w:pPr>
            <w:r>
              <w:rPr>
                <w:sz w:val="22"/>
                <w:szCs w:val="22"/>
              </w:rPr>
              <w:t>SQL</w:t>
            </w:r>
          </w:p>
        </w:tc>
        <w:tc>
          <w:tcPr>
            <w:tcW w:w="7372" w:type="dxa"/>
            <w:tcBorders/>
          </w:tcPr>
          <w:p>
            <w:pPr>
              <w:pStyle w:val="Textodetabela"/>
              <w:rPr/>
            </w:pPr>
            <w:r>
              <w:rPr>
                <w:sz w:val="22"/>
                <w:szCs w:val="22"/>
              </w:rPr>
              <w:t>Structured Query Language</w:t>
            </w:r>
          </w:p>
        </w:tc>
      </w:tr>
      <w:tr>
        <w:trPr/>
        <w:tc>
          <w:tcPr>
            <w:tcW w:w="1699" w:type="dxa"/>
            <w:tcBorders/>
          </w:tcPr>
          <w:p>
            <w:pPr>
              <w:pStyle w:val="Textodetabela"/>
              <w:rPr/>
            </w:pPr>
            <w:r>
              <w:rPr>
                <w:sz w:val="22"/>
                <w:szCs w:val="22"/>
              </w:rPr>
              <w:t>SRID</w:t>
            </w:r>
          </w:p>
        </w:tc>
        <w:tc>
          <w:tcPr>
            <w:tcW w:w="7372" w:type="dxa"/>
            <w:tcBorders/>
          </w:tcPr>
          <w:p>
            <w:pPr>
              <w:pStyle w:val="Textodetabela"/>
              <w:rPr/>
            </w:pPr>
            <w:r>
              <w:rPr>
                <w:sz w:val="22"/>
                <w:szCs w:val="22"/>
              </w:rPr>
              <w:t>Spatial Reference System Identifier</w:t>
            </w:r>
          </w:p>
        </w:tc>
      </w:tr>
      <w:tr>
        <w:trPr/>
        <w:tc>
          <w:tcPr>
            <w:tcW w:w="1699" w:type="dxa"/>
            <w:tcBorders/>
          </w:tcPr>
          <w:p>
            <w:pPr>
              <w:pStyle w:val="Textodetabela"/>
              <w:rPr/>
            </w:pPr>
            <w:r>
              <w:rPr>
                <w:sz w:val="22"/>
                <w:szCs w:val="22"/>
              </w:rPr>
              <w:t>TCLE</w:t>
            </w:r>
          </w:p>
        </w:tc>
        <w:tc>
          <w:tcPr>
            <w:tcW w:w="7372" w:type="dxa"/>
            <w:tcBorders/>
          </w:tcPr>
          <w:p>
            <w:pPr>
              <w:pStyle w:val="Textodetabela"/>
              <w:rPr/>
            </w:pPr>
            <w:r>
              <w:rPr>
                <w:sz w:val="22"/>
                <w:szCs w:val="22"/>
              </w:rPr>
              <w:t>Termo de Consentimento Livre e Esclarecido</w:t>
            </w:r>
          </w:p>
        </w:tc>
      </w:tr>
      <w:tr>
        <w:trPr/>
        <w:tc>
          <w:tcPr>
            <w:tcW w:w="1699" w:type="dxa"/>
            <w:tcBorders/>
          </w:tcPr>
          <w:p>
            <w:pPr>
              <w:pStyle w:val="Textodetabela"/>
              <w:rPr/>
            </w:pPr>
            <w:r>
              <w:rPr>
                <w:sz w:val="22"/>
                <w:szCs w:val="22"/>
              </w:rPr>
              <w:t>XML</w:t>
            </w:r>
          </w:p>
        </w:tc>
        <w:tc>
          <w:tcPr>
            <w:tcW w:w="7372" w:type="dxa"/>
            <w:tcBorders/>
          </w:tcPr>
          <w:p>
            <w:pPr>
              <w:pStyle w:val="Textodetabela"/>
              <w:rPr/>
            </w:pPr>
            <w:r>
              <w:rPr>
                <w:sz w:val="22"/>
                <w:szCs w:val="22"/>
              </w:rPr>
              <w:t>Extensible Markup Language</w:t>
            </w:r>
          </w:p>
        </w:tc>
      </w:tr>
    </w:tbl>
    <w:p>
      <w:pPr>
        <w:pStyle w:val="Titulosemnumero"/>
        <w:rPr/>
      </w:pPr>
      <w:r>
        <w:br w:type="page"/>
      </w:r>
      <w:r>
        <w:rPr/>
        <w:t>Sumário</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Vnculodendice"/>
            </w:rPr>
            <w:instrText xml:space="preserve"> TOC \o "1-3" \h</w:instrText>
          </w:r>
          <w:r>
            <w:rPr>
              <w:rStyle w:val="Vnculodendice"/>
            </w:rPr>
            <w:fldChar w:fldCharType="separate"/>
          </w:r>
          <w:hyperlink w:anchor="__RefHeading___Toc3607_984269736" w:tooltip="1 Introdução">
            <w:r>
              <w:rPr>
                <w:rStyle w:val="Vnculodendice"/>
              </w:rPr>
              <w:t>1 Introdução</w:t>
              <w:tab/>
              <w:t>16</w:t>
            </w:r>
          </w:hyperlink>
        </w:p>
        <w:p>
          <w:pPr>
            <w:pStyle w:val="TOC2"/>
            <w:tabs>
              <w:tab w:val="clear" w:pos="720"/>
              <w:tab w:val="right" w:pos="9070" w:leader="dot"/>
            </w:tabs>
            <w:rPr/>
          </w:pPr>
          <w:hyperlink w:anchor="__RefHeading___Toc3609_984269736" w:tooltip="1.1 Objetivos">
            <w:r>
              <w:rPr>
                <w:rStyle w:val="Vnculodendice"/>
              </w:rPr>
              <w:t>1.1 Objetivos</w:t>
              <w:tab/>
              <w:t>17</w:t>
            </w:r>
          </w:hyperlink>
        </w:p>
        <w:p>
          <w:pPr>
            <w:pStyle w:val="TOC3"/>
            <w:tabs>
              <w:tab w:val="clear" w:pos="720"/>
              <w:tab w:val="right" w:pos="9070" w:leader="dot"/>
            </w:tabs>
            <w:rPr/>
          </w:pPr>
          <w:hyperlink w:anchor="__RefHeading___Toc3611_984269736" w:tooltip="1.1.1 Objetivo geral">
            <w:r>
              <w:rPr>
                <w:rStyle w:val="Vnculodendice"/>
              </w:rPr>
              <w:t>1.1.1 Objetivo geral</w:t>
              <w:tab/>
              <w:t>17</w:t>
            </w:r>
          </w:hyperlink>
        </w:p>
        <w:p>
          <w:pPr>
            <w:pStyle w:val="TOC3"/>
            <w:tabs>
              <w:tab w:val="clear" w:pos="720"/>
              <w:tab w:val="right" w:pos="9070" w:leader="dot"/>
            </w:tabs>
            <w:rPr/>
          </w:pPr>
          <w:hyperlink w:anchor="__RefHeading___Toc3613_984269736" w:tooltip="1.1.2 Objetivos específicos">
            <w:r>
              <w:rPr>
                <w:rStyle w:val="Vnculodendice"/>
              </w:rPr>
              <w:t>1.1.2 Objetivos específicos</w:t>
              <w:tab/>
              <w:t>17</w:t>
            </w:r>
          </w:hyperlink>
        </w:p>
        <w:p>
          <w:pPr>
            <w:pStyle w:val="TOC2"/>
            <w:tabs>
              <w:tab w:val="clear" w:pos="720"/>
              <w:tab w:val="right" w:pos="9070" w:leader="dot"/>
            </w:tabs>
            <w:rPr/>
          </w:pPr>
          <w:hyperlink w:anchor="__RefHeading___Toc3615_984269736" w:tooltip="1.2 Justificativa">
            <w:r>
              <w:rPr>
                <w:rStyle w:val="Vnculodendice"/>
              </w:rPr>
              <w:t>1.2 Justificativa</w:t>
              <w:tab/>
              <w:t>18</w:t>
            </w:r>
          </w:hyperlink>
        </w:p>
        <w:p>
          <w:pPr>
            <w:pStyle w:val="TOC2"/>
            <w:tabs>
              <w:tab w:val="clear" w:pos="720"/>
              <w:tab w:val="right" w:pos="9070" w:leader="dot"/>
            </w:tabs>
            <w:rPr/>
          </w:pPr>
          <w:hyperlink w:anchor="__RefHeading___Toc3617_984269736" w:tooltip="1.3 Delimitação do estudo">
            <w:r>
              <w:rPr>
                <w:rStyle w:val="Vnculodendice"/>
              </w:rPr>
              <w:t>1.3 Delimitação do estudo</w:t>
              <w:tab/>
              <w:t>19</w:t>
            </w:r>
          </w:hyperlink>
        </w:p>
        <w:p>
          <w:pPr>
            <w:pStyle w:val="TOC1"/>
            <w:tabs>
              <w:tab w:val="clear" w:pos="720"/>
              <w:tab w:val="right" w:pos="9070" w:leader="dot"/>
            </w:tabs>
            <w:rPr/>
          </w:pPr>
          <w:hyperlink w:anchor="__RefHeading___Toc3619_984269736" w:tooltip="2 Referencial Teórico">
            <w:r>
              <w:rPr>
                <w:rStyle w:val="Vnculodendice"/>
              </w:rPr>
              <w:t>2 Referencial Teórico</w:t>
              <w:tab/>
              <w:t>21</w:t>
            </w:r>
          </w:hyperlink>
        </w:p>
        <w:p>
          <w:pPr>
            <w:pStyle w:val="TOC2"/>
            <w:tabs>
              <w:tab w:val="clear" w:pos="720"/>
              <w:tab w:val="right" w:pos="9070" w:leader="dot"/>
            </w:tabs>
            <w:rPr/>
          </w:pPr>
          <w:hyperlink w:anchor="__RefHeading___Toc3621_984269736" w:tooltip="2.1 Alagamentos urbanos e sistemas de monitoramento">
            <w:r>
              <w:rPr>
                <w:rStyle w:val="Vnculodendice"/>
              </w:rPr>
              <w:t>2.1 Alagamentos urbanos e sistemas de monitoramento</w:t>
              <w:tab/>
              <w:t>21</w:t>
            </w:r>
          </w:hyperlink>
        </w:p>
        <w:p>
          <w:pPr>
            <w:pStyle w:val="TOC2"/>
            <w:tabs>
              <w:tab w:val="clear" w:pos="720"/>
              <w:tab w:val="right" w:pos="9070" w:leader="dot"/>
            </w:tabs>
            <w:rPr/>
          </w:pPr>
          <w:hyperlink w:anchor="__RefHeading___Toc3623_984269736" w:tooltip="2.2 Dados colaborativos e qualidade">
            <w:r>
              <w:rPr>
                <w:rStyle w:val="Vnculodendice"/>
              </w:rPr>
              <w:t>2.2 Dados colaborativos e qualidade</w:t>
              <w:tab/>
              <w:t>21</w:t>
            </w:r>
          </w:hyperlink>
        </w:p>
        <w:p>
          <w:pPr>
            <w:pStyle w:val="TOC2"/>
            <w:tabs>
              <w:tab w:val="clear" w:pos="720"/>
              <w:tab w:val="right" w:pos="9070" w:leader="dot"/>
            </w:tabs>
            <w:rPr/>
          </w:pPr>
          <w:hyperlink w:anchor="__RefHeading___Toc3625_984269736" w:tooltip="2.3 Georreferenciamento e bancos de dados geoespaciais">
            <w:r>
              <w:rPr>
                <w:rStyle w:val="Vnculodendice"/>
              </w:rPr>
              <w:t>2.3 Georreferenciamento e bancos de dados geoespaciais</w:t>
              <w:tab/>
              <w:t>22</w:t>
            </w:r>
          </w:hyperlink>
        </w:p>
        <w:p>
          <w:pPr>
            <w:pStyle w:val="TOC2"/>
            <w:tabs>
              <w:tab w:val="clear" w:pos="720"/>
              <w:tab w:val="right" w:pos="9070" w:leader="dot"/>
            </w:tabs>
            <w:rPr/>
          </w:pPr>
          <w:hyperlink w:anchor="__RefHeading___Toc3627_984269736" w:tooltip="2.4 Indexação espacial: R-tree e GiST">
            <w:r>
              <w:rPr>
                <w:rStyle w:val="Vnculodendice"/>
              </w:rPr>
              <w:t>2.4 Indexação espacial: R-tree e GiST</w:t>
              <w:tab/>
              <w:t>22</w:t>
            </w:r>
          </w:hyperlink>
        </w:p>
        <w:p>
          <w:pPr>
            <w:pStyle w:val="TOC2"/>
            <w:tabs>
              <w:tab w:val="clear" w:pos="720"/>
              <w:tab w:val="right" w:pos="9070" w:leader="dot"/>
            </w:tabs>
            <w:rPr/>
          </w:pPr>
          <w:hyperlink w:anchor="__RefHeading___Toc3629_984269736" w:tooltip="2.5 Integração de sistemas e fusão de dados">
            <w:r>
              <w:rPr>
                <w:rStyle w:val="Vnculodendice"/>
              </w:rPr>
              <w:t>2.5 Integração de sistemas e fusão de dados</w:t>
              <w:tab/>
              <w:t>23</w:t>
            </w:r>
          </w:hyperlink>
        </w:p>
        <w:p>
          <w:pPr>
            <w:pStyle w:val="TOC2"/>
            <w:tabs>
              <w:tab w:val="clear" w:pos="720"/>
              <w:tab w:val="right" w:pos="9070" w:leader="dot"/>
            </w:tabs>
            <w:rPr/>
          </w:pPr>
          <w:hyperlink w:anchor="__RefHeading___Toc3631_984269736" w:tooltip="2.6 Método AHP">
            <w:r>
              <w:rPr>
                <w:rStyle w:val="Vnculodendice"/>
              </w:rPr>
              <w:t>2.6 Método AHP</w:t>
              <w:tab/>
              <w:t>23</w:t>
            </w:r>
          </w:hyperlink>
        </w:p>
        <w:p>
          <w:pPr>
            <w:pStyle w:val="TOC2"/>
            <w:tabs>
              <w:tab w:val="clear" w:pos="720"/>
              <w:tab w:val="right" w:pos="9070" w:leader="dot"/>
            </w:tabs>
            <w:rPr/>
          </w:pPr>
          <w:hyperlink w:anchor="__RefHeading___Toc3633_984269736" w:tooltip="2.7 Intensidade de chuva">
            <w:r>
              <w:rPr>
                <w:rStyle w:val="Vnculodendice"/>
              </w:rPr>
              <w:t>2.7 Intensidade de chuva</w:t>
              <w:tab/>
              <w:t>24</w:t>
            </w:r>
          </w:hyperlink>
        </w:p>
        <w:p>
          <w:pPr>
            <w:pStyle w:val="TOC2"/>
            <w:tabs>
              <w:tab w:val="clear" w:pos="720"/>
              <w:tab w:val="right" w:pos="9070" w:leader="dot"/>
            </w:tabs>
            <w:rPr/>
          </w:pPr>
          <w:hyperlink w:anchor="__RefHeading___Toc3635_984269736" w:tooltip="2.8 Tempo de resposta e qualidade de software">
            <w:r>
              <w:rPr>
                <w:rStyle w:val="Vnculodendice"/>
              </w:rPr>
              <w:t>2.8 Tempo de resposta e qualidade de software</w:t>
              <w:tab/>
              <w:t>24</w:t>
            </w:r>
          </w:hyperlink>
        </w:p>
        <w:p>
          <w:pPr>
            <w:pStyle w:val="TOC2"/>
            <w:tabs>
              <w:tab w:val="clear" w:pos="720"/>
              <w:tab w:val="right" w:pos="9070" w:leader="dot"/>
            </w:tabs>
            <w:rPr/>
          </w:pPr>
          <w:hyperlink w:anchor="__RefHeading___Toc3637_984269736" w:tooltip="2.9 Desenvolvimento Android com Kotlin e XML">
            <w:r>
              <w:rPr>
                <w:rStyle w:val="Vnculodendice"/>
              </w:rPr>
              <w:t>2.9 Desenvolvimento Android com Kotlin e XML</w:t>
              <w:tab/>
              <w:t>25</w:t>
            </w:r>
          </w:hyperlink>
        </w:p>
        <w:p>
          <w:pPr>
            <w:pStyle w:val="TOC2"/>
            <w:tabs>
              <w:tab w:val="clear" w:pos="720"/>
              <w:tab w:val="right" w:pos="9070" w:leader="dot"/>
            </w:tabs>
            <w:rPr/>
          </w:pPr>
          <w:hyperlink w:anchor="__RefHeading___Toc3639_984269736" w:tooltip="2.10 Privacidade e proteção de dados">
            <w:r>
              <w:rPr>
                <w:rStyle w:val="Vnculodendice"/>
              </w:rPr>
              <w:t>2.10 Privacidade e proteção de dados</w:t>
              <w:tab/>
              <w:t>25</w:t>
            </w:r>
          </w:hyperlink>
        </w:p>
        <w:p>
          <w:pPr>
            <w:pStyle w:val="TOC2"/>
            <w:tabs>
              <w:tab w:val="clear" w:pos="720"/>
              <w:tab w:val="right" w:pos="9070" w:leader="dot"/>
            </w:tabs>
            <w:rPr/>
          </w:pPr>
          <w:hyperlink w:anchor="__RefHeading___Toc3641_984269736" w:tooltip="2.11 Trabalhos e soluções correlatas">
            <w:r>
              <w:rPr>
                <w:rStyle w:val="Vnculodendice"/>
              </w:rPr>
              <w:t>2.11 Trabalhos e soluções correlatas</w:t>
              <w:tab/>
              <w:t>25</w:t>
            </w:r>
          </w:hyperlink>
        </w:p>
        <w:p>
          <w:pPr>
            <w:pStyle w:val="TOC1"/>
            <w:tabs>
              <w:tab w:val="clear" w:pos="720"/>
              <w:tab w:val="right" w:pos="9070" w:leader="dot"/>
            </w:tabs>
            <w:rPr/>
          </w:pPr>
          <w:hyperlink w:anchor="__RefHeading___Toc3643_984269736" w:tooltip="3 Pesquisa/Amostragem">
            <w:r>
              <w:rPr>
                <w:rStyle w:val="Vnculodendice"/>
              </w:rPr>
              <w:t>3 Pesquisa/Amostragem</w:t>
              <w:tab/>
              <w:t>27</w:t>
            </w:r>
          </w:hyperlink>
        </w:p>
        <w:p>
          <w:pPr>
            <w:pStyle w:val="TOC2"/>
            <w:tabs>
              <w:tab w:val="clear" w:pos="720"/>
              <w:tab w:val="right" w:pos="9070" w:leader="dot"/>
            </w:tabs>
            <w:rPr/>
          </w:pPr>
          <w:hyperlink w:anchor="__RefHeading___Toc3645_984269736" w:tooltip="3.1 Caracterização da pesquisa">
            <w:r>
              <w:rPr>
                <w:rStyle w:val="Vnculodendice"/>
              </w:rPr>
              <w:t>3.1 Caracterização da pesquisa</w:t>
              <w:tab/>
              <w:t>27</w:t>
            </w:r>
          </w:hyperlink>
        </w:p>
        <w:p>
          <w:pPr>
            <w:pStyle w:val="TOC2"/>
            <w:tabs>
              <w:tab w:val="clear" w:pos="720"/>
              <w:tab w:val="right" w:pos="9070" w:leader="dot"/>
            </w:tabs>
            <w:rPr/>
          </w:pPr>
          <w:hyperlink w:anchor="__RefHeading___Toc3647_984269736" w:tooltip="3.2 Área de estudo e unidade de análise">
            <w:r>
              <w:rPr>
                <w:rStyle w:val="Vnculodendice"/>
              </w:rPr>
              <w:t>3.2 Área de estudo e unidade de análise</w:t>
              <w:tab/>
              <w:t>27</w:t>
            </w:r>
          </w:hyperlink>
        </w:p>
        <w:p>
          <w:pPr>
            <w:pStyle w:val="TOC2"/>
            <w:tabs>
              <w:tab w:val="clear" w:pos="720"/>
              <w:tab w:val="right" w:pos="9070" w:leader="dot"/>
            </w:tabs>
            <w:rPr/>
          </w:pPr>
          <w:hyperlink w:anchor="__RefHeading___Toc3649_984269736" w:tooltip="3.3 Fontes de dados">
            <w:r>
              <w:rPr>
                <w:rStyle w:val="Vnculodendice"/>
              </w:rPr>
              <w:t>3.3 Fontes de dados</w:t>
              <w:tab/>
              <w:t>28</w:t>
            </w:r>
          </w:hyperlink>
        </w:p>
        <w:p>
          <w:pPr>
            <w:pStyle w:val="TOC2"/>
            <w:tabs>
              <w:tab w:val="clear" w:pos="720"/>
              <w:tab w:val="right" w:pos="9070" w:leader="dot"/>
            </w:tabs>
            <w:rPr/>
          </w:pPr>
          <w:hyperlink w:anchor="__RefHeading___Toc3651_984269736" w:tooltip="3.4 Amostragem e dados utilizados">
            <w:r>
              <w:rPr>
                <w:rStyle w:val="Vnculodendice"/>
              </w:rPr>
              <w:t>3.4 Amostragem e dados utilizados</w:t>
              <w:tab/>
              <w:t>28</w:t>
            </w:r>
          </w:hyperlink>
        </w:p>
        <w:p>
          <w:pPr>
            <w:pStyle w:val="TOC2"/>
            <w:tabs>
              <w:tab w:val="clear" w:pos="720"/>
              <w:tab w:val="right" w:pos="9070" w:leader="dot"/>
            </w:tabs>
            <w:rPr/>
          </w:pPr>
          <w:hyperlink w:anchor="__RefHeading___Toc3653_984269736" w:tooltip="3.5 Procedimentos de avaliação">
            <w:r>
              <w:rPr>
                <w:rStyle w:val="Vnculodendice"/>
              </w:rPr>
              <w:t>3.5 Procedimentos de avaliação</w:t>
              <w:tab/>
              <w:t>29</w:t>
            </w:r>
          </w:hyperlink>
        </w:p>
        <w:p>
          <w:pPr>
            <w:pStyle w:val="TOC2"/>
            <w:tabs>
              <w:tab w:val="clear" w:pos="720"/>
              <w:tab w:val="right" w:pos="9070" w:leader="dot"/>
            </w:tabs>
            <w:rPr/>
          </w:pPr>
          <w:hyperlink w:anchor="__RefHeading___Toc3655_984269736" w:tooltip="3.6 Aspectos éticos">
            <w:r>
              <w:rPr>
                <w:rStyle w:val="Vnculodendice"/>
              </w:rPr>
              <w:t>3.6 Aspectos éticos</w:t>
              <w:tab/>
              <w:t>30</w:t>
            </w:r>
          </w:hyperlink>
        </w:p>
        <w:p>
          <w:pPr>
            <w:pStyle w:val="TOC1"/>
            <w:tabs>
              <w:tab w:val="clear" w:pos="720"/>
              <w:tab w:val="right" w:pos="9070" w:leader="dot"/>
            </w:tabs>
            <w:rPr/>
          </w:pPr>
          <w:hyperlink w:anchor="__RefHeading___Toc3657_984269736" w:tooltip="4 Desenvolvimento">
            <w:r>
              <w:rPr>
                <w:rStyle w:val="Vnculodendice"/>
              </w:rPr>
              <w:t>4 Desenvolvimento</w:t>
              <w:tab/>
              <w:t>31</w:t>
            </w:r>
          </w:hyperlink>
        </w:p>
        <w:p>
          <w:pPr>
            <w:pStyle w:val="TOC2"/>
            <w:tabs>
              <w:tab w:val="clear" w:pos="720"/>
              <w:tab w:val="right" w:pos="9070" w:leader="dot"/>
            </w:tabs>
            <w:rPr/>
          </w:pPr>
          <w:hyperlink w:anchor="__RefHeading___Toc3659_984269736" w:tooltip="4.1 Requisitos do Sistema">
            <w:r>
              <w:rPr>
                <w:rStyle w:val="Vnculodendice"/>
              </w:rPr>
              <w:t>4.1 Requisitos do Sistema</w:t>
              <w:tab/>
              <w:t>31</w:t>
            </w:r>
          </w:hyperlink>
        </w:p>
        <w:p>
          <w:pPr>
            <w:pStyle w:val="TOC2"/>
            <w:tabs>
              <w:tab w:val="clear" w:pos="720"/>
              <w:tab w:val="right" w:pos="9070" w:leader="dot"/>
            </w:tabs>
            <w:rPr/>
          </w:pPr>
          <w:hyperlink w:anchor="__RefHeading___Toc3661_984269736" w:tooltip="4.2 Cronograma de Projeto">
            <w:r>
              <w:rPr>
                <w:rStyle w:val="Vnculodendice"/>
              </w:rPr>
              <w:t>4.2 Cronograma de Projeto</w:t>
              <w:tab/>
              <w:t>32</w:t>
            </w:r>
          </w:hyperlink>
        </w:p>
        <w:p>
          <w:pPr>
            <w:pStyle w:val="TOC2"/>
            <w:tabs>
              <w:tab w:val="clear" w:pos="720"/>
              <w:tab w:val="right" w:pos="9070" w:leader="dot"/>
            </w:tabs>
            <w:rPr/>
          </w:pPr>
          <w:hyperlink w:anchor="__RefHeading___Toc3663_984269736" w:tooltip="4.3 Desenho da Arquitetura do Software">
            <w:r>
              <w:rPr>
                <w:rStyle w:val="Vnculodendice"/>
              </w:rPr>
              <w:t>4.3 Desenho da Arquitetura do Software</w:t>
              <w:tab/>
              <w:t>33</w:t>
            </w:r>
          </w:hyperlink>
        </w:p>
        <w:p>
          <w:pPr>
            <w:pStyle w:val="TOC3"/>
            <w:tabs>
              <w:tab w:val="clear" w:pos="720"/>
              <w:tab w:val="right" w:pos="9070" w:leader="dot"/>
            </w:tabs>
            <w:rPr/>
          </w:pPr>
          <w:hyperlink w:anchor="__RefHeading___Toc3665_984269736" w:tooltip="4.3.1 Fluxo do cadastro com risco automático">
            <w:r>
              <w:rPr>
                <w:rStyle w:val="Vnculodendice"/>
              </w:rPr>
              <w:t>4.3.1 Fluxo do cadastro com risco automático</w:t>
              <w:tab/>
              <w:t>35</w:t>
            </w:r>
          </w:hyperlink>
        </w:p>
        <w:p>
          <w:pPr>
            <w:pStyle w:val="TOC3"/>
            <w:tabs>
              <w:tab w:val="clear" w:pos="720"/>
              <w:tab w:val="right" w:pos="9070" w:leader="dot"/>
            </w:tabs>
            <w:rPr/>
          </w:pPr>
          <w:hyperlink w:anchor="__RefHeading___Toc3667_984269736" w:tooltip="4.3.2 Implantação">
            <w:r>
              <w:rPr>
                <w:rStyle w:val="Vnculodendice"/>
              </w:rPr>
              <w:t>4.3.2 Implantação</w:t>
              <w:tab/>
              <w:t>36</w:t>
            </w:r>
          </w:hyperlink>
        </w:p>
        <w:p>
          <w:pPr>
            <w:pStyle w:val="TOC2"/>
            <w:tabs>
              <w:tab w:val="clear" w:pos="720"/>
              <w:tab w:val="right" w:pos="9070" w:leader="dot"/>
            </w:tabs>
            <w:rPr/>
          </w:pPr>
          <w:hyperlink w:anchor="__RefHeading___Toc3669_984269736" w:tooltip="4.4 Desenho do Projeto de Banco de Dados">
            <w:r>
              <w:rPr>
                <w:rStyle w:val="Vnculodendice"/>
              </w:rPr>
              <w:t>4.4 Desenho do Projeto de Banco de Dados</w:t>
              <w:tab/>
              <w:t>37</w:t>
            </w:r>
          </w:hyperlink>
        </w:p>
        <w:p>
          <w:pPr>
            <w:pStyle w:val="TOC2"/>
            <w:tabs>
              <w:tab w:val="clear" w:pos="720"/>
              <w:tab w:val="right" w:pos="9070" w:leader="dot"/>
            </w:tabs>
            <w:rPr/>
          </w:pPr>
          <w:hyperlink w:anchor="__RefHeading___Toc3671_984269736" w:tooltip="4.5 Implementação">
            <w:r>
              <w:rPr>
                <w:rStyle w:val="Vnculodendice"/>
              </w:rPr>
              <w:t>4.5 Implementação</w:t>
              <w:tab/>
              <w:t>38</w:t>
            </w:r>
          </w:hyperlink>
        </w:p>
        <w:p>
          <w:pPr>
            <w:pStyle w:val="TOC3"/>
            <w:tabs>
              <w:tab w:val="clear" w:pos="720"/>
              <w:tab w:val="right" w:pos="9070" w:leader="dot"/>
            </w:tabs>
            <w:rPr/>
          </w:pPr>
          <w:hyperlink w:anchor="__RefHeading___Toc3673_984269736" w:tooltip="4.5.1 Integração das fontes e regra de fusão">
            <w:r>
              <w:rPr>
                <w:rStyle w:val="Vnculodendice"/>
              </w:rPr>
              <w:t>4.5.1 Integração das fontes e regra de fusão</w:t>
              <w:tab/>
              <w:t>38</w:t>
            </w:r>
          </w:hyperlink>
        </w:p>
        <w:p>
          <w:pPr>
            <w:pStyle w:val="TOC3"/>
            <w:tabs>
              <w:tab w:val="clear" w:pos="720"/>
              <w:tab w:val="right" w:pos="9070" w:leader="dot"/>
            </w:tabs>
            <w:rPr/>
          </w:pPr>
          <w:hyperlink w:anchor="__RefHeading___Toc3675_984269736" w:tooltip="4.5.2 Índice de Risco de Alagamento (modelo AHP)">
            <w:r>
              <w:rPr>
                <w:rStyle w:val="Vnculodendice"/>
              </w:rPr>
              <w:t>4.5.2 Índice de Risco de Alagamento (modelo AHP)</w:t>
              <w:tab/>
              <w:t>39</w:t>
            </w:r>
          </w:hyperlink>
        </w:p>
        <w:p>
          <w:pPr>
            <w:pStyle w:val="TOC3"/>
            <w:tabs>
              <w:tab w:val="clear" w:pos="720"/>
              <w:tab w:val="right" w:pos="9070" w:leader="dot"/>
            </w:tabs>
            <w:rPr/>
          </w:pPr>
          <w:hyperlink w:anchor="__RefHeading___Toc3677_984269736" w:tooltip="4.5.3 Aplicativo Android">
            <w:r>
              <w:rPr>
                <w:rStyle w:val="Vnculodendice"/>
              </w:rPr>
              <w:t>4.5.3 Aplicativo Android</w:t>
              <w:tab/>
              <w:t>42</w:t>
            </w:r>
          </w:hyperlink>
        </w:p>
        <w:p>
          <w:pPr>
            <w:pStyle w:val="TOC3"/>
            <w:tabs>
              <w:tab w:val="clear" w:pos="720"/>
              <w:tab w:val="right" w:pos="9070" w:leader="dot"/>
            </w:tabs>
            <w:rPr/>
          </w:pPr>
          <w:hyperlink w:anchor="__RefHeading___Toc3679_984269736" w:tooltip="4.5.4 Repositório e qualidade do código">
            <w:r>
              <w:rPr>
                <w:rStyle w:val="Vnculodendice"/>
              </w:rPr>
              <w:t>4.5.4 Repositório e qualidade do código</w:t>
              <w:tab/>
              <w:t>46</w:t>
            </w:r>
          </w:hyperlink>
        </w:p>
        <w:p>
          <w:pPr>
            <w:pStyle w:val="TOC1"/>
            <w:tabs>
              <w:tab w:val="clear" w:pos="720"/>
              <w:tab w:val="right" w:pos="9070" w:leader="dot"/>
            </w:tabs>
            <w:rPr/>
          </w:pPr>
          <w:hyperlink w:anchor="__RefHeading___Toc3681_984269736" w:tooltip="5 Testes">
            <w:r>
              <w:rPr>
                <w:rStyle w:val="Vnculodendice"/>
              </w:rPr>
              <w:t>5 Testes</w:t>
              <w:tab/>
              <w:t>48</w:t>
            </w:r>
          </w:hyperlink>
        </w:p>
        <w:p>
          <w:pPr>
            <w:pStyle w:val="TOC2"/>
            <w:tabs>
              <w:tab w:val="clear" w:pos="720"/>
              <w:tab w:val="right" w:pos="9070" w:leader="dot"/>
            </w:tabs>
            <w:rPr/>
          </w:pPr>
          <w:hyperlink w:anchor="__RefHeading___Toc3683_984269736" w:tooltip="5.1 Planos de Testes">
            <w:r>
              <w:rPr>
                <w:rStyle w:val="Vnculodendice"/>
              </w:rPr>
              <w:t>5.1 Planos de Testes</w:t>
              <w:tab/>
              <w:t>48</w:t>
            </w:r>
          </w:hyperlink>
        </w:p>
        <w:p>
          <w:pPr>
            <w:pStyle w:val="TOC2"/>
            <w:tabs>
              <w:tab w:val="clear" w:pos="720"/>
              <w:tab w:val="right" w:pos="9070" w:leader="dot"/>
            </w:tabs>
            <w:rPr/>
          </w:pPr>
          <w:hyperlink w:anchor="__RefHeading___Toc3685_984269736" w:tooltip="5.2 Cenários de Testes">
            <w:r>
              <w:rPr>
                <w:rStyle w:val="Vnculodendice"/>
              </w:rPr>
              <w:t>5.2 Cenários de Testes</w:t>
              <w:tab/>
              <w:t>49</w:t>
            </w:r>
          </w:hyperlink>
        </w:p>
        <w:p>
          <w:pPr>
            <w:pStyle w:val="TOC2"/>
            <w:tabs>
              <w:tab w:val="clear" w:pos="720"/>
              <w:tab w:val="right" w:pos="9070" w:leader="dot"/>
            </w:tabs>
            <w:rPr/>
          </w:pPr>
          <w:hyperlink w:anchor="__RefHeading___Toc3687_984269736" w:tooltip="5.3 Resultados">
            <w:r>
              <w:rPr>
                <w:rStyle w:val="Vnculodendice"/>
              </w:rPr>
              <w:t>5.3 Resultados</w:t>
              <w:tab/>
              <w:t>50</w:t>
            </w:r>
          </w:hyperlink>
        </w:p>
        <w:p>
          <w:pPr>
            <w:pStyle w:val="TOC3"/>
            <w:tabs>
              <w:tab w:val="clear" w:pos="720"/>
              <w:tab w:val="right" w:pos="9070" w:leader="dot"/>
            </w:tabs>
            <w:rPr/>
          </w:pPr>
          <w:hyperlink w:anchor="__RefHeading___Toc3689_984269736" w:tooltip="5.3.1 Testes automatizados e funcionais">
            <w:r>
              <w:rPr>
                <w:rStyle w:val="Vnculodendice"/>
              </w:rPr>
              <w:t>5.3.1 Testes automatizados e funcionais</w:t>
              <w:tab/>
              <w:t>50</w:t>
            </w:r>
          </w:hyperlink>
        </w:p>
        <w:p>
          <w:pPr>
            <w:pStyle w:val="TOC3"/>
            <w:tabs>
              <w:tab w:val="clear" w:pos="720"/>
              <w:tab w:val="right" w:pos="9070" w:leader="dot"/>
            </w:tabs>
            <w:rPr/>
          </w:pPr>
          <w:hyperlink w:anchor="__RefHeading___Toc3691_984269736" w:tooltip="5.3.2 Análise de sensibilidade do índice">
            <w:r>
              <w:rPr>
                <w:rStyle w:val="Vnculodendice"/>
              </w:rPr>
              <w:t>5.3.2 Análise de sensibilidade do índice</w:t>
              <w:tab/>
              <w:t>51</w:t>
            </w:r>
          </w:hyperlink>
        </w:p>
        <w:p>
          <w:pPr>
            <w:pStyle w:val="TOC3"/>
            <w:tabs>
              <w:tab w:val="clear" w:pos="720"/>
              <w:tab w:val="right" w:pos="9070" w:leader="dot"/>
            </w:tabs>
            <w:rPr/>
          </w:pPr>
          <w:hyperlink w:anchor="__RefHeading___Toc3693_984269736" w:tooltip="5.3.3 Benchmark de indexação espacial">
            <w:r>
              <w:rPr>
                <w:rStyle w:val="Vnculodendice"/>
              </w:rPr>
              <w:t>5.3.3 Benchmark de indexação espacial</w:t>
              <w:tab/>
              <w:t>51</w:t>
            </w:r>
          </w:hyperlink>
        </w:p>
        <w:p>
          <w:pPr>
            <w:pStyle w:val="TOC3"/>
            <w:tabs>
              <w:tab w:val="clear" w:pos="720"/>
              <w:tab w:val="right" w:pos="9070" w:leader="dot"/>
            </w:tabs>
            <w:rPr/>
          </w:pPr>
          <w:hyperlink w:anchor="__RefHeading___Toc3695_984269736" w:tooltip="5.3.4 Latência da API">
            <w:r>
              <w:rPr>
                <w:rStyle w:val="Vnculodendice"/>
              </w:rPr>
              <w:t>5.3.4 Latência da API</w:t>
              <w:tab/>
              <w:t>54</w:t>
            </w:r>
          </w:hyperlink>
        </w:p>
        <w:p>
          <w:pPr>
            <w:pStyle w:val="TOC3"/>
            <w:tabs>
              <w:tab w:val="clear" w:pos="720"/>
              <w:tab w:val="right" w:pos="9070" w:leader="dot"/>
            </w:tabs>
            <w:rPr/>
          </w:pPr>
          <w:hyperlink w:anchor="__RefHeading___Toc3697_984269736" w:tooltip="5.3.5 Usabilidade">
            <w:r>
              <w:rPr>
                <w:rStyle w:val="Vnculodendice"/>
              </w:rPr>
              <w:t>5.3.5 Usabilidade</w:t>
              <w:tab/>
              <w:t>55</w:t>
            </w:r>
          </w:hyperlink>
        </w:p>
        <w:p>
          <w:pPr>
            <w:pStyle w:val="TOC1"/>
            <w:tabs>
              <w:tab w:val="clear" w:pos="720"/>
              <w:tab w:val="right" w:pos="9070" w:leader="dot"/>
            </w:tabs>
            <w:rPr/>
          </w:pPr>
          <w:hyperlink w:anchor="__RefHeading___Toc3699_984269736" w:tooltip="6 Conclusão">
            <w:r>
              <w:rPr>
                <w:rStyle w:val="Vnculodendice"/>
              </w:rPr>
              <w:t>6 Conclusão</w:t>
              <w:tab/>
              <w:t>58</w:t>
            </w:r>
          </w:hyperlink>
        </w:p>
        <w:p>
          <w:pPr>
            <w:pStyle w:val="TOC2"/>
            <w:tabs>
              <w:tab w:val="clear" w:pos="720"/>
              <w:tab w:val="right" w:pos="9070" w:leader="dot"/>
            </w:tabs>
            <w:rPr/>
          </w:pPr>
          <w:hyperlink w:anchor="__RefHeading___Toc3701_984269736" w:tooltip="6.1 Objetivos atingidos">
            <w:r>
              <w:rPr>
                <w:rStyle w:val="Vnculodendice"/>
              </w:rPr>
              <w:t>6.1 Objetivos atingidos</w:t>
              <w:tab/>
              <w:t>58</w:t>
            </w:r>
          </w:hyperlink>
        </w:p>
        <w:p>
          <w:pPr>
            <w:pStyle w:val="TOC2"/>
            <w:tabs>
              <w:tab w:val="clear" w:pos="720"/>
              <w:tab w:val="right" w:pos="9070" w:leader="dot"/>
            </w:tabs>
            <w:rPr/>
          </w:pPr>
          <w:hyperlink w:anchor="__RefHeading___Toc3703_984269736" w:tooltip="6.2 Limitações">
            <w:r>
              <w:rPr>
                <w:rStyle w:val="Vnculodendice"/>
              </w:rPr>
              <w:t>6.2 Limitações</w:t>
              <w:tab/>
              <w:t>59</w:t>
            </w:r>
          </w:hyperlink>
        </w:p>
        <w:p>
          <w:pPr>
            <w:pStyle w:val="TOC2"/>
            <w:tabs>
              <w:tab w:val="clear" w:pos="720"/>
              <w:tab w:val="right" w:pos="9070" w:leader="dot"/>
            </w:tabs>
            <w:rPr/>
          </w:pPr>
          <w:hyperlink w:anchor="__RefHeading___Toc3705_984269736" w:tooltip="6.3 Trabalhos futuros">
            <w:r>
              <w:rPr>
                <w:rStyle w:val="Vnculodendice"/>
              </w:rPr>
              <w:t>6.3 Trabalhos futuros</w:t>
              <w:tab/>
              <w:t>60</w:t>
            </w:r>
          </w:hyperlink>
        </w:p>
        <w:p>
          <w:pPr>
            <w:pStyle w:val="TOC1"/>
            <w:tabs>
              <w:tab w:val="clear" w:pos="720"/>
              <w:tab w:val="right" w:pos="9070" w:leader="dot"/>
            </w:tabs>
            <w:rPr/>
          </w:pPr>
          <w:hyperlink w:anchor="__RefHeading___Toc3707_984269736" w:tooltip="Referências">
            <w:r>
              <w:rPr>
                <w:rStyle w:val="Vnculodendice"/>
              </w:rPr>
              <w:t>Referências</w:t>
              <w:tab/>
              <w:t>62</w:t>
            </w:r>
          </w:hyperlink>
        </w:p>
        <w:p>
          <w:pPr>
            <w:pStyle w:val="TOC1"/>
            <w:tabs>
              <w:tab w:val="clear" w:pos="720"/>
              <w:tab w:val="right" w:pos="9070" w:leader="dot"/>
            </w:tabs>
            <w:rPr/>
          </w:pPr>
          <w:hyperlink w:anchor="__RefHeading___Toc3709_984269736" w:tooltip="Apêndices">
            <w:r>
              <w:rPr>
                <w:rStyle w:val="Vnculodendice"/>
              </w:rPr>
              <w:t>Apêndices</w:t>
              <w:tab/>
              <w:t>65</w:t>
            </w:r>
          </w:hyperlink>
        </w:p>
        <w:p>
          <w:pPr>
            <w:pStyle w:val="TOC2"/>
            <w:tabs>
              <w:tab w:val="clear" w:pos="720"/>
              <w:tab w:val="right" w:pos="9070" w:leader="dot"/>
            </w:tabs>
            <w:rPr/>
          </w:pPr>
          <w:hyperlink w:anchor="__RefHeading___Toc3711_984269736" w:tooltip="APÊNDICE A – Casos de teste do plano PT-001">
            <w:r>
              <w:rPr>
                <w:rStyle w:val="Vnculodendice"/>
              </w:rPr>
              <w:t>APÊNDICE A – Casos de teste do plano PT-001</w:t>
              <w:tab/>
              <w:t>66</w:t>
            </w:r>
          </w:hyperlink>
        </w:p>
        <w:p>
          <w:pPr>
            <w:pStyle w:val="TOC2"/>
            <w:tabs>
              <w:tab w:val="clear" w:pos="720"/>
              <w:tab w:val="right" w:pos="9070" w:leader="dot"/>
            </w:tabs>
            <w:rPr/>
          </w:pPr>
          <w:hyperlink w:anchor="__RefHeading___Toc3713_984269736" w:tooltip="APÊNDICE B – Questionário da avaliação de usabilidade">
            <w:r>
              <w:rPr>
                <w:rStyle w:val="Vnculodendice"/>
              </w:rPr>
              <w:t>APÊNDICE B – Questionário da avaliação de usabilidade</w:t>
              <w:tab/>
              <w:t>67</w:t>
            </w:r>
          </w:hyperlink>
          <w:r>
            <w:rPr>
              <w:rStyle w:val="Vnculodendice"/>
            </w:rPr>
            <w:fldChar w:fldCharType="end"/>
          </w:r>
        </w:p>
      </w:sdtContent>
    </w:sdt>
    <w:p>
      <w:pPr>
        <w:pStyle w:val="Normal"/>
        <w:spacing w:before="0" w:after="120"/>
        <w:rPr/>
        <w:sectPr>
          <w:type w:val="nextPage"/>
          <w:pgSz w:w="11906" w:h="16838"/>
          <w:pgMar w:left="1701" w:right="1134" w:gutter="0" w:header="0" w:top="1701" w:footer="0" w:bottom="1134"/>
          <w:pgNumType w:fmt="decimal"/>
          <w:formProt w:val="false"/>
          <w:textDirection w:val="lrTb"/>
          <w:docGrid w:type="default" w:linePitch="360" w:charSpace="0"/>
        </w:sectPr>
      </w:pPr>
      <w:r>
        <w:rPr/>
      </w:r>
    </w:p>
    <w:p>
      <w:pPr>
        <w:pStyle w:val="Heading1"/>
        <w:rPr/>
      </w:pPr>
      <w:bookmarkStart w:id="0" w:name="__RefHeading___Toc3607_984269736"/>
      <w:bookmarkStart w:id="1" w:name="_Toc1"/>
      <w:bookmarkEnd w:id="0"/>
      <w:r>
        <w:rPr/>
        <w:t>1 Introdução</w:t>
      </w:r>
      <w:bookmarkEnd w:id="1"/>
    </w:p>
    <w:p>
      <w:pPr>
        <w:pStyle w:val="Normal"/>
        <w:ind w:firstLine="709"/>
        <w:jc w:val="both"/>
        <w:rPr/>
      </w:pPr>
      <w:r>
        <w:rPr/>
        <w:t>A urbanização brasileira é elevada: o Censo Demográfico 2022 registrou 87,41% da população vivendo em áreas urbanas (IBGE, 2024). A concentração populacional, a impermeabilização do solo e a pressão sobre os sistemas de drenagem tornam os eventos de chuva intensa especialmente relevantes para a mobilidade e a segurança. Em paralelo, o IPCC (2023) registra que as mudanças climáticas já afetam os extremos meteorológicos e hidrológicos, o que amplia a necessidade de adaptação e de sistemas de informação que apoiem decisões locais.</w:t>
      </w:r>
    </w:p>
    <w:p>
      <w:pPr>
        <w:pStyle w:val="Normal"/>
        <w:ind w:firstLine="709"/>
        <w:jc w:val="both"/>
        <w:rPr/>
      </w:pPr>
      <w:r>
        <w:rPr/>
        <w:t>Alagamentos urbanos são fenômenos localizados e de evolução rápida. Sua observação pode depender de pluviômetros, radares, previsões meteorológicas, registros institucionais e relatos de cidadãos. A literatura recente mostra que dados colaborativos podem aumentar a resolução espacial do monitoramento, mas também trazem desafios de qualidade, consistência e validação (HELMRICH et al., 2021; SONGCHON; WRIGHT; BEEVERS, 2021; AZIZI et al., 2022).</w:t>
      </w:r>
    </w:p>
    <w:p>
      <w:pPr>
        <w:pStyle w:val="Normal"/>
        <w:ind w:firstLine="709"/>
        <w:jc w:val="both"/>
        <w:rPr/>
      </w:pPr>
      <w:r>
        <w:rPr/>
        <w:t xml:space="preserve">O problema computacional, portanto, não se resume a exibir os dados de uma API em um mapa. É preciso integrar fontes heterogêneas, normalizar unidades e instantes de referência, representar objetos espaciais, executar consultas de proximidade de forma eficiente, registrar a origem dos dados e produzir uma síntese interpretável. A questão de pesquisa que orientou o trabalho foi: </w:t>
      </w:r>
      <w:r>
        <w:rPr>
          <w:b/>
          <w:bCs/>
        </w:rPr>
        <w:t>como desenvolver e avaliar um sistema computacional capaz de integrar múltiplas fontes meteorológicas e registros colaborativos georreferenciados, produzindo um indicador de risco de alagamento e mantendo desempenho adequado nas consultas espaciais de um aplicativo móvel?</w:t>
      </w:r>
    </w:p>
    <w:p>
      <w:pPr>
        <w:pStyle w:val="Normal"/>
        <w:ind w:firstLine="709"/>
        <w:jc w:val="both"/>
        <w:rPr/>
      </w:pPr>
      <w:r>
        <w:rPr/>
        <w:t>A hipótese de trabalho foi que uma arquitetura com fusão de dados, armazenamento geoespacial indexado e regras explícitas de classificação produziria uma síntese mais útil do que a apresentação isolada de cada fonte, desde que os limites de qualidade dos dados e do próprio índice fossem explicitados e avaliados.</w:t>
      </w:r>
    </w:p>
    <w:p>
      <w:pPr>
        <w:pStyle w:val="Normal"/>
        <w:ind w:firstLine="709"/>
        <w:jc w:val="both"/>
        <w:rPr/>
      </w:pPr>
      <w:r>
        <w:rPr/>
        <w:t>Para responder à questão, o trabalho seguiu a Design Science Research (DSR), abordagem voltada à construção e à avaliação de artefatos (HEVNER et al., 2004; DRESCH; LACERDA; ANTUNES JÚNIOR, 2015). O artefato construído é composto por um aplicativo Android, uma API REST e um banco de dados geoespacial, e foi avaliado por testes automatizados e funcionais, análise de sensibilidade do índice de risco, benchmark de indexação espacial, medição de latência e avaliação de usabilidade.</w:t>
      </w:r>
    </w:p>
    <w:p>
      <w:pPr>
        <w:pStyle w:val="Normal"/>
        <w:ind w:firstLine="709"/>
        <w:jc w:val="both"/>
        <w:rPr/>
      </w:pPr>
      <w:r>
        <w:rPr/>
        <w:t>O trabalho está organizado em seis capítulos. Este capítulo apresenta os objetivos, a justificativa e a delimitação. O Capítulo 2 reúne o referencial teórico: alagamentos urbanos, dados colaborativos, bancos geoespaciais e indexação espacial, fusão de dados, o método AHP, limites de tempo de resposta e privacidade. O Capítulo 3 descreve o tipo de pesquisa, a área de estudo, as fontes e os dados utilizados e os procedimentos de avaliação. O Capítulo 4 apresenta o desenvolvimento: requisitos, cronograma, arquitetura, banco de dados e implementação. O Capítulo 5 descreve os planos e cenários de testes e os resultados obtidos, e o Capítulo 6 traz a conclusão, as limitações e os trabalhos futuros.</w:t>
      </w:r>
    </w:p>
    <w:p>
      <w:pPr>
        <w:pStyle w:val="Heading2"/>
        <w:rPr/>
      </w:pPr>
      <w:bookmarkStart w:id="2" w:name="__RefHeading___Toc3609_984269736"/>
      <w:bookmarkStart w:id="3" w:name="_Toc2"/>
      <w:bookmarkEnd w:id="2"/>
      <w:r>
        <w:rPr/>
        <w:t>1.1 Objetivos</w:t>
      </w:r>
      <w:bookmarkEnd w:id="3"/>
    </w:p>
    <w:p>
      <w:pPr>
        <w:pStyle w:val="Heading3"/>
        <w:rPr/>
      </w:pPr>
      <w:bookmarkStart w:id="4" w:name="__RefHeading___Toc3611_984269736"/>
      <w:bookmarkStart w:id="5" w:name="_Toc3"/>
      <w:bookmarkEnd w:id="4"/>
      <w:r>
        <w:rPr/>
        <w:t>1.1.1 Objetivo geral</w:t>
      </w:r>
      <w:bookmarkEnd w:id="5"/>
    </w:p>
    <w:p>
      <w:pPr>
        <w:pStyle w:val="Normal"/>
        <w:ind w:firstLine="709"/>
        <w:jc w:val="both"/>
        <w:rPr/>
      </w:pPr>
      <w:r>
        <w:rPr/>
        <w:t>Desenvolver e avaliar um sistema computacional colaborativo de classificação do risco de alagamento para o município de São Caetano do Sul, que integre múltiplas fontes meteorológicas e relatos georreferenciados de usuários, calcule um Índice de Risco de Alagamento (IRA) com regras e pesos explícitos e mantenha desempenho adequado nas consultas espaciais.</w:t>
      </w:r>
    </w:p>
    <w:p>
      <w:pPr>
        <w:pStyle w:val="Heading3"/>
        <w:rPr/>
      </w:pPr>
      <w:bookmarkStart w:id="6" w:name="__RefHeading___Toc3613_984269736"/>
      <w:bookmarkStart w:id="7" w:name="_Toc4"/>
      <w:bookmarkEnd w:id="6"/>
      <w:r>
        <w:rPr/>
        <w:t>1.1.2 Objetivos específicos</w:t>
      </w:r>
      <w:bookmarkEnd w:id="7"/>
    </w:p>
    <w:p>
      <w:pPr>
        <w:pStyle w:val="ListParagraph"/>
        <w:numPr>
          <w:ilvl w:val="0"/>
          <w:numId w:val="12"/>
        </w:numPr>
        <w:jc w:val="both"/>
        <w:rPr/>
      </w:pPr>
      <w:r>
        <w:rPr/>
        <w:t>levantar e testar fontes de dados meteorológicos quanto a acesso, variáveis, atualização e restrições de uso;</w:t>
      </w:r>
    </w:p>
    <w:p>
      <w:pPr>
        <w:pStyle w:val="ListParagraph"/>
        <w:numPr>
          <w:ilvl w:val="0"/>
          <w:numId w:val="1"/>
        </w:numPr>
        <w:jc w:val="both"/>
        <w:rPr/>
      </w:pPr>
      <w:r>
        <w:rPr/>
        <w:t>definir uma arquitetura em camadas para aplicativo Android, serviços e persistência geoespacial;</w:t>
      </w:r>
    </w:p>
    <w:p>
      <w:pPr>
        <w:pStyle w:val="ListParagraph"/>
        <w:numPr>
          <w:ilvl w:val="0"/>
          <w:numId w:val="1"/>
        </w:numPr>
        <w:jc w:val="both"/>
        <w:rPr/>
      </w:pPr>
      <w:r>
        <w:rPr/>
        <w:t>implementar o aplicativo Android em Kotlin com interfaces XML (Android Views) e mapa interativo;</w:t>
      </w:r>
    </w:p>
    <w:p>
      <w:pPr>
        <w:pStyle w:val="ListParagraph"/>
        <w:numPr>
          <w:ilvl w:val="0"/>
          <w:numId w:val="1"/>
        </w:numPr>
        <w:jc w:val="both"/>
        <w:rPr/>
      </w:pPr>
      <w:r>
        <w:rPr/>
        <w:t>implementar uma API REST em FastAPI com contratos documentados em OpenAPI;</w:t>
      </w:r>
    </w:p>
    <w:p>
      <w:pPr>
        <w:pStyle w:val="ListParagraph"/>
        <w:numPr>
          <w:ilvl w:val="0"/>
          <w:numId w:val="1"/>
        </w:numPr>
        <w:jc w:val="both"/>
        <w:rPr/>
      </w:pPr>
      <w:r>
        <w:rPr/>
        <w:t>modelar os dados espaciais em PostgreSQL/PostGIS, com sistema de referência explícito e índice espacial;</w:t>
      </w:r>
    </w:p>
    <w:p>
      <w:pPr>
        <w:pStyle w:val="ListParagraph"/>
        <w:numPr>
          <w:ilvl w:val="0"/>
          <w:numId w:val="1"/>
        </w:numPr>
        <w:jc w:val="both"/>
        <w:rPr/>
      </w:pPr>
      <w:r>
        <w:rPr/>
        <w:t>implementar o registro colaborativo de ocorrências com localização, data e hora e origem;</w:t>
      </w:r>
    </w:p>
    <w:p>
      <w:pPr>
        <w:pStyle w:val="ListParagraph"/>
        <w:numPr>
          <w:ilvl w:val="0"/>
          <w:numId w:val="1"/>
        </w:numPr>
        <w:jc w:val="both"/>
        <w:rPr/>
      </w:pPr>
      <w:r>
        <w:rPr/>
        <w:t>definir uma regra explícita de fusão para fontes que medem a mesma variável;</w:t>
      </w:r>
    </w:p>
    <w:p>
      <w:pPr>
        <w:pStyle w:val="ListParagraph"/>
        <w:numPr>
          <w:ilvl w:val="0"/>
          <w:numId w:val="1"/>
        </w:numPr>
        <w:jc w:val="both"/>
        <w:rPr/>
      </w:pPr>
      <w:r>
        <w:rPr/>
        <w:t>propor, justificar e implementar o IRA, com pesos obtidos pelo método AHP e análise de sensibilidade;</w:t>
      </w:r>
    </w:p>
    <w:p>
      <w:pPr>
        <w:pStyle w:val="ListParagraph"/>
        <w:numPr>
          <w:ilvl w:val="0"/>
          <w:numId w:val="1"/>
        </w:numPr>
        <w:jc w:val="both"/>
        <w:rPr/>
      </w:pPr>
      <w:r>
        <w:rPr/>
        <w:t>comparar consultas espaciais com e sem índice GiST em massas de dados controladas;</w:t>
      </w:r>
    </w:p>
    <w:p>
      <w:pPr>
        <w:pStyle w:val="ListParagraph"/>
        <w:numPr>
          <w:ilvl w:val="0"/>
          <w:numId w:val="1"/>
        </w:numPr>
        <w:jc w:val="both"/>
        <w:rPr/>
      </w:pPr>
      <w:r>
        <w:rPr/>
        <w:t>medir a latência das operações críticas contra critérios definidos antes da medição;</w:t>
      </w:r>
    </w:p>
    <w:p>
      <w:pPr>
        <w:pStyle w:val="ListParagraph"/>
        <w:numPr>
          <w:ilvl w:val="0"/>
          <w:numId w:val="1"/>
        </w:numPr>
        <w:jc w:val="both"/>
        <w:rPr/>
      </w:pPr>
      <w:r>
        <w:rPr/>
        <w:t>realizar testes funcionais, de integração e de usabilidade;</w:t>
      </w:r>
    </w:p>
    <w:p>
      <w:pPr>
        <w:pStyle w:val="ListParagraph"/>
        <w:numPr>
          <w:ilvl w:val="0"/>
          <w:numId w:val="1"/>
        </w:numPr>
        <w:jc w:val="both"/>
        <w:rPr/>
      </w:pPr>
      <w:r>
        <w:rPr/>
        <w:t>documentar as limitações e as condições de validade do protótipo.</w:t>
      </w:r>
    </w:p>
    <w:p>
      <w:pPr>
        <w:pStyle w:val="Heading2"/>
        <w:rPr/>
      </w:pPr>
      <w:bookmarkStart w:id="8" w:name="__RefHeading___Toc3615_984269736"/>
      <w:bookmarkStart w:id="9" w:name="_Toc5"/>
      <w:bookmarkEnd w:id="8"/>
      <w:r>
        <w:rPr/>
        <w:t>1.2 Justificativa</w:t>
      </w:r>
      <w:bookmarkEnd w:id="9"/>
    </w:p>
    <w:p>
      <w:pPr>
        <w:pStyle w:val="Normal"/>
        <w:ind w:firstLine="709"/>
        <w:jc w:val="both"/>
        <w:rPr/>
      </w:pPr>
      <w:r>
        <w:rPr/>
        <w:t xml:space="preserve">A relevância social do trabalho decorre do impacto dos alagamentos sobre os deslocamentos urbanos e a segurança das pessoas. Um morador que sabe, antes de sair, que há relatos recentes de alagamento perto do seu trajeto e que a chuva prevista é intensa pode mudar o horário ou o caminho. Trabalhos recentes apontam o potencial do </w:t>
      </w:r>
      <w:r>
        <w:rPr>
          <w:i/>
          <w:iCs/>
        </w:rPr>
        <w:t>crowdsourcing</w:t>
      </w:r>
      <w:r>
        <w:rPr/>
        <w:t xml:space="preserve"> para o monitoramento de inundações urbanas, mas ressaltam limitações de confiabilidade e consistência, o que justifica uma arquitetura que não trate os relatos colaborativos como verdade absoluta (HELMRICH et al., 2021; MARCHEZINI et al., 2022).</w:t>
      </w:r>
    </w:p>
    <w:p>
      <w:pPr>
        <w:pStyle w:val="Normal"/>
        <w:ind w:firstLine="709"/>
        <w:jc w:val="both"/>
        <w:rPr/>
      </w:pPr>
      <w:r>
        <w:rPr/>
        <w:t>A relevância computacional decorre da necessidade de integrar sistemas distribuídos, representar dados espaciais, tratar a qualidade e a origem dos dados, desenvolver regras de classificação e medir o desempenho. O uso de mais de uma fonte meteorológica reduz a dependência de um único provedor e permite estudar as divergências entre os dados — o que só faz sentido com uma regra de consolidação explícita, já que usar várias APIs, por si só, não caracteriza fusão de dados.</w:t>
      </w:r>
    </w:p>
    <w:p>
      <w:pPr>
        <w:pStyle w:val="Normal"/>
        <w:ind w:firstLine="709"/>
        <w:jc w:val="both"/>
        <w:rPr/>
      </w:pPr>
      <w:r>
        <w:rPr/>
        <w:t>A relevância acadêmica é reforçada pela avaliação experimental. Em vez de afirmar que um índice espacial garante determinada complexidade assintótica, o trabalho mediu tempos e planos de execução em cenários controlados, com e sem o índice GiST e com volumes de dados de 1 mil a 1 milhão de registros. Da mesma forma, os pesos do índice de risco não foram apresentados como verdade física: foram obtidos por um método com verificação de consistência e submetidos a análise de sensibilidade.</w:t>
      </w:r>
    </w:p>
    <w:p>
      <w:pPr>
        <w:pStyle w:val="Heading2"/>
        <w:rPr/>
      </w:pPr>
      <w:bookmarkStart w:id="10" w:name="__RefHeading___Toc3617_984269736"/>
      <w:bookmarkStart w:id="11" w:name="_Toc6"/>
      <w:bookmarkEnd w:id="10"/>
      <w:r>
        <w:rPr/>
        <w:t>1.3 Delimitação do estudo</w:t>
      </w:r>
      <w:bookmarkEnd w:id="11"/>
    </w:p>
    <w:p>
      <w:pPr>
        <w:pStyle w:val="Normal"/>
        <w:ind w:firstLine="709"/>
        <w:jc w:val="both"/>
        <w:rPr/>
      </w:pPr>
      <w:r>
        <w:rPr>
          <w:b/>
          <w:bCs/>
        </w:rPr>
        <w:t>Espaço.</w:t>
      </w:r>
      <w:r>
        <w:rPr/>
        <w:t xml:space="preserve"> O estudo foi delimitado ao município de São Caetano do Sul, no ABC Paulista, com 15,4 km² de área territorial e 165.655 habitantes no Censo 2022 (IBGE, 2026). A escolha, feita pelo grupo em 03/09/2026, considerou a área compacta e densamente urbanizada, a proximidade com a universidade e a possibilidade de cobrir o município inteiro com um único código de previsão do INMET. O aplicativo e a API aceitam apenas ocorrências dentro do município; a API recusa coordenadas fora de um retângulo aproximado de seus limites.</w:t>
      </w:r>
    </w:p>
    <w:p>
      <w:pPr>
        <w:pStyle w:val="Normal"/>
        <w:ind w:firstLine="709"/>
        <w:jc w:val="both"/>
        <w:rPr/>
      </w:pPr>
      <w:r>
        <w:rPr>
          <w:b/>
          <w:bCs/>
        </w:rPr>
        <w:t>Tempo.</w:t>
      </w:r>
      <w:r>
        <w:rPr/>
        <w:t xml:space="preserve"> O desenvolvimento ocorreu entre julho e outubro de 2026, no TCC II. As medições e os testes foram feitos entre 03/10 e 16/10/2026.</w:t>
      </w:r>
    </w:p>
    <w:p>
      <w:pPr>
        <w:pStyle w:val="Normal"/>
        <w:ind w:firstLine="709"/>
        <w:jc w:val="both"/>
        <w:rPr/>
      </w:pPr>
      <w:r>
        <w:rPr>
          <w:b/>
          <w:bCs/>
        </w:rPr>
        <w:t>Escopo.</w:t>
      </w:r>
      <w:r>
        <w:rPr/>
        <w:t xml:space="preserve"> O trabalho é um MVP acadêmico. Não foram instalados sensores físicos, desenvolvidos modelos hidrológicos ou hidráulicos, feitas previsões oficiais de alagamento, usados modelos de aprendizado de máquina nem estabelecida integração institucional com a Defesa Civil ou a prefeitura. O sistema não deve ser apresentado como mecanismo de segurança crítica. A aplicação é Android nativa, com interfaces em XML; o Jetpack Compose, previsto no TCC I, foi substituído para reduzir o risco tecnológico e concentrar o esforço da equipe no problema central. O protótipo não implementa autenticação real de usuários.</w:t>
      </w:r>
    </w:p>
    <w:p>
      <w:pPr>
        <w:pStyle w:val="Normal"/>
        <w:ind w:firstLine="709"/>
        <w:jc w:val="both"/>
        <w:rPr/>
      </w:pPr>
      <w:r>
        <w:rPr>
          <w:b/>
          <w:bCs/>
        </w:rPr>
        <w:t>Ajustes de escopo documentados.</w:t>
      </w:r>
      <w:r>
        <w:rPr/>
        <w:t xml:space="preserve"> O orientador autorizou ajustar o escopo desde que o motivo ficasse registrado. Ao longo do desenvolvimento, as seguintes decisões foram tomadas:</w:t>
      </w:r>
    </w:p>
    <w:p>
      <w:pPr>
        <w:pStyle w:val="ListParagraph"/>
        <w:numPr>
          <w:ilvl w:val="0"/>
          <w:numId w:val="13"/>
        </w:numPr>
        <w:jc w:val="both"/>
        <w:rPr/>
      </w:pPr>
      <w:r>
        <w:rPr>
          <w:b/>
          <w:bCs/>
        </w:rPr>
        <w:t>agosto de 2026:</w:t>
      </w:r>
      <w:r>
        <w:rPr/>
        <w:t xml:space="preserve"> CEMADEN e o dado de estação em tempo real do INMET foram descartados — o primeiro exige autenticação sem procedimento público documentado, e o segundo é protegido por reCAPTCHA; a ANA (rede hidrometeorológica) e o CPTEC/INPE assumiram os papéis de pluviômetro local e de previsão de referência;</w:t>
      </w:r>
    </w:p>
    <w:p>
      <w:pPr>
        <w:pStyle w:val="ListParagraph"/>
        <w:numPr>
          <w:ilvl w:val="0"/>
          <w:numId w:val="1"/>
        </w:numPr>
        <w:jc w:val="both"/>
        <w:rPr/>
      </w:pPr>
      <w:r>
        <w:rPr>
          <w:b/>
          <w:bCs/>
        </w:rPr>
        <w:t>03/09/2026:</w:t>
      </w:r>
      <w:r>
        <w:rPr/>
        <w:t xml:space="preserve"> a área de estudo foi definida como São Caetano do Sul; a estação meteorológica do campus da USCS passou a ser investigada como alternativa de pluviômetro;</w:t>
      </w:r>
    </w:p>
    <w:p>
      <w:pPr>
        <w:pStyle w:val="ListParagraph"/>
        <w:numPr>
          <w:ilvl w:val="0"/>
          <w:numId w:val="1"/>
        </w:numPr>
        <w:jc w:val="both"/>
        <w:rPr/>
      </w:pPr>
      <w:r>
        <w:rPr>
          <w:b/>
          <w:bCs/>
        </w:rPr>
        <w:t>06/10/2026:</w:t>
      </w:r>
      <w:r>
        <w:rPr/>
        <w:t xml:space="preserve"> o CPTEC passou a negar acesso (HTTP 403) e foi substituído pela API de previsão e avisos do INMET, no mesmo papel de referência qualitativa;</w:t>
      </w:r>
    </w:p>
    <w:p>
      <w:pPr>
        <w:pStyle w:val="ListParagraph"/>
        <w:numPr>
          <w:ilvl w:val="0"/>
          <w:numId w:val="1"/>
        </w:numPr>
        <w:jc w:val="both"/>
        <w:rPr/>
      </w:pPr>
      <w:r>
        <w:rPr>
          <w:b/>
          <w:bCs/>
        </w:rPr>
        <w:t>16/10/2026:</w:t>
      </w:r>
      <w:r>
        <w:rPr/>
        <w:t xml:space="preserve"> a ANA e a estação da USCS foram retiradas — o cadastro na ANA, pedido em agosto, nunca foi aprovado, e a estação não teve resposta; a Open-Meteo entrou como segunda fonte de chuva atual e previsão, com regra de fusão explícita, e o modelo de risco passou de quatro para três critérios.</w:t>
      </w:r>
    </w:p>
    <w:p>
      <w:pPr>
        <w:pStyle w:val="Normal"/>
        <w:ind w:firstLine="709"/>
        <w:jc w:val="both"/>
        <w:rPr/>
      </w:pPr>
      <w:r>
        <w:rPr>
          <w:b/>
          <w:bCs/>
        </w:rPr>
        <w:t>Privacidade.</w:t>
      </w:r>
      <w:r>
        <w:rPr/>
        <w:t xml:space="preserve"> A geolocalização foi tratada como dado pessoal (ANPD, 2026). O sistema guarda apenas o ponto da ocorrência, sem trajetórias; o perfil do usuário fica só no aparelho, e o servidor recebe apenas um identificador gerado pelo próprio aplicativo.</w:t>
      </w:r>
    </w:p>
    <w:p>
      <w:pPr>
        <w:pStyle w:val="Heading1"/>
        <w:pageBreakBefore/>
        <w:rPr/>
      </w:pPr>
      <w:bookmarkStart w:id="12" w:name="__RefHeading___Toc3619_984269736"/>
      <w:bookmarkStart w:id="13" w:name="_Toc7"/>
      <w:bookmarkEnd w:id="12"/>
      <w:r>
        <w:rPr/>
        <w:t>2 Referencial Teórico</w:t>
      </w:r>
      <w:bookmarkEnd w:id="13"/>
    </w:p>
    <w:p>
      <w:pPr>
        <w:pStyle w:val="Normal"/>
        <w:ind w:firstLine="709"/>
        <w:jc w:val="both"/>
        <w:rPr/>
      </w:pPr>
      <w:r>
        <w:rPr/>
        <w:t>O referencial conecta o problema urbano aos elementos computacionais projetados e avaliados no trabalho. Cada seção justifica uma decisão técnica: dados colaborativos exigem discussão de qualidade; localização exige modelagem geoespacial; volume exige indexação; múltiplas fontes exigem normalização e fusão; classificação exige regras justificáveis; e desempenho exige critérios verificáveis.</w:t>
      </w:r>
    </w:p>
    <w:p>
      <w:pPr>
        <w:pStyle w:val="Heading2"/>
        <w:rPr/>
      </w:pPr>
      <w:bookmarkStart w:id="14" w:name="__RefHeading___Toc3621_984269736"/>
      <w:bookmarkStart w:id="15" w:name="_Toc8"/>
      <w:bookmarkEnd w:id="14"/>
      <w:r>
        <w:rPr/>
        <w:t>2.1 Alagamentos urbanos e sistemas de monitoramento</w:t>
      </w:r>
      <w:bookmarkEnd w:id="15"/>
    </w:p>
    <w:p>
      <w:pPr>
        <w:pStyle w:val="Normal"/>
        <w:ind w:firstLine="709"/>
        <w:jc w:val="both"/>
        <w:rPr/>
      </w:pPr>
      <w:r>
        <w:rPr/>
        <w:t>Neste trabalho, alagamento é o acúmulo temporário de água em superfície urbana, associado à chuva e à capacidade insuficiente de infiltração ou drenagem local. O termo não é usado como sinônimo de inundação fluvial ou enxurrada, porque o artefato não modela a vazão de rios nem a dinâmica hidráulica: ele trabalha com indícios meteorológicos e com ocorrências urbanas georreferenciadas.</w:t>
      </w:r>
    </w:p>
    <w:p>
      <w:pPr>
        <w:pStyle w:val="Normal"/>
        <w:ind w:firstLine="709"/>
        <w:jc w:val="both"/>
        <w:rPr/>
      </w:pPr>
      <w:r>
        <w:rPr/>
        <w:t>A urbanização modifica o ciclo hidrológico ao aumentar as superfícies impermeáveis e o escoamento superficial. Em cidades, episódios de chuva intensa podem produzir efeitos localizados e rápidos, difíceis de observar por redes de baixa densidade espacial. O monitoramento institucional emprega estações, radares, modelos e redes de pluviômetros — o CEMADEN, por exemplo, mantém uma rede de pluviômetros automáticos para apoiar a análise de cenários de risco e a emissão de alertas, e alerta que os dados brutos podem conter inconsistências (CEMADEN, 2026).</w:t>
      </w:r>
    </w:p>
    <w:p>
      <w:pPr>
        <w:pStyle w:val="Heading2"/>
        <w:rPr/>
      </w:pPr>
      <w:bookmarkStart w:id="16" w:name="__RefHeading___Toc3623_984269736"/>
      <w:bookmarkStart w:id="17" w:name="_Toc9"/>
      <w:bookmarkEnd w:id="16"/>
      <w:r>
        <w:rPr/>
        <w:t>2.2 Dados colaborativos e qualidade</w:t>
      </w:r>
      <w:bookmarkEnd w:id="17"/>
    </w:p>
    <w:p>
      <w:pPr>
        <w:pStyle w:val="Normal"/>
        <w:ind w:firstLine="709"/>
        <w:jc w:val="both"/>
        <w:rPr/>
      </w:pPr>
      <w:r>
        <w:rPr/>
        <w:t xml:space="preserve">O monitoramento colaborativo complementa as fontes institucionais com observações locais. Helmrich et al. (2021) mostram que o </w:t>
      </w:r>
      <w:r>
        <w:rPr>
          <w:i/>
          <w:iCs/>
        </w:rPr>
        <w:t>crowdsourcing</w:t>
      </w:r>
      <w:r>
        <w:rPr/>
        <w:t xml:space="preserve"> pode fornecer dados em escalas espaciais finas, mas que a qualidade, a consistência e a continuidade da participação permanecem desafios. Songchon, Wright e Beevers (2021) demonstram a necessidade de avaliar a qualidade de dados colaborativos considerando seus atributos espaciais e temporais, e Azizi et al. (2022) revisam abordagens comunitárias para alagamentos pluviais urbanos.</w:t>
      </w:r>
    </w:p>
    <w:p>
      <w:pPr>
        <w:pStyle w:val="Normal"/>
        <w:ind w:firstLine="709"/>
        <w:jc w:val="both"/>
        <w:rPr/>
      </w:pPr>
      <w:r>
        <w:rPr/>
        <w:t>Dessas referências decorrem três princípios adotados no sistema: o relato do cidadão é evidência, não medição instrumental; sua relevância decai com a distância e com o tempo; e um relato isolado não deve, sozinho, alterar a avaliação de uma região.</w:t>
      </w:r>
    </w:p>
    <w:p>
      <w:pPr>
        <w:pStyle w:val="Heading2"/>
        <w:rPr/>
      </w:pPr>
      <w:bookmarkStart w:id="18" w:name="__RefHeading___Toc3625_984269736"/>
      <w:bookmarkStart w:id="19" w:name="_Toc10"/>
      <w:bookmarkEnd w:id="18"/>
      <w:r>
        <w:rPr/>
        <w:t>2.3 Georreferenciamento e bancos de dados geoespaciais</w:t>
      </w:r>
      <w:bookmarkEnd w:id="19"/>
    </w:p>
    <w:p>
      <w:pPr>
        <w:pStyle w:val="Normal"/>
        <w:ind w:firstLine="709"/>
        <w:jc w:val="both"/>
        <w:rPr/>
      </w:pPr>
      <w:r>
        <w:rPr/>
        <w:t>Georreferenciar é associar entidades a posições em um sistema de referência espacial. Em aplicações urbanas, ocorrências são representadas como pontos; áreas de interesse, como polígonos. Um banco espacial estende o modelo relacional com tipos, operadores, sistemas de referência e índices próprios para objetos multidimensionais. O PostGIS estende o PostgreSQL com operações de proximidade, relações espaciais e transformação de coordenadas (OBE; HSU, 2021).</w:t>
      </w:r>
    </w:p>
    <w:p>
      <w:pPr>
        <w:pStyle w:val="Normal"/>
        <w:ind w:firstLine="709"/>
        <w:jc w:val="both"/>
        <w:rPr/>
      </w:pPr>
      <w:r>
        <w:rPr/>
        <w:t xml:space="preserve">A escolha entre os tipos </w:t>
      </w:r>
      <w:r>
        <w:rPr>
          <w:i/>
          <w:iCs/>
        </w:rPr>
        <w:t>geometry</w:t>
      </w:r>
      <w:r>
        <w:rPr/>
        <w:t xml:space="preserve"> e </w:t>
      </w:r>
      <w:r>
        <w:rPr>
          <w:i/>
          <w:iCs/>
        </w:rPr>
        <w:t>geography</w:t>
      </w:r>
      <w:r>
        <w:rPr/>
        <w:t xml:space="preserve"> depende da extensão da área e do tipo de cálculo. </w:t>
      </w:r>
      <w:r>
        <w:rPr>
          <w:i/>
          <w:iCs/>
        </w:rPr>
        <w:t>Geometry</w:t>
      </w:r>
      <w:r>
        <w:rPr/>
        <w:t xml:space="preserve"> trabalha no plano cartesiano do sistema de referência e é mais barato; </w:t>
      </w:r>
      <w:r>
        <w:rPr>
          <w:i/>
          <w:iCs/>
        </w:rPr>
        <w:t>geography</w:t>
      </w:r>
      <w:r>
        <w:rPr/>
        <w:t xml:space="preserve"> calcula sobre o elipsoide e devolve distâncias em metros. Funções como </w:t>
      </w:r>
      <w:r>
        <w:rPr>
          <w:rFonts w:eastAsia="Courier New" w:cs="Courier New" w:ascii="Courier New" w:hAnsi="Courier New"/>
          <w:sz w:val="22"/>
          <w:szCs w:val="22"/>
        </w:rPr>
        <w:t>ST_Intersects</w:t>
      </w:r>
      <w:r>
        <w:rPr/>
        <w:t xml:space="preserve">, </w:t>
      </w:r>
      <w:r>
        <w:rPr>
          <w:rFonts w:eastAsia="Courier New" w:cs="Courier New" w:ascii="Courier New" w:hAnsi="Courier New"/>
          <w:sz w:val="22"/>
          <w:szCs w:val="22"/>
        </w:rPr>
        <w:t>ST_Within</w:t>
      </w:r>
      <w:r>
        <w:rPr/>
        <w:t xml:space="preserve"> e </w:t>
      </w:r>
      <w:r>
        <w:rPr>
          <w:rFonts w:eastAsia="Courier New" w:cs="Courier New" w:ascii="Courier New" w:hAnsi="Courier New"/>
          <w:sz w:val="22"/>
          <w:szCs w:val="22"/>
        </w:rPr>
        <w:t>ST_DWithin</w:t>
      </w:r>
      <w:r>
        <w:rPr/>
        <w:t xml:space="preserve"> aproveitam o índice espacial: o banco primeiro filtra pela caixa envolvente (</w:t>
      </w:r>
      <w:r>
        <w:rPr>
          <w:i/>
          <w:iCs/>
        </w:rPr>
        <w:t>bounding box</w:t>
      </w:r>
      <w:r>
        <w:rPr/>
        <w:t>) e só depois verifica a relação exata (POSTGIS PROJECT, 2026).</w:t>
      </w:r>
    </w:p>
    <w:p>
      <w:pPr>
        <w:pStyle w:val="Heading2"/>
        <w:rPr/>
      </w:pPr>
      <w:bookmarkStart w:id="20" w:name="__RefHeading___Toc3627_984269736"/>
      <w:bookmarkStart w:id="21" w:name="_Toc11"/>
      <w:bookmarkEnd w:id="20"/>
      <w:r>
        <w:rPr/>
        <w:t>2.4 Indexação espacial: R-tree e GiST</w:t>
      </w:r>
      <w:bookmarkEnd w:id="21"/>
    </w:p>
    <w:p>
      <w:pPr>
        <w:pStyle w:val="Normal"/>
        <w:ind w:firstLine="709"/>
        <w:jc w:val="both"/>
        <w:rPr/>
      </w:pPr>
      <w:r>
        <w:rPr/>
        <w:t>Sem índice, uma consulta por região precisa examinar todos os registros da tabela, com custo proporcional ao volume, O(n). A R-tree, proposta por Guttman (1984), organiza os objetos em uma árvore balanceada de retângulos envolventes: cada nó guarda o retângulo que contém todos os objetos de sua subárvore, e a busca desce apenas pelos ramos cujos retângulos intersectam a região consultada. O custo esperado de uma busca é O(log n + k), em que k é a quantidade de elementos devolvidos.</w:t>
      </w:r>
    </w:p>
    <w:p>
      <w:pPr>
        <w:pStyle w:val="Normal"/>
        <w:ind w:firstLine="709"/>
        <w:jc w:val="both"/>
        <w:rPr/>
      </w:pPr>
      <w:r>
        <w:rPr/>
        <w:t>No PostgreSQL, a R-tree é implementada sobre o GiST (</w:t>
      </w:r>
      <w:r>
        <w:rPr>
          <w:i/>
          <w:iCs/>
        </w:rPr>
        <w:t>Generalized Search Tree</w:t>
      </w:r>
      <w:r>
        <w:rPr/>
        <w:t>), uma estrutura genérica de árvore de busca balanceada que permite definir novos tipos de índice a partir de poucas operações (HELLERSTEIN; NAUGHTON; PFEFFER, 1995). O PostGIS usa o GiST como seu método de indexação espacial mais comum e versátil (POSTGIS PROJECT, 2026). Dois pontos são relevantes para a avaliação: o termo k mostra que, quando a consulta devolve uma fração fixa dos dados, o custo volta a crescer com o volume; e o otimizador de consultas do PostgreSQL escolhe o plano por estimativa de custo, de modo que nem sempre usa o índice disponível (POSTGRESQL GLOBAL DEVELOPMENT GROUP, 2026). Por isso, o desempenho foi medido em vez de deduzido.</w:t>
      </w:r>
    </w:p>
    <w:p>
      <w:pPr>
        <w:pStyle w:val="Heading2"/>
        <w:rPr/>
      </w:pPr>
      <w:bookmarkStart w:id="22" w:name="__RefHeading___Toc3629_984269736"/>
      <w:bookmarkStart w:id="23" w:name="_Toc12"/>
      <w:bookmarkEnd w:id="22"/>
      <w:r>
        <w:rPr/>
        <w:t>2.5 Integração de sistemas e fusão de dados</w:t>
      </w:r>
      <w:bookmarkEnd w:id="23"/>
    </w:p>
    <w:p>
      <w:pPr>
        <w:pStyle w:val="Normal"/>
        <w:ind w:firstLine="709"/>
        <w:jc w:val="both"/>
        <w:rPr/>
      </w:pPr>
      <w:r>
        <w:rPr/>
        <w:t>A arquitetura usa HTTP, JSON e serviços REST para desacoplar o aplicativo, o servidor e as fontes externas. O FastAPI foi escolhido porque gera a validação e a documentação interativa dos contratos a partir dos tipos declarados, nos padrões OpenAPI e JSON Schema (FASTAPI, 2026).</w:t>
      </w:r>
    </w:p>
    <w:p>
      <w:pPr>
        <w:pStyle w:val="Normal"/>
        <w:ind w:firstLine="709"/>
        <w:jc w:val="both"/>
        <w:rPr/>
      </w:pPr>
      <w:r>
        <w:rPr/>
        <w:t>Integrar não é repassar respostas externas. O servidor converte formatos, unidades e instantes para um modelo interno, de modo que um provedor pode ser trocado sem alterar o aplicativo. Fusão de dados, neste trabalho, é a combinação de evidências heterogêneas preservando a origem de cada uma. Não se pressupõe que duas fontes sejam independentes nem igualmente precisas: quando duas fontes medem a mesma variável, a regra que decide o valor usado precisa ser explícita, reproduzível e documentada, e a divergência entre elas deve ficar visível em vez de ser escondida por uma média.</w:t>
      </w:r>
    </w:p>
    <w:p>
      <w:pPr>
        <w:pStyle w:val="Heading2"/>
        <w:rPr/>
      </w:pPr>
      <w:bookmarkStart w:id="24" w:name="__RefHeading___Toc3631_984269736"/>
      <w:bookmarkStart w:id="25" w:name="_Toc13"/>
      <w:bookmarkEnd w:id="24"/>
      <w:r>
        <w:rPr/>
        <w:t>2.6 Método AHP</w:t>
      </w:r>
      <w:bookmarkEnd w:id="25"/>
    </w:p>
    <w:p>
      <w:pPr>
        <w:pStyle w:val="Normal"/>
        <w:ind w:firstLine="709"/>
        <w:jc w:val="both"/>
        <w:rPr/>
      </w:pPr>
      <w:r>
        <w:rPr/>
        <w:t>O Processo de Análise Hierárquica (</w:t>
      </w:r>
      <w:r>
        <w:rPr>
          <w:i/>
          <w:iCs/>
        </w:rPr>
        <w:t>Analytic Hierarchy Process</w:t>
      </w:r>
      <w:r>
        <w:rPr/>
        <w:t>, AHP), proposto por Saaty (1980), estrutura uma decisão em critérios e obtém o peso de cada um a partir de comparações par a par. Para n critérios, monta-se uma matriz recíproca A, em que aᵢⱼ indica quanto o critério i é mais importante que o critério j na escala de 1 (igual importância) a 9 (importância extrema), com aⱼᵢ = 1/aᵢⱼ. Os pesos são as componentes do autovetor principal normalizado de A, associado ao maior autovalor λmax (SAATY, 2008).</w:t>
      </w:r>
    </w:p>
    <w:p>
      <w:pPr>
        <w:pStyle w:val="Normal"/>
        <w:ind w:firstLine="709"/>
        <w:jc w:val="both"/>
        <w:rPr/>
      </w:pPr>
      <w:r>
        <w:rPr/>
        <w:t>Como os julgamentos humanos podem ser incoerentes (julgar A &gt; B, B &gt; C e C &gt; A), o método inclui uma verificação de consistência. O índice de consistência e a razão de consistência são dados por:</w:t>
      </w:r>
    </w:p>
    <w:p>
      <w:pPr>
        <w:pStyle w:val="Normal"/>
        <w:tabs>
          <w:tab w:val="clear" w:pos="720"/>
          <w:tab w:val="center" w:pos="4536" w:leader="none"/>
          <w:tab w:val="right" w:pos="9071" w:leader="none"/>
        </w:tabs>
        <w:spacing w:before="120" w:after="120"/>
        <w:rPr/>
      </w:pPr>
      <w:r>
        <w:rPr/>
        <w:tab/>
      </w:r>
      <w:r>
        <w:rPr>
          <w:i w:val="false"/>
          <w:iCs w:val="false"/>
        </w:rPr>
        <w:t>CI = (λmax − n) / (n − 1)</w:t>
      </w:r>
      <w:r>
        <w:rPr/>
        <w:tab/>
        <w:t>(1)</w:t>
      </w:r>
    </w:p>
    <w:p>
      <w:pPr>
        <w:pStyle w:val="Normal"/>
        <w:tabs>
          <w:tab w:val="clear" w:pos="720"/>
          <w:tab w:val="center" w:pos="4536" w:leader="none"/>
          <w:tab w:val="right" w:pos="9071" w:leader="none"/>
        </w:tabs>
        <w:spacing w:before="120" w:after="120"/>
        <w:rPr/>
      </w:pPr>
      <w:r>
        <w:rPr/>
        <w:tab/>
      </w:r>
      <w:r>
        <w:rPr>
          <w:i w:val="false"/>
          <w:iCs w:val="false"/>
        </w:rPr>
        <w:t>CR = CI / RI</w:t>
      </w:r>
      <w:r>
        <w:rPr/>
        <w:tab/>
        <w:t>(2)</w:t>
      </w:r>
    </w:p>
    <w:p>
      <w:pPr>
        <w:pStyle w:val="Normal"/>
        <w:jc w:val="both"/>
        <w:rPr/>
      </w:pPr>
      <w:r>
        <w:rPr/>
        <w:t>em que RI é o índice aleatório tabelado por Saaty para matrizes de ordem n (0,58 para n = 3). Julgamentos com CR ≤ 0,10 são considerados aceitavelmente consistentes. O AHP foi escolhido por três motivos: transparência (cada componente do índice é rastreável a uma fonte), capacidade de combinar grandezas de naturezas diferentes e existência de um teste próprio de coerência dos julgamentos. A própria proposta do trabalho alertava para o risco de usar o AHP apenas para dar aparência científica a pesos escolhidos pelos autores; por isso, os pesos adotados são exatamente os do autovetor, sem ajuste manual, e foram submetidos a análise de sensibilidade (Seção 5.3.2).</w:t>
      </w:r>
    </w:p>
    <w:p>
      <w:pPr>
        <w:pStyle w:val="Heading2"/>
        <w:rPr/>
      </w:pPr>
      <w:bookmarkStart w:id="26" w:name="__RefHeading___Toc3633_984269736"/>
      <w:bookmarkStart w:id="27" w:name="_Toc14"/>
      <w:bookmarkEnd w:id="26"/>
      <w:r>
        <w:rPr/>
        <w:t>2.7 Intensidade de chuva</w:t>
      </w:r>
      <w:bookmarkEnd w:id="27"/>
    </w:p>
    <w:p>
      <w:pPr>
        <w:pStyle w:val="Normal"/>
        <w:ind w:firstLine="709"/>
        <w:jc w:val="both"/>
        <w:rPr/>
      </w:pPr>
      <w:r>
        <w:rPr/>
        <w:t xml:space="preserve">Para converter a chuva em uma escala comum, o índice usa faixas de intensidade consagradas. O </w:t>
      </w:r>
      <w:r>
        <w:rPr>
          <w:i/>
          <w:iCs/>
        </w:rPr>
        <w:t>Glossary of Meteorology</w:t>
      </w:r>
      <w:r>
        <w:rPr/>
        <w:t xml:space="preserve"> da American Meteorological Society classifica a chuva como leve até 2,5 mm/h, moderada até 7,6 mm/h e forte acima disso (AMERICAN METEOROLOGICAL SOCIETY, 2026). Para a faixa violenta, adota-se o limiar usual de 50 mm/h, comum em classificações operacionais de intensidade de chuva; como referência, os avisos do INMET associam chuvas de 30 a 60 mm/h ao nível Perigo e acima de 60 mm/h ao nível Grande Perigo (INSTITUTO NACIONAL DE METEOROLOGIA, 2026). O código e a documentação técnica do projeto atribuíam as quatro faixas à OMM; a atribuição foi retirada neste texto, sem mudança no modelo.</w:t>
      </w:r>
    </w:p>
    <w:p>
      <w:pPr>
        <w:pStyle w:val="Heading2"/>
        <w:rPr/>
      </w:pPr>
      <w:bookmarkStart w:id="28" w:name="__RefHeading___Toc3635_984269736"/>
      <w:bookmarkStart w:id="29" w:name="_Toc15"/>
      <w:bookmarkEnd w:id="28"/>
      <w:r>
        <w:rPr/>
        <w:t>2.8 Tempo de resposta e qualidade de software</w:t>
      </w:r>
      <w:bookmarkEnd w:id="29"/>
    </w:p>
    <w:p>
      <w:pPr>
        <w:pStyle w:val="Normal"/>
        <w:ind w:firstLine="709"/>
        <w:jc w:val="both"/>
        <w:rPr/>
      </w:pPr>
      <w:r>
        <w:rPr/>
        <w:t>Os limites clássicos de tempo de resposta em interfaces — 0,1 s para que a resposta pareça instantânea, 1 s para que o fluxo de pensamento não seja interrompido e 10 s para manter a atenção na tarefa — vêm de Miller (1968) e Card, Robertson e Mackinlay (1991), consolidados por Nielsen (1993). A norma ISO/IEC 25010 classifica a eficiência de desempenho como característica de qualidade de produto, com a subcaracterística comportamento em relação ao tempo (INTERNATIONAL ORGANIZATION FOR STANDARDIZATION, 2011).</w:t>
      </w:r>
    </w:p>
    <w:p>
      <w:pPr>
        <w:pStyle w:val="Normal"/>
        <w:ind w:firstLine="709"/>
        <w:jc w:val="both"/>
        <w:rPr/>
      </w:pPr>
      <w:r>
        <w:rPr/>
        <w:t>Requisitos de latência devem ser expressos por percentis, e não pela média: a média esconde a cauda da distribuição, e é a cauda que o usuário percebe como lentidão (DEAN; BARROSO, 2013). Por isso, os requisitos deste trabalho usam o percentil 95 (p95), com a mediana (p50) como valor típico.</w:t>
      </w:r>
    </w:p>
    <w:p>
      <w:pPr>
        <w:pStyle w:val="Heading2"/>
        <w:rPr/>
      </w:pPr>
      <w:bookmarkStart w:id="30" w:name="__RefHeading___Toc3637_984269736"/>
      <w:bookmarkStart w:id="31" w:name="_Toc16"/>
      <w:bookmarkEnd w:id="30"/>
      <w:r>
        <w:rPr/>
        <w:t>2.9 Desenvolvimento Android com Kotlin e XML</w:t>
      </w:r>
      <w:bookmarkEnd w:id="31"/>
    </w:p>
    <w:p>
      <w:pPr>
        <w:pStyle w:val="Normal"/>
        <w:ind w:firstLine="709"/>
        <w:jc w:val="both"/>
        <w:rPr/>
      </w:pPr>
      <w:r>
        <w:rPr/>
        <w:t>O Kotlin é a linguagem recomendada para o desenvolvimento Android, com corrotinas para operações de rede sem bloquear a interface. Os layouts em XML (Android Views) separam a apresentação do código de comportamento e permitem recursos alternativos para diferentes tamanhos de tela (ANDROID DEVELOPERS, 2026). A substituição do Jetpack Compose por XML não representa juízo de inferioridade tecnológica, mas uma decisão de gestão de risco: a equipe concentrou o esforço em integração, dados geoespaciais, índice de risco e avaliação. Para o mapa foi usado o Google Maps SDK for Android (GOOGLE, 2026).</w:t>
      </w:r>
    </w:p>
    <w:p>
      <w:pPr>
        <w:pStyle w:val="Heading2"/>
        <w:rPr/>
      </w:pPr>
      <w:bookmarkStart w:id="32" w:name="__RefHeading___Toc3639_984269736"/>
      <w:bookmarkStart w:id="33" w:name="_Toc17"/>
      <w:bookmarkEnd w:id="32"/>
      <w:r>
        <w:rPr/>
        <w:t>2.10 Privacidade e proteção de dados</w:t>
      </w:r>
      <w:bookmarkEnd w:id="33"/>
    </w:p>
    <w:p>
      <w:pPr>
        <w:pStyle w:val="Normal"/>
        <w:ind w:firstLine="709"/>
        <w:jc w:val="both"/>
        <w:rPr/>
      </w:pPr>
      <w:r>
        <w:rPr/>
        <w:t>A Lei Geral de Proteção de Dados Pessoais (BRASIL, 2018) estabelece os princípios de finalidade, necessidade e minimização no tratamento de dados pessoais, e a ANPD inclui a geolocalização de telefone celular entre os exemplos de dado pessoal (ANPD, 2026). Por isso, o sistema usa a localização apenas para registrar o ponto da ocorrência e para consultas, sem armazenar trajetórias, e não exige nome, e-mail ou outro identificador pessoal no servidor.</w:t>
      </w:r>
    </w:p>
    <w:p>
      <w:pPr>
        <w:pStyle w:val="Heading2"/>
        <w:rPr/>
      </w:pPr>
      <w:bookmarkStart w:id="34" w:name="__RefHeading___Toc3641_984269736"/>
      <w:bookmarkStart w:id="35" w:name="_Toc18"/>
      <w:bookmarkEnd w:id="34"/>
      <w:r>
        <w:rPr/>
        <w:t>2.11 Trabalhos e soluções correlatas</w:t>
      </w:r>
      <w:bookmarkEnd w:id="35"/>
    </w:p>
    <w:p>
      <w:pPr>
        <w:pStyle w:val="Normal"/>
        <w:ind w:firstLine="709"/>
        <w:jc w:val="both"/>
        <w:rPr/>
      </w:pPr>
      <w:r>
        <w:rPr/>
        <w:t xml:space="preserve">Soluções de mapas e navegação oferecem trânsito, rotas e informações contextuais, algumas com relatos de usuários; órgãos públicos oferecem monitoramento e alertas institucionais; e estudos acadêmicos exploram </w:t>
      </w:r>
      <w:r>
        <w:rPr>
          <w:i/>
          <w:iCs/>
        </w:rPr>
        <w:t>crowdsourcing</w:t>
      </w:r>
      <w:r>
        <w:rPr/>
        <w:t xml:space="preserve"> e dados cidadãos para enchentes. O diferencial pretendido por este trabalho não é competir com essas plataformas em cobertura, mas combinar, em um artefato acadêmico reprodutível, múltiplas fontes meteorológicas com regra de fusão explícita, relatos colaborativos, processamento geoespacial e um índice transparente, acompanhado de avaliação experimental. A Tabela 1 resume a comparação.</w:t>
      </w:r>
    </w:p>
    <w:p>
      <w:pPr>
        <w:pStyle w:val="Normal"/>
        <w:ind w:firstLine="709"/>
        <w:jc w:val="both"/>
        <w:rPr/>
      </w:pPr>
      <w:r>
        <w:rPr/>
        <w:t>Dois serviços brasileiros ilustram as categorias institucionais. O Centro de Gerenciamento de Emergências (CGE) da Prefeitura de São Paulo monitora o tempo na capital 24 horas por dia, com estações meteorológicas, radares e câmeras, divulga dados de chuva atualizados a cada 5 minutos e mantém o histórico de cerca de 480 pontos de alagamento mapeados (SÃO PAULO, 2013); é um monitoramento oficial restrito à capital, sem relatos dos cidadãos. A Defesa Civil envia alertas por SMS a quem cadastra um CEP no número 40199 e, em situações severas, mensagens por difusão celular (</w:t>
      </w:r>
      <w:r>
        <w:rPr>
          <w:i/>
          <w:iCs/>
        </w:rPr>
        <w:t>cell broadcast</w:t>
      </w:r>
      <w:r>
        <w:rPr/>
        <w:t>) sem cadastro prévio (RIO GRANDE DO SUL, 2026); o alerta é oficial e vale para áreas amplas, e o cidadão o recebe, sem poder relatar o que vê. O sistema deste trabalho ocupa o espaço entre os dois: usa avisos oficiais (do INMET) como piso da classificação, mas acrescenta o relato do cidadão e um índice calculado para cada ponto.</w:t>
      </w:r>
    </w:p>
    <w:p>
      <w:pPr>
        <w:pStyle w:val="Legendauser"/>
        <w:keepNext w:val="true"/>
        <w:rPr/>
      </w:pPr>
      <w:r>
        <w:rPr/>
        <w:t xml:space="preserve">Tabela </w:t>
      </w:r>
      <w:r>
        <w:rPr/>
        <w:fldChar w:fldCharType="begin"/>
      </w:r>
      <w:r>
        <w:rPr/>
        <w:instrText xml:space="preserve"> SEQ Tabela \* ARABIC </w:instrText>
      </w:r>
      <w:r>
        <w:rPr/>
        <w:fldChar w:fldCharType="separate"/>
      </w:r>
      <w:r>
        <w:rPr/>
        <w:t>1</w:t>
      </w:r>
      <w:r>
        <w:rPr/>
        <w:fldChar w:fldCharType="end"/>
      </w:r>
      <w:r>
        <w:rPr/>
        <w:t xml:space="preserve"> – Comparação com soluções correlatas</w:t>
      </w:r>
    </w:p>
    <w:tbl>
      <w:tblPr>
        <w:tblW w:w="9071" w:type="dxa"/>
        <w:jc w:val="left"/>
        <w:tblInd w:w="85" w:type="dxa"/>
        <w:tblLayout w:type="fixed"/>
        <w:tblCellMar>
          <w:top w:w="40" w:type="dxa"/>
          <w:left w:w="80" w:type="dxa"/>
          <w:bottom w:w="40" w:type="dxa"/>
          <w:right w:w="80" w:type="dxa"/>
        </w:tblCellMar>
      </w:tblPr>
      <w:tblGrid>
        <w:gridCol w:w="2216"/>
        <w:gridCol w:w="1815"/>
        <w:gridCol w:w="2217"/>
        <w:gridCol w:w="2823"/>
      </w:tblGrid>
      <w:tr>
        <w:trPr>
          <w:tblHeader w:val="true"/>
          <w:cantSplit/>
        </w:trPr>
        <w:tc>
          <w:tcPr>
            <w:tcW w:w="221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Aspecto</w:t>
            </w:r>
          </w:p>
        </w:tc>
        <w:tc>
          <w:tcPr>
            <w:tcW w:w="181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Navegação</w:t>
            </w:r>
          </w:p>
        </w:tc>
        <w:tc>
          <w:tcPr>
            <w:tcW w:w="221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Monitoramento institucional</w:t>
            </w:r>
          </w:p>
        </w:tc>
        <w:tc>
          <w:tcPr>
            <w:tcW w:w="282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Este trabalho</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Objetivo principal</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Mobilidade e rotas</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Monitoramento e alerta oficial</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MVP acadêmico de integração e classificação</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Dados colaborativos</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Podem existir</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são centrais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 agregados por tempo e distância</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Várias fontes meteorológicas</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transparente</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Redes próprias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Duas fontes com regra de fusão publicada</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Índice de risco transparente</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se aplica</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Critérios institucionais</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IRA com pesos e regras publicados</w:t>
            </w:r>
          </w:p>
        </w:tc>
      </w:tr>
      <w:tr>
        <w:trPr>
          <w:cantSplit/>
        </w:trPr>
        <w:tc>
          <w:tcPr>
            <w:tcW w:w="221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Avaliação de desempenho</w:t>
            </w:r>
          </w:p>
        </w:tc>
        <w:tc>
          <w:tcPr>
            <w:tcW w:w="181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divulgada</w:t>
            </w:r>
          </w:p>
        </w:tc>
        <w:tc>
          <w:tcPr>
            <w:tcW w:w="221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Não é foco público</w:t>
            </w:r>
          </w:p>
        </w:tc>
        <w:tc>
          <w:tcPr>
            <w:tcW w:w="28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e latência medidos</w:t>
            </w:r>
          </w:p>
        </w:tc>
      </w:tr>
    </w:tbl>
    <w:p>
      <w:pPr>
        <w:pStyle w:val="Fontedalegenda"/>
        <w:rPr/>
      </w:pPr>
      <w:r>
        <w:rPr/>
        <w:t>Fonte: elaborada pelos autores (2026).</w:t>
      </w:r>
    </w:p>
    <w:p>
      <w:pPr>
        <w:pStyle w:val="Heading1"/>
        <w:pageBreakBefore/>
        <w:rPr/>
      </w:pPr>
      <w:bookmarkStart w:id="36" w:name="__RefHeading___Toc3643_984269736"/>
      <w:bookmarkStart w:id="37" w:name="_Toc19"/>
      <w:bookmarkEnd w:id="36"/>
      <w:r>
        <w:rPr/>
        <w:t>3 Pesquisa/Amostragem</w:t>
      </w:r>
      <w:bookmarkEnd w:id="37"/>
    </w:p>
    <w:p>
      <w:pPr>
        <w:pStyle w:val="Heading2"/>
        <w:rPr/>
      </w:pPr>
      <w:bookmarkStart w:id="38" w:name="__RefHeading___Toc3645_984269736"/>
      <w:bookmarkStart w:id="39" w:name="_Toc20"/>
      <w:bookmarkEnd w:id="38"/>
      <w:r>
        <w:rPr/>
        <w:t>3.1 Caracterização da pesquisa</w:t>
      </w:r>
      <w:bookmarkEnd w:id="39"/>
    </w:p>
    <w:p>
      <w:pPr>
        <w:pStyle w:val="Normal"/>
        <w:ind w:firstLine="709"/>
        <w:jc w:val="both"/>
        <w:rPr/>
      </w:pPr>
      <w:r>
        <w:rPr/>
        <w:t>A pesquisa é aplicada, com abordagem quantitativa na avaliação de desempenho e do índice de risco e qualitativa na análise de requisitos, fontes e usabilidade. Como o produto central é um artefato computacional, adotou-se a Design Science Research, voltada à construção e à avaliação de artefatos que resolvem classes de problemas reais (HEVNER et al., 2004; DRESCH; LACERDA; ANTUNES JÚNIOR, 2015). O ciclo foi organizado nas seis etapas de Peffers et al. (2007), executadas como mostra a Tabela 2.</w:t>
      </w:r>
    </w:p>
    <w:p>
      <w:pPr>
        <w:pStyle w:val="Legendauser"/>
        <w:keepNext w:val="true"/>
        <w:rPr/>
      </w:pPr>
      <w:r>
        <w:rPr/>
        <w:t xml:space="preserve">Tabela </w:t>
      </w:r>
      <w:r>
        <w:rPr/>
        <w:fldChar w:fldCharType="begin"/>
      </w:r>
      <w:r>
        <w:rPr/>
        <w:instrText xml:space="preserve"> SEQ Tabela \* ARABIC </w:instrText>
      </w:r>
      <w:r>
        <w:rPr/>
        <w:fldChar w:fldCharType="separate"/>
      </w:r>
      <w:r>
        <w:rPr/>
        <w:t>2</w:t>
      </w:r>
      <w:r>
        <w:rPr/>
        <w:fldChar w:fldCharType="end"/>
      </w:r>
      <w:r>
        <w:rPr/>
        <w:t xml:space="preserve"> – Etapas da Design Science Research no trabalho</w:t>
      </w:r>
    </w:p>
    <w:tbl>
      <w:tblPr>
        <w:tblW w:w="9071" w:type="dxa"/>
        <w:jc w:val="left"/>
        <w:tblInd w:w="85" w:type="dxa"/>
        <w:tblLayout w:type="fixed"/>
        <w:tblCellMar>
          <w:top w:w="40" w:type="dxa"/>
          <w:left w:w="80" w:type="dxa"/>
          <w:bottom w:w="40" w:type="dxa"/>
          <w:right w:w="80" w:type="dxa"/>
        </w:tblCellMar>
      </w:tblPr>
      <w:tblGrid>
        <w:gridCol w:w="2418"/>
        <w:gridCol w:w="6653"/>
      </w:tblGrid>
      <w:tr>
        <w:trPr>
          <w:tblHeader w:val="true"/>
          <w:cantSplit/>
        </w:trPr>
        <w:tc>
          <w:tcPr>
            <w:tcW w:w="241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Etapa</w:t>
            </w:r>
          </w:p>
        </w:tc>
        <w:tc>
          <w:tcPr>
            <w:tcW w:w="665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Como foi executada</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 Identificação do problema</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TCC I: dados de alagamento dispersos e heterogêneos; críticas do orientador (latência, mais fontes, complexidade do banco, diferencial além de uma "colagem de APIs").</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2. Objetivos da solução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Requisitos funcionais e não funcionais com critérios de aceitação (Seção 4.1).</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3. Projeto e desenvolvimento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Arquitetura em camadas, modelagem PostGIS, fusão de fontes, modelo AHP e aplicativo (Capítulo 4), de julho a outubro de 2026.</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 Demonstração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 integrado à API e ao banco reais, em emulador, com dados climáticos reais e ocorrências de demonstração.</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 Avaliação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automatizados e funcionais, análise de sensibilidade, benchmark, latência e usabilidade (Capítulo 5).</w:t>
            </w:r>
          </w:p>
        </w:tc>
      </w:tr>
      <w:tr>
        <w:trPr>
          <w:cantSplit/>
        </w:trPr>
        <w:tc>
          <w:tcPr>
            <w:tcW w:w="241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6. Comunicação</w:t>
            </w:r>
          </w:p>
        </w:tc>
        <w:tc>
          <w:tcPr>
            <w:tcW w:w="66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Este documento, o repositório público e a apresentação à banca.</w:t>
            </w:r>
          </w:p>
        </w:tc>
      </w:tr>
    </w:tbl>
    <w:p>
      <w:pPr>
        <w:pStyle w:val="Fontedalegenda"/>
        <w:rPr/>
      </w:pPr>
      <w:r>
        <w:rPr/>
        <w:t>Fonte: elaborada pelos autores (2026).</w:t>
      </w:r>
    </w:p>
    <w:p>
      <w:pPr>
        <w:pStyle w:val="Normal"/>
        <w:ind w:firstLine="709"/>
        <w:jc w:val="both"/>
        <w:rPr/>
      </w:pPr>
      <w:r>
        <w:rPr/>
        <w:t>A avaliação não foi deixada para o final: as decisões de fonte, de modelo espacial e de regras do índice foram verificadas a cada etapa, e várias delas foram revistas a partir dos resultados — a troca do CPTEC pelo INMET, a inclusão da Open-Meteo e a revisão dos pesos do AHP.</w:t>
      </w:r>
    </w:p>
    <w:p>
      <w:pPr>
        <w:pStyle w:val="Heading2"/>
        <w:rPr/>
      </w:pPr>
      <w:bookmarkStart w:id="40" w:name="__RefHeading___Toc3647_984269736"/>
      <w:bookmarkStart w:id="41" w:name="_Toc21"/>
      <w:bookmarkEnd w:id="40"/>
      <w:r>
        <w:rPr/>
        <w:t>3.2 Área de estudo e unidade de análise</w:t>
      </w:r>
      <w:bookmarkEnd w:id="41"/>
    </w:p>
    <w:p>
      <w:pPr>
        <w:pStyle w:val="Normal"/>
        <w:ind w:firstLine="709"/>
        <w:jc w:val="both"/>
        <w:rPr/>
      </w:pPr>
      <w:r>
        <w:rPr/>
        <w:t>A área de estudo é o município de São Caetano do Sul (Seção 1.3). A unidade de análise é a ocorrência georreferenciada — um ponto, com data e hora, nível de risco e origem — associada ao contexto meteorológico do momento. O índice de risco é calculado para um ponto e um instante.</w:t>
      </w:r>
    </w:p>
    <w:p>
      <w:pPr>
        <w:pStyle w:val="Heading2"/>
        <w:rPr/>
      </w:pPr>
      <w:bookmarkStart w:id="42" w:name="__RefHeading___Toc3649_984269736"/>
      <w:bookmarkStart w:id="43" w:name="_Toc22"/>
      <w:bookmarkEnd w:id="42"/>
      <w:r>
        <w:rPr/>
        <w:t>3.3 Fontes de dados</w:t>
      </w:r>
      <w:bookmarkEnd w:id="43"/>
    </w:p>
    <w:p>
      <w:pPr>
        <w:pStyle w:val="Normal"/>
        <w:ind w:firstLine="709"/>
        <w:jc w:val="both"/>
        <w:rPr/>
      </w:pPr>
      <w:r>
        <w:rPr/>
        <w:t>As fontes foram selecionadas por acesso público ou gratuito, cobertura de São Caetano do Sul, variáveis relevantes para alagamento, formato e testabilidade. A Tabela 3 registra a situação final de cada fonte avaliada e o motivo de cada decisão.</w:t>
      </w:r>
    </w:p>
    <w:p>
      <w:pPr>
        <w:pStyle w:val="Legendauser"/>
        <w:keepNext w:val="true"/>
        <w:rPr/>
      </w:pPr>
      <w:r>
        <w:rPr/>
        <w:t xml:space="preserve">Tabela </w:t>
      </w:r>
      <w:r>
        <w:rPr/>
        <w:fldChar w:fldCharType="begin"/>
      </w:r>
      <w:r>
        <w:rPr/>
        <w:instrText xml:space="preserve"> SEQ Tabela \* ARABIC </w:instrText>
      </w:r>
      <w:r>
        <w:rPr/>
        <w:fldChar w:fldCharType="separate"/>
      </w:r>
      <w:r>
        <w:rPr/>
        <w:t>3</w:t>
      </w:r>
      <w:r>
        <w:rPr/>
        <w:fldChar w:fldCharType="end"/>
      </w:r>
      <w:r>
        <w:rPr/>
        <w:t xml:space="preserve"> – Fontes de dados avaliadas e situação final</w:t>
      </w:r>
    </w:p>
    <w:tbl>
      <w:tblPr>
        <w:tblW w:w="9071" w:type="dxa"/>
        <w:jc w:val="left"/>
        <w:tblInd w:w="85" w:type="dxa"/>
        <w:tblLayout w:type="fixed"/>
        <w:tblCellMar>
          <w:top w:w="40" w:type="dxa"/>
          <w:left w:w="80" w:type="dxa"/>
          <w:bottom w:w="40" w:type="dxa"/>
          <w:right w:w="80" w:type="dxa"/>
        </w:tblCellMar>
      </w:tblPr>
      <w:tblGrid>
        <w:gridCol w:w="2266"/>
        <w:gridCol w:w="3401"/>
        <w:gridCol w:w="3404"/>
      </w:tblGrid>
      <w:tr>
        <w:trPr>
          <w:tblHeader w:val="true"/>
          <w:cantSplit/>
        </w:trPr>
        <w:tc>
          <w:tcPr>
            <w:tcW w:w="226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Fonte</w:t>
            </w:r>
          </w:p>
        </w:tc>
        <w:tc>
          <w:tcPr>
            <w:tcW w:w="340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Uso no sistema</w:t>
            </w:r>
          </w:p>
        </w:tc>
        <w:tc>
          <w:tcPr>
            <w:tcW w:w="340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Situação e motivo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atual (última hora) e previsão em blocos de 3 h, por coordenada</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julho de 2026; exige chave de API (plano gratuito)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Open-Meteo</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atual (15 min) e previsão horária, por coordenada</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16/10/2026; sem chave; permite a fusão com o OpenWeather</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INMET — previsão e avisos (apiprevmet3)</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textual do município e avisos oficiais; não entra no cálculo do índice, mas os avisos funcionam como piso da classe</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xml:space="preserve"> desde 06/10/2026; sem chave; sem documentação oficial</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Relatos dos usuários</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Componente colaborativo do índice</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Em uso</w:t>
            </w:r>
            <w:r>
              <w:rPr>
                <w:sz w:val="20"/>
                <w:szCs w:val="20"/>
              </w:rPr>
              <w:t>; única fonte sob controle do projeto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INMET — estações em tempo real</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Chuva medida em estação</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Descartada em agosto: acesso protegido por reCAPTCHA</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CEMADEN</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Pluviômetros automáticos</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Descartada em agosto: autenticação sem procedimento público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CPTEC/INPE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de 4 dias (referência qualitativa)</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Substituída em 06/10: HTTP 403 desde 03/10/2026</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Pluviômetro local (critério do índice)</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Retirada em 16/10: cadastro pedido em agosto nunca aprovado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Estação do campus da USCS</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Alternativa de pluviômetro local</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Retirada em 16/10: sem resposta dos responsáveis</w:t>
            </w:r>
          </w:p>
        </w:tc>
      </w:tr>
    </w:tbl>
    <w:p>
      <w:pPr>
        <w:pStyle w:val="Fontedalegenda"/>
        <w:rPr/>
      </w:pPr>
      <w:r>
        <w:rPr/>
        <w:t>Fonte: elaborada pelos autores (2026).</w:t>
      </w:r>
    </w:p>
    <w:p>
      <w:pPr>
        <w:pStyle w:val="Normal"/>
        <w:ind w:firstLine="709"/>
        <w:jc w:val="both"/>
        <w:rPr/>
      </w:pPr>
      <w:r>
        <w:rPr/>
        <w:t>Esse levantamento é, em si, um resultado: vários órgãos brasileiros de dados hidrometeorológicos protegem especificamente o acesso automatizado aos dados em tempo real, ou condicionam o acesso a processos institucionais sem prazo, o que é um desafio prático para sistemas que dependem de dados públicos.</w:t>
      </w:r>
    </w:p>
    <w:p>
      <w:pPr>
        <w:pStyle w:val="Heading2"/>
        <w:rPr/>
      </w:pPr>
      <w:bookmarkStart w:id="44" w:name="__RefHeading___Toc3651_984269736"/>
      <w:bookmarkStart w:id="45" w:name="_Toc23"/>
      <w:bookmarkEnd w:id="44"/>
      <w:r>
        <w:rPr/>
        <w:t>3.4 Amostragem e dados utilizados</w:t>
      </w:r>
      <w:bookmarkEnd w:id="45"/>
    </w:p>
    <w:p>
      <w:pPr>
        <w:pStyle w:val="Normal"/>
        <w:ind w:firstLine="709"/>
        <w:jc w:val="both"/>
        <w:rPr/>
      </w:pPr>
      <w:r>
        <w:rPr/>
        <w:t>O trabalho usou quatro conjuntos de dados, cada um adequado a uma finalidade:</w:t>
      </w:r>
    </w:p>
    <w:p>
      <w:pPr>
        <w:pStyle w:val="ListParagraph"/>
        <w:numPr>
          <w:ilvl w:val="0"/>
          <w:numId w:val="14"/>
        </w:numPr>
        <w:jc w:val="both"/>
        <w:rPr/>
      </w:pPr>
      <w:r>
        <w:rPr>
          <w:b/>
          <w:bCs/>
        </w:rPr>
        <w:t>Dados meteorológicos reais</w:t>
      </w:r>
      <w:r>
        <w:rPr/>
        <w:t>, consultados ao vivo para São Caetano do Sul nos testes de integração e na medição de latência, e para Santo André na primeira validação do algoritmo.</w:t>
      </w:r>
    </w:p>
    <w:p>
      <w:pPr>
        <w:pStyle w:val="ListParagraph"/>
        <w:numPr>
          <w:ilvl w:val="0"/>
          <w:numId w:val="1"/>
        </w:numPr>
        <w:jc w:val="both"/>
        <w:rPr/>
      </w:pPr>
      <w:r>
        <w:rPr>
          <w:b/>
          <w:bCs/>
        </w:rPr>
        <w:t>Massa sintética para o benchmark:</w:t>
      </w:r>
      <w:r>
        <w:rPr/>
        <w:t xml:space="preserve"> quatro bancos com 1 mil, 10 mil, 100 mil e 1 milhão de ocorrências, distribuídas uniformemente na Região Metropolitana de São Paulo e com datas nos últimos 180 dias, geradas de forma determinística (semente 42). Dados sintéticos servem para medir carga e seletividade de consultas, não para validar risco hidrológico.</w:t>
      </w:r>
    </w:p>
    <w:p>
      <w:pPr>
        <w:pStyle w:val="ListParagraph"/>
        <w:numPr>
          <w:ilvl w:val="0"/>
          <w:numId w:val="1"/>
        </w:numPr>
        <w:jc w:val="both"/>
        <w:rPr/>
      </w:pPr>
      <w:r>
        <w:rPr>
          <w:b/>
          <w:bCs/>
        </w:rPr>
        <w:t>Ocorrências de demonstração:</w:t>
      </w:r>
      <w:r>
        <w:rPr/>
        <w:t xml:space="preserve"> 30 ocorrências fictícias em São Caetano do Sul, com níveis e horários variados, usadas nos testes do aplicativo, nas capturas de tela e na avaliação de usabilidade. </w:t>
      </w:r>
      <w:r>
        <w:rPr>
          <w:b/>
          <w:bCs/>
        </w:rPr>
        <w:t>Não são alagamentos reais</w:t>
      </w:r>
      <w:r>
        <w:rPr/>
        <w:t xml:space="preserve"> e são identificadas como demonstração em todo o material.</w:t>
      </w:r>
    </w:p>
    <w:p>
      <w:pPr>
        <w:pStyle w:val="ListParagraph"/>
        <w:numPr>
          <w:ilvl w:val="0"/>
          <w:numId w:val="1"/>
        </w:numPr>
        <w:jc w:val="both"/>
        <w:rPr/>
      </w:pPr>
      <w:r>
        <w:rPr>
          <w:b/>
          <w:bCs/>
        </w:rPr>
        <w:t>Respostas da avaliação de usabilidade:</w:t>
      </w:r>
      <w:r>
        <w:rPr/>
        <w:t xml:space="preserve"> 12 participantes que aceitaram o termo de consentimento, entre 17 e 21 de outubro de 2026. A amostra é de conveniência — familiares e amigos dos integrantes — e não representa estatisticamente a população do município; serve para identificar problemas de compreensão das telas, não para generalizar.</w:t>
      </w:r>
    </w:p>
    <w:p>
      <w:pPr>
        <w:pStyle w:val="Normal"/>
        <w:ind w:firstLine="709"/>
        <w:jc w:val="both"/>
        <w:rPr/>
      </w:pPr>
      <w:r>
        <w:rPr/>
        <w:t>Não houve episódio real de alagamento registrado pelo sistema durante o desenvolvimento; por isso, o trabalho não calcula a acurácia do índice em relação a eventos observados.</w:t>
      </w:r>
    </w:p>
    <w:p>
      <w:pPr>
        <w:pStyle w:val="Heading2"/>
        <w:rPr/>
      </w:pPr>
      <w:bookmarkStart w:id="46" w:name="__RefHeading___Toc3653_984269736"/>
      <w:bookmarkStart w:id="47" w:name="_Toc24"/>
      <w:bookmarkEnd w:id="46"/>
      <w:r>
        <w:rPr/>
        <w:t>3.5 Procedimentos de avaliação</w:t>
      </w:r>
      <w:bookmarkEnd w:id="47"/>
    </w:p>
    <w:p>
      <w:pPr>
        <w:pStyle w:val="Normal"/>
        <w:ind w:firstLine="709"/>
        <w:jc w:val="both"/>
        <w:rPr/>
      </w:pPr>
      <w:r>
        <w:rPr/>
        <w:t>A avaliação combinou cinco frentes, detalhadas no Capítulo 5:</w:t>
      </w:r>
    </w:p>
    <w:p>
      <w:pPr>
        <w:pStyle w:val="ListParagraph"/>
        <w:numPr>
          <w:ilvl w:val="0"/>
          <w:numId w:val="15"/>
        </w:numPr>
        <w:jc w:val="both"/>
        <w:rPr/>
      </w:pPr>
      <w:r>
        <w:rPr>
          <w:b/>
          <w:bCs/>
        </w:rPr>
        <w:t>testes automatizados do backend</w:t>
      </w:r>
      <w:r>
        <w:rPr/>
        <w:t>, com implementações em memória (contrato) e contra um PostgreSQL/PostGIS real (integração);</w:t>
      </w:r>
    </w:p>
    <w:p>
      <w:pPr>
        <w:pStyle w:val="ListParagraph"/>
        <w:numPr>
          <w:ilvl w:val="0"/>
          <w:numId w:val="1"/>
        </w:numPr>
        <w:jc w:val="both"/>
        <w:rPr/>
      </w:pPr>
      <w:r>
        <w:rPr>
          <w:b/>
          <w:bCs/>
        </w:rPr>
        <w:t>testes funcionais do aplicativo</w:t>
      </w:r>
      <w:r>
        <w:rPr/>
        <w:t xml:space="preserve"> integrado à API real, seguindo o plano PT-001 e comparando o que o aplicativo exibe com a resposta direta da API;</w:t>
      </w:r>
    </w:p>
    <w:p>
      <w:pPr>
        <w:pStyle w:val="ListParagraph"/>
        <w:numPr>
          <w:ilvl w:val="0"/>
          <w:numId w:val="1"/>
        </w:numPr>
        <w:jc w:val="both"/>
        <w:rPr/>
      </w:pPr>
      <w:r>
        <w:rPr>
          <w:b/>
          <w:bCs/>
        </w:rPr>
        <w:t>análise de sensibilidade do índice:</w:t>
      </w:r>
      <w:r>
        <w:rPr/>
        <w:t xml:space="preserve"> cada peso variado em ±10% e ±20% sobre uma grade de 280 cenários de chuva atual, previsão e componente colaborativo, contando quantos cenários mudam de classe;</w:t>
      </w:r>
    </w:p>
    <w:p>
      <w:pPr>
        <w:pStyle w:val="ListParagraph"/>
        <w:numPr>
          <w:ilvl w:val="0"/>
          <w:numId w:val="1"/>
        </w:numPr>
        <w:jc w:val="both"/>
        <w:rPr/>
      </w:pPr>
      <w:r>
        <w:rPr>
          <w:b/>
          <w:bCs/>
        </w:rPr>
        <w:t>benchmark de indexação espacial:</w:t>
      </w:r>
      <w:r>
        <w:rPr/>
        <w:t xml:space="preserve"> cada consulta medida sem e com o índice GiST, nas quatro escalas, com 3 execuções de aquecimento e 20 medidas por condição, pelo tempo de execução do </w:t>
      </w:r>
      <w:r>
        <w:rPr>
          <w:rFonts w:eastAsia="Courier New" w:cs="Courier New" w:ascii="Courier New" w:hAnsi="Courier New"/>
          <w:sz w:val="22"/>
          <w:szCs w:val="22"/>
        </w:rPr>
        <w:t>EXPLAIN ANALYZE</w:t>
      </w:r>
      <w:r>
        <w:rPr/>
        <w:t xml:space="preserve"> e com o plano registrado;</w:t>
      </w:r>
    </w:p>
    <w:p>
      <w:pPr>
        <w:pStyle w:val="ListParagraph"/>
        <w:numPr>
          <w:ilvl w:val="0"/>
          <w:numId w:val="1"/>
        </w:numPr>
        <w:jc w:val="both"/>
        <w:rPr/>
      </w:pPr>
      <w:r>
        <w:rPr>
          <w:b/>
          <w:bCs/>
        </w:rPr>
        <w:t>latência da API:</w:t>
      </w:r>
      <w:r>
        <w:rPr/>
        <w:t xml:space="preserve"> 50 requisições HTTP por cenário após 5 de aquecimento, com p50 e p95 comparados a critérios definidos antes da medição (Seção 4.1).</w:t>
      </w:r>
    </w:p>
    <w:p>
      <w:pPr>
        <w:pStyle w:val="Normal"/>
        <w:ind w:firstLine="709"/>
        <w:jc w:val="both"/>
        <w:rPr/>
      </w:pPr>
      <w:r>
        <w:rPr/>
        <w:t>A avaliação de usabilidade foi planejada com cinco tarefas guiadas no aplicativo e um questionário em escala Likert de 1 a 5, com critério de aprovação de média igual ou superior a 4. Na aplicação, as tarefas foram substituídas por uma avaliação da interface por questionário, sem uso do aplicativo pelos participantes: cada participante viu, em um formulário do Google Forms, as capturas das sete telas principais (entrada, mapa, alertas, detalhes, cadastro, previsão e ajustes) e avaliou cada uma em quatro critérios — facilidade de uso, intuitividade, design e importância para o aplicativo —, além de uma pergunta específica sobre o ponto mais sujeito a dúvida em cada tela e de um campo aberto para comentários. O critério de aprovação foi mantido. Sem tarefas executadas, a avaliação mede a compreensão e a percepção das telas, e não a taxa de conclusão de tarefas (Seção 5.3.5).</w:t>
      </w:r>
    </w:p>
    <w:p>
      <w:pPr>
        <w:pStyle w:val="Heading2"/>
        <w:rPr/>
      </w:pPr>
      <w:bookmarkStart w:id="48" w:name="__RefHeading___Toc3655_984269736"/>
      <w:bookmarkStart w:id="49" w:name="_Toc25"/>
      <w:bookmarkEnd w:id="48"/>
      <w:r>
        <w:rPr/>
        <w:t>3.6 Aspectos éticos</w:t>
      </w:r>
      <w:bookmarkEnd w:id="49"/>
    </w:p>
    <w:p>
      <w:pPr>
        <w:pStyle w:val="Normal"/>
        <w:ind w:firstLine="709"/>
        <w:jc w:val="both"/>
        <w:rPr/>
      </w:pPr>
      <w:r>
        <w:rPr/>
        <w:t>O formulário apresentava um Termo de Consentimento Livre e Esclarecido informando que a participação é voluntária e anônima e que as ocorrências exibidas são de demonstração, e só foram analisadas as respostas de quem declarou concordar com ele. O formulário não coleta nome, e-mail nem outro dado que identifique o participante. O sistema também não coleta dados pessoais além do necessário (Seção 2.10).</w:t>
      </w:r>
    </w:p>
    <w:p>
      <w:pPr>
        <w:pStyle w:val="Heading1"/>
        <w:pageBreakBefore/>
        <w:rPr/>
      </w:pPr>
      <w:bookmarkStart w:id="50" w:name="__RefHeading___Toc3657_984269736"/>
      <w:bookmarkStart w:id="51" w:name="_Toc26"/>
      <w:bookmarkEnd w:id="50"/>
      <w:r>
        <w:rPr/>
        <w:t>4 Desenvolvimento</w:t>
      </w:r>
      <w:bookmarkEnd w:id="51"/>
    </w:p>
    <w:p>
      <w:pPr>
        <w:pStyle w:val="Normal"/>
        <w:ind w:firstLine="709"/>
        <w:jc w:val="both"/>
        <w:rPr/>
      </w:pPr>
      <w:r>
        <w:rPr/>
        <w:t>Este capítulo apresenta o artefato construído: os requisitos, o cronograma executado, a arquitetura, o banco de dados e a implementação de cada parte. O código-fonte completo está no repositório público https://github.com/JpllourencoUSCS/tcc_alagamentos.</w:t>
      </w:r>
    </w:p>
    <w:p>
      <w:pPr>
        <w:pStyle w:val="Heading2"/>
        <w:rPr/>
      </w:pPr>
      <w:bookmarkStart w:id="52" w:name="__RefHeading___Toc3659_984269736"/>
      <w:bookmarkStart w:id="53" w:name="_Toc27"/>
      <w:bookmarkEnd w:id="52"/>
      <w:r>
        <w:rPr/>
        <w:t>4.1 Requisitos do Sistema</w:t>
      </w:r>
      <w:bookmarkEnd w:id="53"/>
    </w:p>
    <w:p>
      <w:pPr>
        <w:pStyle w:val="Normal"/>
        <w:ind w:firstLine="709"/>
        <w:jc w:val="both"/>
        <w:rPr/>
      </w:pPr>
      <w:r>
        <w:rPr/>
        <w:t>Os requisitos funcionais foram numerados de forma única no documento e no plano de testes PT-001, para que cada requisito possa ser rastreado até seus casos de teste. A Tabela 4 apresenta cada requisito com o critério de aceitação e os casos que o verificam; o resultado de cada caso está no Capítulo 5.</w:t>
      </w:r>
    </w:p>
    <w:p>
      <w:pPr>
        <w:pStyle w:val="Legendauser"/>
        <w:keepNext w:val="true"/>
        <w:rPr/>
      </w:pPr>
      <w:r>
        <w:rPr/>
        <w:t xml:space="preserve">Tabela </w:t>
      </w:r>
      <w:r>
        <w:rPr/>
        <w:fldChar w:fldCharType="begin"/>
      </w:r>
      <w:r>
        <w:rPr/>
        <w:instrText xml:space="preserve"> SEQ Tabela \* ARABIC </w:instrText>
      </w:r>
      <w:r>
        <w:rPr/>
        <w:fldChar w:fldCharType="separate"/>
      </w:r>
      <w:r>
        <w:rPr/>
        <w:t>4</w:t>
      </w:r>
      <w:r>
        <w:rPr/>
        <w:fldChar w:fldCharType="end"/>
      </w:r>
      <w:r>
        <w:rPr/>
        <w:t xml:space="preserve"> – Requisitos funcionais, critérios de aceitação e casos de teste</w:t>
      </w:r>
    </w:p>
    <w:tbl>
      <w:tblPr>
        <w:tblW w:w="9071" w:type="dxa"/>
        <w:jc w:val="left"/>
        <w:tblInd w:w="85" w:type="dxa"/>
        <w:tblLayout w:type="fixed"/>
        <w:tblCellMar>
          <w:top w:w="40" w:type="dxa"/>
          <w:left w:w="80" w:type="dxa"/>
          <w:bottom w:w="40" w:type="dxa"/>
          <w:right w:w="80" w:type="dxa"/>
        </w:tblCellMar>
      </w:tblPr>
      <w:tblGrid>
        <w:gridCol w:w="842"/>
        <w:gridCol w:w="2109"/>
        <w:gridCol w:w="4430"/>
        <w:gridCol w:w="1690"/>
      </w:tblGrid>
      <w:tr>
        <w:trPr>
          <w:tblHeader w:val="true"/>
          <w:cantSplit/>
        </w:trPr>
        <w:tc>
          <w:tcPr>
            <w:tcW w:w="84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ID</w:t>
            </w:r>
          </w:p>
        </w:tc>
        <w:tc>
          <w:tcPr>
            <w:tcW w:w="210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443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 de aceitação</w:t>
            </w:r>
          </w:p>
        </w:tc>
        <w:tc>
          <w:tcPr>
            <w:tcW w:w="169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Casos</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RF-01</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Registrar uma ocorrência de alagamento</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Local marcado por endereço, toque no mapa ou GPS, obrigatório e dentro de São Caetano do Sul; nível automático (calculado pelo servidor) ou informado; descrição opcional de até 300 caracteres</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CT-CAD-001 a 007</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RF-02</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e filtrar ocorrências</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 da mais recente para a mais antiga, com filtros de região, período e nível aplicados pelo servidor</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CT-LST-001 e 002</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RF-03</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as ocorrências ativas no mapa</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Marcadores coloridos por nível; só as últimas 24 h, esmaecidas após 3 h</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CT-MAP-001 a 003</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RF-04</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os detalhes de uma ocorrência</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Abertos pelo mapa, pela lista ou por notificação, com os dados gravados no banco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CT-DET-001</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RF-05</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Notificar ocorrências próximas</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Notificação local das ocorrências das últimas 24 h que atendem ao nível mínimo e ao raio configurados</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CT-NOT-001</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RF-06</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Configurar preferências e perfil</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Preferências de alerta e perfil salvos no aparelho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CT-CFG-001</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RF-07</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Entrar no aplicativo</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 de entrada leva à área principal sem cadastro nem senha; nome opcional, guardado só no aparelho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CT-LOG-001</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RF-08</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Expor a API de ocorrências</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listar com filtros e obter por identificador; valores inválidos e pontos fora do município recusados com HTTP 422</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CT-API-001 a 006</w:t>
            </w:r>
          </w:p>
        </w:tc>
      </w:tr>
      <w:tr>
        <w:trPr>
          <w:cantSplit/>
        </w:trPr>
        <w:tc>
          <w:tcPr>
            <w:tcW w:w="8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RF-09</w:t>
            </w:r>
          </w:p>
        </w:tc>
        <w:tc>
          <w:tcPr>
            <w:tcW w:w="21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Calcular e apresentar o risco de alagamento</w:t>
            </w:r>
          </w:p>
        </w:tc>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Fusão das fontes, índice AHP, componente colaborativo e piso dos avisos do INMET; o aplicativo mostra a classe, a pontuação e a origem de cada dado</w:t>
            </w:r>
          </w:p>
        </w:tc>
        <w:tc>
          <w:tcPr>
            <w:tcW w:w="169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CT-AHP-001 a 004; CT-PRV-001 a 003</w:t>
            </w:r>
          </w:p>
        </w:tc>
      </w:tr>
    </w:tbl>
    <w:p>
      <w:pPr>
        <w:pStyle w:val="Fontedalegenda"/>
        <w:rPr/>
      </w:pPr>
      <w:r>
        <w:rPr/>
        <w:t>Fonte: elaborada pelos autores (2026).</w:t>
      </w:r>
    </w:p>
    <w:p>
      <w:pPr>
        <w:pStyle w:val="Normal"/>
        <w:ind w:firstLine="709"/>
        <w:jc w:val="both"/>
        <w:rPr/>
      </w:pPr>
      <w:r>
        <w:rPr/>
        <w:t>Os requisitos não funcionais estão na Tabela 5. Os cinco primeiros, de desempenho e tolerância a falhas, foram definidos antes das medições a partir dos limites de tempo de resposta da Seção 2.8: para que a resposta percebida no aplicativo fique abaixo de 1 s, somando a rede móvel (50 a 150 ms de ida e volta) e o desenho da tela, o servidor pode gastar no máximo cerca de 200 ms nas leituras.</w:t>
      </w:r>
    </w:p>
    <w:p>
      <w:pPr>
        <w:pStyle w:val="Legendauser"/>
        <w:keepNext w:val="true"/>
        <w:rPr/>
      </w:pPr>
      <w:r>
        <w:rPr/>
        <w:t xml:space="preserve">Tabela </w:t>
      </w:r>
      <w:r>
        <w:rPr/>
        <w:fldChar w:fldCharType="begin"/>
      </w:r>
      <w:r>
        <w:rPr/>
        <w:instrText xml:space="preserve"> SEQ Tabela \* ARABIC </w:instrText>
      </w:r>
      <w:r>
        <w:rPr/>
        <w:fldChar w:fldCharType="separate"/>
      </w:r>
      <w:r>
        <w:rPr/>
        <w:t>5</w:t>
      </w:r>
      <w:r>
        <w:rPr/>
        <w:fldChar w:fldCharType="end"/>
      </w:r>
      <w:r>
        <w:rPr/>
        <w:t xml:space="preserve"> – Requisitos não funcionais</w:t>
      </w:r>
    </w:p>
    <w:tbl>
      <w:tblPr>
        <w:tblW w:w="9071" w:type="dxa"/>
        <w:jc w:val="left"/>
        <w:tblInd w:w="85" w:type="dxa"/>
        <w:tblLayout w:type="fixed"/>
        <w:tblCellMar>
          <w:top w:w="40" w:type="dxa"/>
          <w:left w:w="80" w:type="dxa"/>
          <w:bottom w:w="40" w:type="dxa"/>
          <w:right w:w="80" w:type="dxa"/>
        </w:tblCellMar>
      </w:tblPr>
      <w:tblGrid>
        <w:gridCol w:w="1054"/>
        <w:gridCol w:w="3375"/>
        <w:gridCol w:w="4642"/>
      </w:tblGrid>
      <w:tr>
        <w:trPr>
          <w:tblHeader w:val="true"/>
          <w:cantSplit/>
        </w:trPr>
        <w:tc>
          <w:tcPr>
            <w:tcW w:w="105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ID</w:t>
            </w:r>
          </w:p>
        </w:tc>
        <w:tc>
          <w:tcPr>
            <w:tcW w:w="337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464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RNF-01</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Leitura de ocorrências (listar e obter)</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200 ms no servidor</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RNF-02</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nível informado pelo usuário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500 ms no servidor</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RNF-03</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risco calculado automaticamente</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10 s, com indicador de progresso; ≤ 1 s com os dados climáticos em cache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RNF-04</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 espacial no banco (filtro por região)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 xml:space="preserve">≤ </w:t>
            </w:r>
            <w:r>
              <w:rPr>
                <w:sz w:val="20"/>
                <w:szCs w:val="20"/>
              </w:rPr>
              <w:t>10 ms com 100 mil ocorrências e crescimento sublinear com o volume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RNF-05</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Falha de fonte externa</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Limite de 10 s por fonte, chamadas em paralelo; sem nenhuma fonte numérica, erro claro (HTTP 503), nunca erro genérico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RNF-06</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Plataforma do aplicativo</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7.0 (API 24) ou superior; Kotlin com interfaces XML</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RNF-07</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Contrato da API</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HTTP/JSON, com documentação OpenAPI gerada automaticamente</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RNF-08</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Dados espaciais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PostGIS, SRID 4326 documentado e índice espacial GiST</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RNF-09</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Privacidade e segredos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Nenhum dado pessoal no servidor além de um identificador gerado pelo aplicativo; chaves e senhas fora do repositório</w:t>
            </w:r>
          </w:p>
        </w:tc>
      </w:tr>
      <w:tr>
        <w:trPr>
          <w:cantSplit/>
        </w:trPr>
        <w:tc>
          <w:tcPr>
            <w:tcW w:w="10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RNF-10</w:t>
            </w:r>
          </w:p>
        </w:tc>
        <w:tc>
          <w:tcPr>
            <w:tcW w:w="33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Origem dos dados</w:t>
            </w:r>
          </w:p>
        </w:tc>
        <w:tc>
          <w:tcPr>
            <w:tcW w:w="464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 ocorrência guarda fonte, data e hora; a resposta do cálculo de risco informa os componentes, a fusão e o aviso aplicado</w:t>
            </w:r>
          </w:p>
        </w:tc>
      </w:tr>
    </w:tbl>
    <w:p>
      <w:pPr>
        <w:pStyle w:val="Fontedalegenda"/>
        <w:rPr/>
      </w:pPr>
      <w:r>
        <w:rPr/>
        <w:t>Fonte: elaborada pelos autores (2026).</w:t>
      </w:r>
    </w:p>
    <w:p>
      <w:pPr>
        <w:pStyle w:val="Heading2"/>
        <w:rPr/>
      </w:pPr>
      <w:bookmarkStart w:id="54" w:name="__RefHeading___Toc3661_984269736"/>
      <w:bookmarkStart w:id="55" w:name="_Toc28"/>
      <w:bookmarkEnd w:id="54"/>
      <w:r>
        <w:rPr/>
        <w:t>4.2 Cronograma de Projeto</w:t>
      </w:r>
      <w:bookmarkEnd w:id="55"/>
    </w:p>
    <w:p>
      <w:pPr>
        <w:pStyle w:val="Normal"/>
        <w:ind w:firstLine="709"/>
        <w:jc w:val="both"/>
        <w:rPr/>
      </w:pPr>
      <w:r>
        <w:rPr/>
        <w:t>O TCC II foi planejado em 17 semanas (01/07 a 30/10/2026), em quatro fases: replanejamento técnico, desenvolvimento paralelo, integração avançada e benchmark, e testes, validação e redação. Em outubro, o prazo de entrega foi antecipado para 16/10/2026. A Figura 1 mostra o cronograma executado; algumas atividades terminaram depois do planejado — o benchmark, por exemplo, teve os scripts prontos em agosto, mas só foi executado em 03/10, quando um banco real ficou disponível para a equipe.</w:t>
      </w:r>
    </w:p>
    <w:p>
      <w:pPr>
        <w:pStyle w:val="Legendauser"/>
        <w:keepNext w:val="true"/>
        <w:rPr/>
      </w:pPr>
      <w:r>
        <w:rPr/>
        <w:t xml:space="preserve">Figura </w:t>
      </w:r>
      <w:r>
        <w:rPr/>
        <w:fldChar w:fldCharType="begin"/>
      </w:r>
      <w:r>
        <w:rPr/>
        <w:instrText xml:space="preserve"> SEQ Figura \* ARABIC </w:instrText>
      </w:r>
      <w:r>
        <w:rPr/>
        <w:fldChar w:fldCharType="separate"/>
      </w:r>
      <w:r>
        <w:rPr/>
        <w:t>1</w:t>
      </w:r>
      <w:r>
        <w:rPr/>
        <w:fldChar w:fldCharType="end"/>
      </w:r>
      <w:r>
        <w:rPr/>
        <w:t xml:space="preserve"> – Cronograma executado do TCC II (diagrama de Gantt)</w:t>
      </w:r>
    </w:p>
    <w:p>
      <w:pPr>
        <w:pStyle w:val="Normal"/>
        <w:keepNext w:val="true"/>
        <w:spacing w:lineRule="auto" w:line="240"/>
        <w:jc w:val="center"/>
        <w:rPr/>
      </w:pPr>
      <w:r>
        <w:rPr/>
        <w:drawing>
          <wp:inline distT="0" distB="0" distL="0" distR="0">
            <wp:extent cx="5762625" cy="3257550"/>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5762625" cy="3257550"/>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t>Os papéis e as responsabilidades de cada integrante estão na Tabela 6.</w:t>
      </w:r>
    </w:p>
    <w:p>
      <w:pPr>
        <w:pStyle w:val="Legendauser"/>
        <w:keepNext w:val="true"/>
        <w:rPr/>
      </w:pPr>
      <w:r>
        <w:rPr/>
        <w:t xml:space="preserve">Tabela </w:t>
      </w:r>
      <w:r>
        <w:rPr/>
        <w:fldChar w:fldCharType="begin"/>
      </w:r>
      <w:r>
        <w:rPr/>
        <w:instrText xml:space="preserve"> SEQ Tabela \* ARABIC </w:instrText>
      </w:r>
      <w:r>
        <w:rPr/>
        <w:fldChar w:fldCharType="separate"/>
      </w:r>
      <w:r>
        <w:rPr/>
        <w:t>6</w:t>
      </w:r>
      <w:r>
        <w:rPr/>
        <w:fldChar w:fldCharType="end"/>
      </w:r>
      <w:r>
        <w:rPr/>
        <w:t xml:space="preserve"> – Papéis e responsabilidades da equipe</w:t>
      </w:r>
    </w:p>
    <w:tbl>
      <w:tblPr>
        <w:tblW w:w="9071" w:type="dxa"/>
        <w:jc w:val="left"/>
        <w:tblInd w:w="85" w:type="dxa"/>
        <w:tblLayout w:type="fixed"/>
        <w:tblCellMar>
          <w:top w:w="40" w:type="dxa"/>
          <w:left w:w="80" w:type="dxa"/>
          <w:bottom w:w="40" w:type="dxa"/>
          <w:right w:w="80" w:type="dxa"/>
        </w:tblCellMar>
      </w:tblPr>
      <w:tblGrid>
        <w:gridCol w:w="2320"/>
        <w:gridCol w:w="1898"/>
        <w:gridCol w:w="4853"/>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Integrante</w:t>
            </w:r>
          </w:p>
        </w:tc>
        <w:tc>
          <w:tcPr>
            <w:tcW w:w="189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Papel</w:t>
            </w:r>
          </w:p>
        </w:tc>
        <w:tc>
          <w:tcPr>
            <w:tcW w:w="485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Principais responsabilidades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Henrique Martins da Luz</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Backend e liderança técnica</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Modelagem PostgreSQL/PostGIS, endpoints REST, repositório de dados, benchmark de indexação espacial e otimizações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João Pedro Loureiro Lourenço</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Integração e full stack</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Levantamento das fontes de dados, fusão climática, modelo AHP, testes automatizados, integração do aplicativo com a API, critérios de desempenho e plano de testes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Marlon Alves Ferreira</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e documentação</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Telas de mapa, listagem, detalhes, configurações e perfil; padronização visual; avaliação de usabilidade</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Guilherme Ayres Camarini</w:t>
            </w:r>
          </w:p>
        </w:tc>
        <w:tc>
          <w:tcPr>
            <w:tcW w:w="189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w:t>
            </w:r>
          </w:p>
        </w:tc>
        <w:tc>
          <w:tcPr>
            <w:tcW w:w="485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Telas de entrada, cadastro e filtros; notificações locais; casos de teste e organização das referências</w:t>
            </w:r>
          </w:p>
        </w:tc>
      </w:tr>
    </w:tbl>
    <w:p>
      <w:pPr>
        <w:pStyle w:val="Fontedalegenda"/>
        <w:rPr/>
      </w:pPr>
      <w:r>
        <w:rPr/>
        <w:t>Fonte: elaborada pelos autores (2026).</w:t>
      </w:r>
    </w:p>
    <w:p>
      <w:pPr>
        <w:pStyle w:val="Heading2"/>
        <w:rPr/>
      </w:pPr>
      <w:bookmarkStart w:id="56" w:name="__RefHeading___Toc3663_984269736"/>
      <w:bookmarkStart w:id="57" w:name="_Toc29"/>
      <w:bookmarkEnd w:id="56"/>
      <w:r>
        <w:rPr/>
        <w:t>4.3 Desenho da Arquitetura do Software</w:t>
      </w:r>
      <w:bookmarkEnd w:id="57"/>
    </w:p>
    <w:p>
      <w:pPr>
        <w:pStyle w:val="Normal"/>
        <w:ind w:firstLine="709"/>
        <w:jc w:val="both"/>
        <w:rPr/>
      </w:pPr>
      <w:r>
        <w:rPr/>
        <w:t>O sistema segue uma arquitetura cliente-servidor em três camadas: um aplicativo Android (cliente), uma API REST (servidor de aplicação) e um banco de dados geoespacial. O servidor também consulta três serviços meteorológicos externos. A Figura 2 mostra os componentes e suas ligações.</w:t>
      </w:r>
    </w:p>
    <w:p>
      <w:pPr>
        <w:pStyle w:val="Legendauser"/>
        <w:keepNext w:val="true"/>
        <w:rPr/>
      </w:pPr>
      <w:r>
        <w:rPr/>
        <w:t xml:space="preserve">Figura </w:t>
      </w:r>
      <w:r>
        <w:rPr/>
        <w:fldChar w:fldCharType="begin"/>
      </w:r>
      <w:r>
        <w:rPr/>
        <w:instrText xml:space="preserve"> SEQ Figura \* ARABIC </w:instrText>
      </w:r>
      <w:r>
        <w:rPr/>
        <w:fldChar w:fldCharType="separate"/>
      </w:r>
      <w:r>
        <w:rPr/>
        <w:t>2</w:t>
      </w:r>
      <w:r>
        <w:rPr/>
        <w:fldChar w:fldCharType="end"/>
      </w:r>
      <w:r>
        <w:rPr/>
        <w:t xml:space="preserve"> – Arquitetura do sistema</w:t>
      </w:r>
    </w:p>
    <w:p>
      <w:pPr>
        <w:pStyle w:val="Normal"/>
        <w:keepNext w:val="true"/>
        <w:spacing w:lineRule="auto" w:line="240"/>
        <w:jc w:val="center"/>
        <w:rPr/>
      </w:pPr>
      <w:r>
        <w:rPr/>
        <w:drawing>
          <wp:inline distT="0" distB="0" distL="0" distR="0">
            <wp:extent cx="5762625" cy="360045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762625" cy="3600450"/>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b/>
          <w:bCs/>
        </w:rPr>
        <w:t>Aplicativo Android.</w:t>
      </w:r>
      <w:r>
        <w:rPr/>
        <w:t xml:space="preserve"> Desenvolvido em Kotlin com interfaces XML, usa o Google Maps SDK para o mapa, o Retrofit para consumir a API e o geocodificador do próprio Android para converter endereços em coordenadas (Seção 4.5.3).</w:t>
      </w:r>
    </w:p>
    <w:p>
      <w:pPr>
        <w:pStyle w:val="Normal"/>
        <w:ind w:firstLine="709"/>
        <w:jc w:val="both"/>
        <w:rPr/>
      </w:pPr>
      <w:r>
        <w:rPr>
          <w:b/>
          <w:bCs/>
        </w:rPr>
        <w:t>API REST.</w:t>
      </w:r>
      <w:r>
        <w:rPr/>
        <w:t xml:space="preserve"> Implementada com FastAPI, que gera a validação dos dados e a documentação interativa (OpenAPI, em </w:t>
      </w:r>
      <w:r>
        <w:rPr>
          <w:rFonts w:eastAsia="Courier New" w:cs="Courier New" w:ascii="Courier New" w:hAnsi="Courier New"/>
          <w:sz w:val="22"/>
          <w:szCs w:val="22"/>
        </w:rPr>
        <w:t>/docs</w:t>
      </w:r>
      <w:r>
        <w:rPr/>
        <w:t>) a partir dos contratos declarados. As operações estão na Tabela 7.</w:t>
      </w:r>
    </w:p>
    <w:p>
      <w:pPr>
        <w:pStyle w:val="Legendauser"/>
        <w:keepNext w:val="true"/>
        <w:rPr/>
      </w:pPr>
      <w:r>
        <w:rPr/>
        <w:t xml:space="preserve">Tabela </w:t>
      </w:r>
      <w:r>
        <w:rPr/>
        <w:fldChar w:fldCharType="begin"/>
      </w:r>
      <w:r>
        <w:rPr/>
        <w:instrText xml:space="preserve"> SEQ Tabela \* ARABIC </w:instrText>
      </w:r>
      <w:r>
        <w:rPr/>
        <w:fldChar w:fldCharType="separate"/>
      </w:r>
      <w:r>
        <w:rPr/>
        <w:t>7</w:t>
      </w:r>
      <w:r>
        <w:rPr/>
        <w:fldChar w:fldCharType="end"/>
      </w:r>
      <w:r>
        <w:rPr/>
        <w:t xml:space="preserve"> – Operações da API</w:t>
      </w:r>
    </w:p>
    <w:tbl>
      <w:tblPr>
        <w:tblW w:w="9071" w:type="dxa"/>
        <w:jc w:val="left"/>
        <w:tblInd w:w="85" w:type="dxa"/>
        <w:tblLayout w:type="fixed"/>
        <w:tblCellMar>
          <w:top w:w="40" w:type="dxa"/>
          <w:left w:w="80" w:type="dxa"/>
          <w:bottom w:w="40" w:type="dxa"/>
          <w:right w:w="80" w:type="dxa"/>
        </w:tblCellMar>
      </w:tblPr>
      <w:tblGrid>
        <w:gridCol w:w="2320"/>
        <w:gridCol w:w="6751"/>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Método e rota</w:t>
            </w:r>
          </w:p>
        </w:tc>
        <w:tc>
          <w:tcPr>
            <w:tcW w:w="675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Função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 /ocorrencias</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Registra uma ocorrência. Sem nível de risco, o risco é calculado automaticamente. Pontos fora de São Caetano do Sul são recusados (HTTP 422).</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/ocorrencias</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 ocorrências com filtros de fonte, nível, período e região (retângulo), paginação e ordenação da mais recente para a mais antiga.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/ocorrencias/{id}</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 de uma ocorrência.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GET /risco</w:t>
            </w:r>
          </w:p>
        </w:tc>
        <w:tc>
          <w:tcPr>
            <w:tcW w:w="675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Risco de alagamento calculado agora para uma coordenada, com o valor de cada componente, a fusão das fontes e o aviso aplicado. Não grava nada.</w:t>
            </w:r>
          </w:p>
        </w:tc>
      </w:tr>
    </w:tbl>
    <w:p>
      <w:pPr>
        <w:pStyle w:val="Fontedalegenda"/>
        <w:rPr/>
      </w:pPr>
      <w:r>
        <w:rPr/>
        <w:t>Fonte: elaborada pelos autores (2026).</w:t>
      </w:r>
    </w:p>
    <w:p>
      <w:pPr>
        <w:pStyle w:val="Normal"/>
        <w:ind w:firstLine="709"/>
        <w:jc w:val="both"/>
        <w:rPr/>
      </w:pPr>
      <w:r>
        <w:rPr>
          <w:b/>
          <w:bCs/>
        </w:rPr>
        <w:t>Camada de serviços.</w:t>
      </w:r>
      <w:r>
        <w:rPr/>
        <w:t xml:space="preserve"> Separa as rotas da lógica de domínio. O serviço de classificação orquestra o cálculo automático; o serviço colaborativo agrega os relatos vizinhos; o módulo de fusão climática consulta as fontes em paralelo, funde as medidas e guarda o resultado em cache; e o módulo do algoritmo implementa o índice AHP.</w:t>
      </w:r>
    </w:p>
    <w:p>
      <w:pPr>
        <w:pStyle w:val="Normal"/>
        <w:ind w:firstLine="709"/>
        <w:jc w:val="both"/>
        <w:rPr/>
      </w:pPr>
      <w:r>
        <w:rPr>
          <w:b/>
          <w:bCs/>
        </w:rPr>
        <w:t>Camada de dados.</w:t>
      </w:r>
      <w:r>
        <w:rPr/>
        <w:t xml:space="preserve"> O acesso ao banco passa por um repositório com interface definida. As rotas não usam o SQLAlchemy diretamente, o que permite testá-las com uma implementação em memória. Os valores válidos de nível de risco e de fonte ficam em um único módulo, reutilizado pelo banco (restrições </w:t>
      </w:r>
      <w:r>
        <w:rPr>
          <w:rFonts w:eastAsia="Courier New" w:cs="Courier New" w:ascii="Courier New" w:hAnsi="Courier New"/>
          <w:sz w:val="22"/>
          <w:szCs w:val="22"/>
        </w:rPr>
        <w:t>CHECK</w:t>
      </w:r>
      <w:r>
        <w:rPr/>
        <w:t>) e pela API (validação), evitando divergência entre as camadas.</w:t>
      </w:r>
    </w:p>
    <w:p>
      <w:pPr>
        <w:pStyle w:val="Heading3"/>
        <w:rPr/>
      </w:pPr>
      <w:bookmarkStart w:id="58" w:name="__RefHeading___Toc3665_984269736"/>
      <w:bookmarkStart w:id="59" w:name="_Toc30"/>
      <w:bookmarkEnd w:id="58"/>
      <w:r>
        <w:rPr/>
        <w:t>4.3.1 Fluxo do cadastro com risco automático</w:t>
      </w:r>
      <w:bookmarkEnd w:id="59"/>
    </w:p>
    <w:p>
      <w:pPr>
        <w:pStyle w:val="ListParagraph"/>
        <w:numPr>
          <w:ilvl w:val="0"/>
          <w:numId w:val="16"/>
        </w:numPr>
        <w:jc w:val="both"/>
        <w:rPr/>
      </w:pPr>
      <w:r>
        <w:rPr/>
        <w:t>O usuário marca o local e envia o relato sem escolher o nível.</w:t>
      </w:r>
    </w:p>
    <w:p>
      <w:pPr>
        <w:pStyle w:val="ListParagraph"/>
        <w:numPr>
          <w:ilvl w:val="0"/>
          <w:numId w:val="5"/>
        </w:numPr>
        <w:jc w:val="both"/>
        <w:rPr/>
      </w:pPr>
      <w:r>
        <w:rPr/>
        <w:t xml:space="preserve">O aplicativo faz </w:t>
      </w:r>
      <w:r>
        <w:rPr>
          <w:rFonts w:eastAsia="Courier New" w:cs="Courier New" w:ascii="Courier New" w:hAnsi="Courier New"/>
          <w:sz w:val="22"/>
          <w:szCs w:val="22"/>
        </w:rPr>
        <w:t>POST /ocorrencias</w:t>
      </w:r>
      <w:r>
        <w:rPr/>
        <w:t xml:space="preserve"> sem o campo de nível de risco.</w:t>
      </w:r>
    </w:p>
    <w:p>
      <w:pPr>
        <w:pStyle w:val="ListParagraph"/>
        <w:numPr>
          <w:ilvl w:val="0"/>
          <w:numId w:val="5"/>
        </w:numPr>
        <w:jc w:val="both"/>
        <w:rPr/>
      </w:pPr>
      <w:r>
        <w:rPr/>
        <w:t>A API confere se o ponto está em São Caetano do Sul e pede a classificação à camada de serviços, que busca os dados climáticos da célula de cerca de 1 km (do cache, se consultados há menos de 10 minutos), calcula o componente colaborativo, aplica o índice AHP e, por fim, o piso dos avisos oficiais do INMET vigentes.</w:t>
      </w:r>
    </w:p>
    <w:p>
      <w:pPr>
        <w:pStyle w:val="ListParagraph"/>
        <w:numPr>
          <w:ilvl w:val="0"/>
          <w:numId w:val="5"/>
        </w:numPr>
        <w:jc w:val="both"/>
        <w:rPr/>
      </w:pPr>
      <w:r>
        <w:rPr/>
        <w:t>A ocorrência é gravada com o nível calculado e a chuva usada, na mesma transação do registro do componente colaborativo.</w:t>
      </w:r>
    </w:p>
    <w:p>
      <w:pPr>
        <w:pStyle w:val="ListParagraph"/>
        <w:numPr>
          <w:ilvl w:val="0"/>
          <w:numId w:val="5"/>
        </w:numPr>
        <w:jc w:val="both"/>
        <w:rPr/>
      </w:pPr>
      <w:r>
        <w:rPr/>
        <w:t>A API devolve a ocorrência criada, e o aplicativo abre os detalhes com o risco calculado.</w:t>
      </w:r>
    </w:p>
    <w:p>
      <w:pPr>
        <w:pStyle w:val="Normal"/>
        <w:ind w:firstLine="709"/>
        <w:jc w:val="both"/>
        <w:rPr/>
      </w:pPr>
      <w:r>
        <w:rPr/>
        <w:t xml:space="preserve">A consulta </w:t>
      </w:r>
      <w:r>
        <w:rPr>
          <w:rFonts w:eastAsia="Courier New" w:cs="Courier New" w:ascii="Courier New" w:hAnsi="Courier New"/>
          <w:sz w:val="22"/>
          <w:szCs w:val="22"/>
        </w:rPr>
        <w:t>GET /risco</w:t>
      </w:r>
      <w:r>
        <w:rPr/>
        <w:t xml:space="preserve"> usa o mesmo caminho, sem gravar nada, e alimenta a aba Previsão do aplicativo. A Figura 3 detalha as etapas do cálculo e o que acontece quando cada fonte falha.</w:t>
      </w:r>
    </w:p>
    <w:p>
      <w:pPr>
        <w:pStyle w:val="Legendauser"/>
        <w:keepNext w:val="true"/>
        <w:rPr/>
      </w:pPr>
      <w:r>
        <w:rPr/>
        <w:t xml:space="preserve">Figura </w:t>
      </w:r>
      <w:r>
        <w:rPr/>
        <w:fldChar w:fldCharType="begin"/>
      </w:r>
      <w:r>
        <w:rPr/>
        <w:instrText xml:space="preserve"> SEQ Figura \* ARABIC </w:instrText>
      </w:r>
      <w:r>
        <w:rPr/>
        <w:fldChar w:fldCharType="separate"/>
      </w:r>
      <w:r>
        <w:rPr/>
        <w:t>3</w:t>
      </w:r>
      <w:r>
        <w:rPr/>
        <w:fldChar w:fldCharType="end"/>
      </w:r>
      <w:r>
        <w:rPr/>
        <w:t xml:space="preserve"> – Etapas do cálculo de risco e caminhos de falha</w:t>
      </w:r>
    </w:p>
    <w:p>
      <w:pPr>
        <w:pStyle w:val="Normal"/>
        <w:keepNext w:val="true"/>
        <w:spacing w:lineRule="auto" w:line="240"/>
        <w:jc w:val="center"/>
        <w:rPr/>
      </w:pPr>
      <w:r>
        <w:rPr/>
        <w:drawing>
          <wp:inline distT="0" distB="0" distL="0" distR="0">
            <wp:extent cx="5581650" cy="4352925"/>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581650" cy="4352925"/>
                    </a:xfrm>
                    <a:prstGeom prst="rect">
                      <a:avLst/>
                    </a:prstGeom>
                    <a:noFill/>
                  </pic:spPr>
                </pic:pic>
              </a:graphicData>
            </a:graphic>
          </wp:inline>
        </w:drawing>
      </w:r>
    </w:p>
    <w:p>
      <w:pPr>
        <w:pStyle w:val="Fontedalegenda"/>
        <w:rPr/>
      </w:pPr>
      <w:r>
        <w:rPr/>
        <w:t>Fonte: elaborada pelos autores (2026).</w:t>
      </w:r>
    </w:p>
    <w:p>
      <w:pPr>
        <w:pStyle w:val="Heading3"/>
        <w:rPr/>
      </w:pPr>
      <w:bookmarkStart w:id="60" w:name="__RefHeading___Toc3667_984269736"/>
      <w:bookmarkStart w:id="61" w:name="_Toc31"/>
      <w:bookmarkEnd w:id="60"/>
      <w:r>
        <w:rPr/>
        <w:t>4.3.2 Implantação</w:t>
      </w:r>
      <w:bookmarkEnd w:id="61"/>
    </w:p>
    <w:p>
      <w:pPr>
        <w:pStyle w:val="Normal"/>
        <w:ind w:firstLine="709"/>
        <w:jc w:val="both"/>
        <w:rPr/>
      </w:pPr>
      <w:r>
        <w:rPr/>
        <w:t xml:space="preserve">O banco e a API são empacotados como contêineres Docker (serviços </w:t>
      </w:r>
      <w:r>
        <w:rPr>
          <w:rFonts w:eastAsia="Courier New" w:cs="Courier New" w:ascii="Courier New" w:hAnsi="Courier New"/>
          <w:sz w:val="22"/>
          <w:szCs w:val="22"/>
        </w:rPr>
        <w:t>db</w:t>
      </w:r>
      <w:r>
        <w:rPr/>
        <w:t xml:space="preserve"> e </w:t>
      </w:r>
      <w:r>
        <w:rPr>
          <w:rFonts w:eastAsia="Courier New" w:cs="Courier New" w:ascii="Courier New" w:hAnsi="Courier New"/>
          <w:sz w:val="22"/>
          <w:szCs w:val="22"/>
        </w:rPr>
        <w:t>api</w:t>
      </w:r>
      <w:r>
        <w:rPr/>
        <w:t>). As credenciais — a senha do banco e a chave do OpenWeather — vêm de variáveis de ambiente lidas de um arquivo fora do controle de versão. Durante o desenvolvimento, o ambiente rodou em um notebook da equipe, compartilhado com os demais integrantes por VPN privada (Tailscale), sem expor o banco na internet. A mesma imagem pode ser implantada em qualquer serviço de hospedagem de contêineres, mudando apenas as variáveis de ambiente; a hospedagem pública não foi feita (Seção 6.2). A Tabela 8 resume as decisões de arquitetura.</w:t>
      </w:r>
    </w:p>
    <w:p>
      <w:pPr>
        <w:pStyle w:val="Legendauser"/>
        <w:keepNext w:val="true"/>
        <w:rPr/>
      </w:pPr>
      <w:r>
        <w:rPr/>
        <w:t xml:space="preserve">Tabela </w:t>
      </w:r>
      <w:r>
        <w:rPr/>
        <w:fldChar w:fldCharType="begin"/>
      </w:r>
      <w:r>
        <w:rPr/>
        <w:instrText xml:space="preserve"> SEQ Tabela \* ARABIC </w:instrText>
      </w:r>
      <w:r>
        <w:rPr/>
        <w:fldChar w:fldCharType="separate"/>
      </w:r>
      <w:r>
        <w:rPr/>
        <w:t>8</w:t>
      </w:r>
      <w:r>
        <w:rPr/>
        <w:fldChar w:fldCharType="end"/>
      </w:r>
      <w:r>
        <w:rPr/>
        <w:t xml:space="preserve"> – Decisões de arquitetura e justificativas</w:t>
      </w:r>
    </w:p>
    <w:tbl>
      <w:tblPr>
        <w:tblW w:w="9071" w:type="dxa"/>
        <w:jc w:val="left"/>
        <w:tblInd w:w="85" w:type="dxa"/>
        <w:tblLayout w:type="fixed"/>
        <w:tblCellMar>
          <w:top w:w="40" w:type="dxa"/>
          <w:left w:w="80" w:type="dxa"/>
          <w:bottom w:w="40" w:type="dxa"/>
          <w:right w:w="80" w:type="dxa"/>
        </w:tblCellMar>
      </w:tblPr>
      <w:tblGrid>
        <w:gridCol w:w="2952"/>
        <w:gridCol w:w="6119"/>
      </w:tblGrid>
      <w:tr>
        <w:trPr>
          <w:tblHeader w:val="true"/>
          <w:cantSplit/>
        </w:trPr>
        <w:tc>
          <w:tcPr>
            <w:tcW w:w="295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Decisão</w:t>
            </w:r>
          </w:p>
        </w:tc>
        <w:tc>
          <w:tcPr>
            <w:tcW w:w="611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Justificativa</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PostgreSQL + PostGIS</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Tipos e índices espaciais nativos (GiST), avaliados no benchmark</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FastAPI</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Validação e documentação OpenAPI geradas a partir dos tipos</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Repositório com interface</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Rotas testáveis sem banco; troca de implementação sem alterar as rotas</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Consultas externas em paralelo + cache</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tempo do cadastro automático fica limitado à fonte mais lenta, e não à soma (RNF-03 e RNF-05)</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Duas fontes numéricas com regra de fusão</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Vale a maior medida (conservador), a divergência é registrada e a falha de uma fonte não interrompe o cálculo</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Redistribuição do peso colaborativo</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 falta de relatos não subestima o risco</w:t>
            </w:r>
          </w:p>
        </w:tc>
      </w:tr>
      <w:tr>
        <w:trPr>
          <w:cantSplit/>
        </w:trPr>
        <w:tc>
          <w:tcPr>
            <w:tcW w:w="29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Contêineres + variáveis de ambiente</w:t>
            </w:r>
          </w:p>
        </w:tc>
        <w:tc>
          <w:tcPr>
            <w:tcW w:w="611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Mesmo artefato em desenvolvimento e hospedagem, sem credenciais no repositório</w:t>
            </w:r>
          </w:p>
        </w:tc>
      </w:tr>
    </w:tbl>
    <w:p>
      <w:pPr>
        <w:pStyle w:val="Fontedalegenda"/>
        <w:rPr/>
      </w:pPr>
      <w:r>
        <w:rPr/>
        <w:t>Fonte: elaborada pelos autores (2026).</w:t>
      </w:r>
    </w:p>
    <w:p>
      <w:pPr>
        <w:pStyle w:val="Heading2"/>
        <w:rPr/>
      </w:pPr>
      <w:bookmarkStart w:id="62" w:name="__RefHeading___Toc3669_984269736"/>
      <w:bookmarkStart w:id="63" w:name="_Toc32"/>
      <w:bookmarkEnd w:id="62"/>
      <w:r>
        <w:rPr/>
        <w:t>4.4 Desenho do Projeto de Banco de Dados</w:t>
      </w:r>
      <w:bookmarkEnd w:id="63"/>
    </w:p>
    <w:p>
      <w:pPr>
        <w:pStyle w:val="Normal"/>
        <w:ind w:firstLine="709"/>
        <w:jc w:val="both"/>
        <w:rPr/>
      </w:pPr>
      <w:r>
        <w:rPr/>
        <w:t xml:space="preserve">O modelo de dados tem três tabelas, mostradas na Figura 4. A tabela </w:t>
      </w:r>
      <w:r>
        <w:rPr>
          <w:rFonts w:eastAsia="Courier New" w:cs="Courier New" w:ascii="Courier New" w:hAnsi="Courier New"/>
          <w:sz w:val="22"/>
          <w:szCs w:val="22"/>
        </w:rPr>
        <w:t>ocorrencias</w:t>
      </w:r>
      <w:r>
        <w:rPr/>
        <w:t xml:space="preserve"> guarda tanto os relatos dos usuários quanto, por projeto, leituras de fontes automáticas (identificadas pela coluna </w:t>
      </w:r>
      <w:r>
        <w:rPr>
          <w:rFonts w:eastAsia="Courier New" w:cs="Courier New" w:ascii="Courier New" w:hAnsi="Courier New"/>
          <w:sz w:val="22"/>
          <w:szCs w:val="22"/>
        </w:rPr>
        <w:t>fonte</w:t>
      </w:r>
      <w:r>
        <w:rPr/>
        <w:t xml:space="preserve">). A tabela </w:t>
      </w:r>
      <w:r>
        <w:rPr>
          <w:rFonts w:eastAsia="Courier New" w:cs="Courier New" w:ascii="Courier New" w:hAnsi="Courier New"/>
          <w:sz w:val="22"/>
          <w:szCs w:val="22"/>
        </w:rPr>
        <w:t>reportes_colaborativos_agregado</w:t>
      </w:r>
      <w:r>
        <w:rPr/>
        <w:t xml:space="preserve"> registra cada valor do componente colaborativo usado em uma classificação, com a área, a janela de tempo e a quantidade de relatos, o que torna esse componente rastreável. A tabela </w:t>
      </w:r>
      <w:r>
        <w:rPr>
          <w:rFonts w:eastAsia="Courier New" w:cs="Courier New" w:ascii="Courier New" w:hAnsi="Courier New"/>
          <w:sz w:val="22"/>
          <w:szCs w:val="22"/>
        </w:rPr>
        <w:t>estacoes_referencia</w:t>
      </w:r>
      <w:r>
        <w:rPr/>
        <w:t xml:space="preserve"> foi criada para as estações da ANA e ficou sem uso depois da retirada da fonte.</w:t>
      </w:r>
    </w:p>
    <w:p>
      <w:pPr>
        <w:pStyle w:val="Legendauser"/>
        <w:keepNext w:val="true"/>
        <w:rPr/>
      </w:pPr>
      <w:r>
        <w:rPr/>
        <w:t xml:space="preserve">Figura </w:t>
      </w:r>
      <w:r>
        <w:rPr/>
        <w:fldChar w:fldCharType="begin"/>
      </w:r>
      <w:r>
        <w:rPr/>
        <w:instrText xml:space="preserve"> SEQ Figura \* ARABIC </w:instrText>
      </w:r>
      <w:r>
        <w:rPr/>
        <w:fldChar w:fldCharType="separate"/>
      </w:r>
      <w:r>
        <w:rPr/>
        <w:t>4</w:t>
      </w:r>
      <w:r>
        <w:rPr/>
        <w:fldChar w:fldCharType="end"/>
      </w:r>
      <w:r>
        <w:rPr/>
        <w:t xml:space="preserve"> – Diagrama entidade-relacionamento do banco de dados</w:t>
      </w:r>
    </w:p>
    <w:p>
      <w:pPr>
        <w:pStyle w:val="Normal"/>
        <w:keepNext w:val="true"/>
        <w:spacing w:lineRule="auto" w:line="240"/>
        <w:jc w:val="center"/>
        <w:rPr/>
      </w:pPr>
      <w:r>
        <w:rPr/>
        <w:drawing>
          <wp:inline distT="0" distB="0" distL="0" distR="0">
            <wp:extent cx="5762625" cy="248602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762625" cy="2486025"/>
                    </a:xfrm>
                    <a:prstGeom prst="rect">
                      <a:avLst/>
                    </a:prstGeom>
                    <a:noFill/>
                  </pic:spPr>
                </pic:pic>
              </a:graphicData>
            </a:graphic>
          </wp:inline>
        </w:drawing>
      </w:r>
    </w:p>
    <w:p>
      <w:pPr>
        <w:pStyle w:val="Fontedalegenda"/>
        <w:rPr/>
      </w:pPr>
      <w:r>
        <w:rPr/>
        <w:t>Fonte: elaborada pelos autores (2026).</w:t>
      </w:r>
    </w:p>
    <w:p>
      <w:pPr>
        <w:pStyle w:val="Normal"/>
        <w:ind w:firstLine="709"/>
        <w:jc w:val="both"/>
        <w:rPr/>
      </w:pPr>
      <w:r>
        <w:rPr>
          <w:b/>
          <w:bCs/>
        </w:rPr>
        <w:t>Sistema de referência e tipos.</w:t>
      </w:r>
      <w:r>
        <w:rPr/>
        <w:t xml:space="preserve"> As coordenadas são armazenadas em SRID 4326 (WGS 84, o mesmo do GPS e do Google Maps) com o tipo </w:t>
      </w:r>
      <w:r>
        <w:rPr>
          <w:i/>
          <w:iCs/>
        </w:rPr>
        <w:t>geometry</w:t>
      </w:r>
      <w:r>
        <w:rPr/>
        <w:t xml:space="preserve">, mais barato para filtros e indexação. Onde é preciso distância em metros — a vizinhança de 1 km do componente colaborativo —, a consulta converte para </w:t>
      </w:r>
      <w:r>
        <w:rPr>
          <w:i/>
          <w:iCs/>
        </w:rPr>
        <w:t>geography</w:t>
      </w:r>
      <w:r>
        <w:rPr/>
        <w:t xml:space="preserve"> apenas na verificação final. A coluna </w:t>
      </w:r>
      <w:r>
        <w:rPr>
          <w:rFonts w:eastAsia="Courier New" w:cs="Courier New" w:ascii="Courier New" w:hAnsi="Courier New"/>
          <w:sz w:val="22"/>
          <w:szCs w:val="22"/>
        </w:rPr>
        <w:t>geom</w:t>
      </w:r>
      <w:r>
        <w:rPr/>
        <w:t xml:space="preserve"> é mantida por um gatilho a partir da latitude e da longitude, de modo que a aplicação nunca precisa montar a geometria.</w:t>
      </w:r>
    </w:p>
    <w:p>
      <w:pPr>
        <w:pStyle w:val="Normal"/>
        <w:ind w:firstLine="709"/>
        <w:jc w:val="both"/>
        <w:rPr/>
      </w:pPr>
      <w:r>
        <w:rPr>
          <w:b/>
          <w:bCs/>
        </w:rPr>
        <w:t>Índices.</w:t>
      </w:r>
      <w:r>
        <w:rPr/>
        <w:t xml:space="preserve"> A coluna </w:t>
      </w:r>
      <w:r>
        <w:rPr>
          <w:rFonts w:eastAsia="Courier New" w:cs="Courier New" w:ascii="Courier New" w:hAnsi="Courier New"/>
          <w:sz w:val="22"/>
          <w:szCs w:val="22"/>
        </w:rPr>
        <w:t>geom</w:t>
      </w:r>
      <w:r>
        <w:rPr/>
        <w:t xml:space="preserve"> tem índice GiST — objeto do benchmark da Seção 5.3.3 —, e </w:t>
      </w:r>
      <w:r>
        <w:rPr>
          <w:rFonts w:eastAsia="Courier New" w:cs="Courier New" w:ascii="Courier New" w:hAnsi="Courier New"/>
          <w:sz w:val="22"/>
          <w:szCs w:val="22"/>
        </w:rPr>
        <w:t>data_hora</w:t>
      </w:r>
      <w:r>
        <w:rPr/>
        <w:t xml:space="preserve"> e </w:t>
      </w:r>
      <w:r>
        <w:rPr>
          <w:rFonts w:eastAsia="Courier New" w:cs="Courier New" w:ascii="Courier New" w:hAnsi="Courier New"/>
          <w:sz w:val="22"/>
          <w:szCs w:val="22"/>
        </w:rPr>
        <w:t>fonte</w:t>
      </w:r>
      <w:r>
        <w:rPr/>
        <w:t xml:space="preserve"> têm índices B-tree para os filtros mais comuns.</w:t>
      </w:r>
    </w:p>
    <w:p>
      <w:pPr>
        <w:pStyle w:val="Normal"/>
        <w:ind w:firstLine="709"/>
        <w:jc w:val="both"/>
        <w:rPr/>
      </w:pPr>
      <w:r>
        <w:rPr>
          <w:b/>
          <w:bCs/>
        </w:rPr>
        <w:t>Consultas espaciais.</w:t>
      </w:r>
      <w:r>
        <w:rPr/>
        <w:t xml:space="preserve"> O filtro de região do mapa e da lista usa o operador </w:t>
      </w:r>
      <w:r>
        <w:rPr>
          <w:rFonts w:eastAsia="Courier New" w:cs="Courier New" w:ascii="Courier New" w:hAnsi="Courier New"/>
          <w:sz w:val="22"/>
          <w:szCs w:val="22"/>
        </w:rPr>
        <w:t>&amp;&amp;</w:t>
      </w:r>
      <w:r>
        <w:rPr/>
        <w:t xml:space="preserve"> (sobreposição de caixas envolventes) contra um retângulo, resolvido diretamente pelo índice. Como a caixa envolvente de um ponto é o próprio ponto, o resultado já é exato:</w:t>
      </w:r>
    </w:p>
    <w:p>
      <w:pPr>
        <w:pStyle w:val="Normal"/>
        <w:keepNext w:val="true"/>
        <w:keepLines/>
        <w:spacing w:lineRule="auto" w:line="240" w:before="120" w:after="0"/>
        <w:ind w:left="567"/>
        <w:rPr/>
      </w:pPr>
      <w:r>
        <w:rPr>
          <w:rFonts w:eastAsia="Courier New" w:cs="Courier New" w:ascii="Courier New" w:hAnsi="Courier New"/>
          <w:sz w:val="18"/>
          <w:szCs w:val="18"/>
        </w:rPr>
        <w:t>SELECT * FROM ocorrencias</w:t>
      </w:r>
    </w:p>
    <w:p>
      <w:pPr>
        <w:pStyle w:val="Normal"/>
        <w:keepNext w:val="true"/>
        <w:keepLines/>
        <w:spacing w:lineRule="auto" w:line="240" w:before="0" w:after="0"/>
        <w:ind w:left="567"/>
        <w:rPr/>
      </w:pPr>
      <w:r>
        <w:rPr>
          <w:rFonts w:eastAsia="Courier New" w:cs="Courier New" w:ascii="Courier New" w:hAnsi="Courier New"/>
          <w:sz w:val="18"/>
          <w:szCs w:val="18"/>
        </w:rPr>
        <w:t>WHERE geom &amp;&amp; ST_MakeEnvelope(:lon_min, :lat_min, :lon_max, :lat_max, 4326)</w:t>
      </w:r>
    </w:p>
    <w:p>
      <w:pPr>
        <w:pStyle w:val="Normal"/>
        <w:keepNext w:val="false"/>
        <w:keepLines/>
        <w:spacing w:lineRule="auto" w:line="240" w:before="0" w:after="200"/>
        <w:ind w:left="567"/>
        <w:rPr/>
      </w:pPr>
      <w:r>
        <w:rPr>
          <w:rFonts w:eastAsia="Courier New" w:cs="Courier New" w:ascii="Courier New" w:hAnsi="Courier New"/>
          <w:sz w:val="18"/>
          <w:szCs w:val="18"/>
        </w:rPr>
        <w:t>ORDER BY data_hora DESC LIMIT 100;</w:t>
      </w:r>
    </w:p>
    <w:p>
      <w:pPr>
        <w:pStyle w:val="Normal"/>
        <w:ind w:firstLine="709"/>
        <w:jc w:val="both"/>
        <w:rPr/>
      </w:pPr>
      <w:r>
        <w:rPr/>
        <w:t xml:space="preserve">A busca dos relatos vizinhos usa o padrão de duas etapas do PostGIS: primeiro um filtro pelo índice contra um retângulo expandido em volta do ponto, depois a verificação exata do raio em metros com </w:t>
      </w:r>
      <w:r>
        <w:rPr>
          <w:i/>
          <w:iCs/>
        </w:rPr>
        <w:t>geography</w:t>
      </w:r>
      <w:r>
        <w:rPr/>
        <w:t>:</w:t>
      </w:r>
    </w:p>
    <w:p>
      <w:pPr>
        <w:pStyle w:val="Normal"/>
        <w:keepNext w:val="true"/>
        <w:keepLines/>
        <w:spacing w:lineRule="auto" w:line="240" w:before="120" w:after="0"/>
        <w:ind w:left="567"/>
        <w:rPr/>
      </w:pPr>
      <w:r>
        <w:rPr>
          <w:rFonts w:eastAsia="Courier New" w:cs="Courier New" w:ascii="Courier New" w:hAnsi="Courier New"/>
          <w:sz w:val="18"/>
          <w:szCs w:val="18"/>
        </w:rPr>
        <w:t>SELECT nivel_risco, data_hora,</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ST_Distance(geom::geography, :ponto::geography) AS distancia_m</w:t>
      </w:r>
    </w:p>
    <w:p>
      <w:pPr>
        <w:pStyle w:val="Normal"/>
        <w:keepNext w:val="true"/>
        <w:keepLines/>
        <w:spacing w:lineRule="auto" w:line="240" w:before="0" w:after="0"/>
        <w:ind w:left="567"/>
        <w:rPr/>
      </w:pPr>
      <w:r>
        <w:rPr>
          <w:rFonts w:eastAsia="Courier New" w:cs="Courier New" w:ascii="Courier New" w:hAnsi="Courier New"/>
          <w:sz w:val="18"/>
          <w:szCs w:val="18"/>
        </w:rPr>
        <w:t>FROM ocorrencias</w:t>
      </w:r>
    </w:p>
    <w:p>
      <w:pPr>
        <w:pStyle w:val="Normal"/>
        <w:keepNext w:val="true"/>
        <w:keepLines/>
        <w:spacing w:lineRule="auto" w:line="240" w:before="0" w:after="0"/>
        <w:ind w:left="567"/>
        <w:rPr/>
      </w:pPr>
      <w:r>
        <w:rPr>
          <w:rFonts w:eastAsia="Courier New" w:cs="Courier New" w:ascii="Courier New" w:hAnsi="Courier New"/>
          <w:sz w:val="18"/>
          <w:szCs w:val="18"/>
        </w:rPr>
        <w:t>WHERE fonte = 'usuario'</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data_hora BETWEEN :agora - interval '3 hours' AND :agora</w:t>
      </w:r>
    </w:p>
    <w:p>
      <w:pPr>
        <w:pStyle w:val="Normal"/>
        <w:keepNext w:val="true"/>
        <w:keepLines/>
        <w:spacing w:lineRule="auto" w:line="240" w:before="0" w:after="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geom &amp;&amp; ST_Expand(:ponto, :margem_graus)</w:t>
      </w:r>
    </w:p>
    <w:p>
      <w:pPr>
        <w:pStyle w:val="Normal"/>
        <w:keepNext w:val="false"/>
        <w:keepLines/>
        <w:spacing w:lineRule="auto" w:line="240" w:before="0" w:after="200"/>
        <w:ind w:left="567"/>
        <w:rPr/>
      </w:pPr>
      <w:r>
        <w:rPr>
          <w:rFonts w:eastAsia="Courier New" w:cs="Courier New" w:ascii="Courier New" w:hAnsi="Courier New"/>
          <w:sz w:val="18"/>
          <w:szCs w:val="18"/>
        </w:rPr>
        <w:t xml:space="preserve">  </w:t>
      </w:r>
      <w:r>
        <w:rPr>
          <w:rFonts w:eastAsia="Courier New" w:cs="Courier New" w:ascii="Courier New" w:hAnsi="Courier New"/>
          <w:sz w:val="18"/>
          <w:szCs w:val="18"/>
        </w:rPr>
        <w:t>AND ST_DWithin(geom::geography, :ponto::geography, 1000);</w:t>
      </w:r>
    </w:p>
    <w:p>
      <w:pPr>
        <w:pStyle w:val="Normal"/>
        <w:ind w:firstLine="709"/>
        <w:jc w:val="both"/>
        <w:rPr/>
      </w:pPr>
      <w:r>
        <w:rPr/>
        <w:t xml:space="preserve">A área registrada em </w:t>
      </w:r>
      <w:r>
        <w:rPr>
          <w:rFonts w:eastAsia="Courier New" w:cs="Courier New" w:ascii="Courier New" w:hAnsi="Courier New"/>
          <w:sz w:val="22"/>
          <w:szCs w:val="22"/>
        </w:rPr>
        <w:t>reportes_colaborativos_agregado</w:t>
      </w:r>
      <w:r>
        <w:rPr/>
        <w:t xml:space="preserve"> é um círculo de 1 km gerado com </w:t>
      </w:r>
      <w:r>
        <w:rPr>
          <w:rFonts w:eastAsia="Courier New" w:cs="Courier New" w:ascii="Courier New" w:hAnsi="Courier New"/>
          <w:sz w:val="22"/>
          <w:szCs w:val="22"/>
        </w:rPr>
        <w:t>ST_Buffer</w:t>
      </w:r>
      <w:r>
        <w:rPr/>
        <w:t xml:space="preserve"> sobre </w:t>
      </w:r>
      <w:r>
        <w:rPr>
          <w:i/>
          <w:iCs/>
        </w:rPr>
        <w:t>geography</w:t>
      </w:r>
      <w:r>
        <w:rPr/>
        <w:t>.</w:t>
      </w:r>
    </w:p>
    <w:p>
      <w:pPr>
        <w:pStyle w:val="Normal"/>
        <w:ind w:firstLine="709"/>
        <w:jc w:val="both"/>
        <w:rPr/>
      </w:pPr>
      <w:r>
        <w:rPr>
          <w:b/>
          <w:bCs/>
        </w:rPr>
        <w:t>Política de histórico.</w:t>
      </w:r>
      <w:r>
        <w:rPr/>
        <w:t xml:space="preserve"> Nenhuma ocorrência é apagada. O mapa mostra apenas as ocorrências ativas (últimas 24 horas, esmaecidas depois de 3 horas, quando deixam de contar no componente colaborativo), e o histórico completo continua disponível na aba Alertas.</w:t>
      </w:r>
    </w:p>
    <w:p>
      <w:pPr>
        <w:pStyle w:val="Heading2"/>
        <w:rPr/>
      </w:pPr>
      <w:bookmarkStart w:id="64" w:name="__RefHeading___Toc3671_984269736"/>
      <w:bookmarkStart w:id="65" w:name="_Toc33"/>
      <w:bookmarkEnd w:id="64"/>
      <w:r>
        <w:rPr/>
        <w:t>4.5 Implementação</w:t>
      </w:r>
      <w:bookmarkEnd w:id="65"/>
    </w:p>
    <w:p>
      <w:pPr>
        <w:pStyle w:val="Heading3"/>
        <w:rPr/>
      </w:pPr>
      <w:bookmarkStart w:id="66" w:name="__RefHeading___Toc3673_984269736"/>
      <w:bookmarkStart w:id="67" w:name="_Toc34"/>
      <w:bookmarkEnd w:id="66"/>
      <w:r>
        <w:rPr/>
        <w:t>4.5.1 Integração das fontes e regra de fusão</w:t>
      </w:r>
      <w:bookmarkEnd w:id="67"/>
    </w:p>
    <w:p>
      <w:pPr>
        <w:pStyle w:val="Normal"/>
        <w:ind w:firstLine="709"/>
        <w:jc w:val="both"/>
        <w:rPr/>
      </w:pPr>
      <w:r>
        <w:rPr/>
        <w:t>O módulo de fusão climática faz cinco consultas externas em paralelo, cada uma com limite de 10 s: condição atual e previsão do OpenWeather, chuva atual e previsão horária da Open-Meteo (uma única chamada) e previsão e avisos do INMET. O resultado fica em cache por 10 minutos para cada célula de 0,01° (cerca de 1 km) e, no caso do INMET, por município — a resposta é a mesma para qualquer ponto da cidade e tem cerca de 700 KB. Antes da fusão, as medidas são levadas a unidades comuns:</w:t>
      </w:r>
    </w:p>
    <w:p>
      <w:pPr>
        <w:pStyle w:val="ListParagraph"/>
        <w:numPr>
          <w:ilvl w:val="0"/>
          <w:numId w:val="17"/>
        </w:numPr>
        <w:jc w:val="both"/>
        <w:rPr/>
      </w:pPr>
      <w:r>
        <w:rPr>
          <w:b/>
          <w:bCs/>
        </w:rPr>
        <w:t>chuva atual:</w:t>
      </w:r>
      <w:r>
        <w:rPr/>
        <w:t xml:space="preserve"> o OpenWeather informa o acumulado da última hora (mm/h); a Open-Meteo, o acumulado dos últimos 15 minutos, convertido para mm/h;</w:t>
      </w:r>
    </w:p>
    <w:p>
      <w:pPr>
        <w:pStyle w:val="ListParagraph"/>
        <w:numPr>
          <w:ilvl w:val="0"/>
          <w:numId w:val="1"/>
        </w:numPr>
        <w:jc w:val="both"/>
        <w:rPr/>
      </w:pPr>
      <w:r>
        <w:rPr>
          <w:b/>
          <w:bCs/>
        </w:rPr>
        <w:t>previsão:</w:t>
      </w:r>
      <w:r>
        <w:rPr/>
        <w:t xml:space="preserve"> nas duas fontes, o maior acumulado em um bloco de 3 horas dentro das 24 horas seguintes (no OpenWeather, os blocos de 3 h da própria API; na Open-Meteo, blocos de 3 h formados a partir dos valores horários, a partir da primeira hora futura).</w:t>
      </w:r>
    </w:p>
    <w:p>
      <w:pPr>
        <w:pStyle w:val="Normal"/>
        <w:ind w:firstLine="709"/>
        <w:jc w:val="both"/>
        <w:rPr/>
      </w:pPr>
      <w:r>
        <w:rPr/>
        <w:t>Para cada variável, a regra de fusão é:</w:t>
      </w:r>
    </w:p>
    <w:p>
      <w:pPr>
        <w:pStyle w:val="Normal"/>
        <w:tabs>
          <w:tab w:val="clear" w:pos="720"/>
          <w:tab w:val="center" w:pos="4536" w:leader="none"/>
          <w:tab w:val="right" w:pos="9071" w:leader="none"/>
        </w:tabs>
        <w:spacing w:before="120" w:after="120"/>
        <w:rPr/>
      </w:pPr>
      <w:r>
        <w:rPr/>
        <w:tab/>
      </w:r>
      <w:r>
        <w:rPr>
          <w:i w:val="false"/>
          <w:iCs w:val="false"/>
        </w:rPr>
        <w:t>v = max(v_OpenWeather, v_Open-Meteo)</w:t>
      </w:r>
      <w:r>
        <w:rPr/>
        <w:tab/>
        <w:t>(3)</w:t>
      </w:r>
    </w:p>
    <w:p>
      <w:pPr>
        <w:pStyle w:val="Normal"/>
        <w:ind w:firstLine="709"/>
        <w:jc w:val="both"/>
        <w:rPr/>
      </w:pPr>
      <w:r>
        <w:rPr/>
        <w:t xml:space="preserve">O critério do maior valor é conservador, adequado a um sistema de alerta, em que subestimar o risco custa mais do que superestimá-lo. As fontes são consideradas </w:t>
      </w:r>
      <w:r>
        <w:rPr>
          <w:b/>
          <w:bCs/>
        </w:rPr>
        <w:t>divergentes</w:t>
      </w:r>
      <w:r>
        <w:rPr/>
        <w:t xml:space="preserve"> quando suas leituras caem em faixas diferentes da escala de intensidade de chuva (Seção 2.7); a divergência não muda o valor usado, mas é devolvida pela API e mostrada no aplicativo. Com uma só fonte disponível, usa-se a disponível; sem nenhuma, o risco não é calculado e a API responde com HTTP 503, orientando o usuário a informar o nível manualmente. A indisponibilidade do INMET não interrompe o cálculo. A única credencial, a chave do OpenWeather, é lida de variável de ambiente; Open-Meteo e INMET não exigem chave.</w:t>
      </w:r>
    </w:p>
    <w:p>
      <w:pPr>
        <w:pStyle w:val="Heading3"/>
        <w:rPr/>
      </w:pPr>
      <w:bookmarkStart w:id="68" w:name="__RefHeading___Toc3675_984269736"/>
      <w:bookmarkStart w:id="69" w:name="_Toc35"/>
      <w:bookmarkEnd w:id="68"/>
      <w:r>
        <w:rPr/>
        <w:t>4.5.2 Índice de Risco de Alagamento (modelo AHP)</w:t>
      </w:r>
      <w:bookmarkEnd w:id="69"/>
    </w:p>
    <w:p>
      <w:pPr>
        <w:pStyle w:val="Normal"/>
        <w:ind w:firstLine="709"/>
        <w:jc w:val="both"/>
        <w:rPr/>
      </w:pPr>
      <w:r>
        <w:rPr/>
        <w:t>O IRA combina três critérios: a precipitação atual (P, em mm/h, fundida), a previsão (F, o maior acumulado de 3 h nas próximas 24 h, em mm, fundida) e o componente colaborativo (C, de 0 a 100). Os pesos vêm da matriz de comparação pareada da Tabela 9, na escala de Saaty.</w:t>
      </w:r>
    </w:p>
    <w:p>
      <w:pPr>
        <w:pStyle w:val="Legendauser"/>
        <w:keepNext w:val="true"/>
        <w:rPr/>
      </w:pPr>
      <w:r>
        <w:rPr/>
        <w:t xml:space="preserve">Tabela </w:t>
      </w:r>
      <w:r>
        <w:rPr/>
        <w:fldChar w:fldCharType="begin"/>
      </w:r>
      <w:r>
        <w:rPr/>
        <w:instrText xml:space="preserve"> SEQ Tabela \* ARABIC </w:instrText>
      </w:r>
      <w:r>
        <w:rPr/>
        <w:fldChar w:fldCharType="separate"/>
      </w:r>
      <w:r>
        <w:rPr/>
        <w:t>9</w:t>
      </w:r>
      <w:r>
        <w:rPr/>
        <w:fldChar w:fldCharType="end"/>
      </w:r>
      <w:r>
        <w:rPr/>
        <w:t xml:space="preserve"> – Matriz de comparação pareada dos critérios</w:t>
      </w:r>
    </w:p>
    <w:tbl>
      <w:tblPr>
        <w:tblW w:w="9071" w:type="dxa"/>
        <w:jc w:val="left"/>
        <w:tblInd w:w="85" w:type="dxa"/>
        <w:tblLayout w:type="fixed"/>
        <w:tblCellMar>
          <w:top w:w="40" w:type="dxa"/>
          <w:left w:w="80" w:type="dxa"/>
          <w:bottom w:w="40" w:type="dxa"/>
          <w:right w:w="80" w:type="dxa"/>
        </w:tblCellMar>
      </w:tblPr>
      <w:tblGrid>
        <w:gridCol w:w="2403"/>
        <w:gridCol w:w="1748"/>
        <w:gridCol w:w="1421"/>
        <w:gridCol w:w="1529"/>
        <w:gridCol w:w="1970"/>
      </w:tblGrid>
      <w:tr>
        <w:trPr>
          <w:tblHeader w:val="true"/>
          <w:cantSplit/>
        </w:trPr>
        <w:tc>
          <w:tcPr>
            <w:tcW w:w="240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r>
          </w:p>
        </w:tc>
        <w:tc>
          <w:tcPr>
            <w:tcW w:w="174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Precipitação atual</w:t>
            </w:r>
          </w:p>
        </w:tc>
        <w:tc>
          <w:tcPr>
            <w:tcW w:w="142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Previsão</w:t>
            </w:r>
          </w:p>
        </w:tc>
        <w:tc>
          <w:tcPr>
            <w:tcW w:w="152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Colaborativo</w:t>
            </w:r>
          </w:p>
        </w:tc>
        <w:tc>
          <w:tcPr>
            <w:tcW w:w="197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Peso (autovetor)</w:t>
            </w:r>
          </w:p>
        </w:tc>
      </w:tr>
      <w:tr>
        <w:trPr>
          <w:cantSplit/>
        </w:trPr>
        <w:tc>
          <w:tcPr>
            <w:tcW w:w="240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Precipitação atual</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529"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97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53,96%</w:t>
            </w:r>
          </w:p>
        </w:tc>
      </w:tr>
      <w:tr>
        <w:trPr>
          <w:cantSplit/>
        </w:trPr>
        <w:tc>
          <w:tcPr>
            <w:tcW w:w="240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1/2</w:t>
            </w:r>
          </w:p>
        </w:tc>
        <w:tc>
          <w:tcPr>
            <w:tcW w:w="1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529"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97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29,70%</w:t>
            </w:r>
          </w:p>
        </w:tc>
      </w:tr>
      <w:tr>
        <w:trPr>
          <w:cantSplit/>
        </w:trPr>
        <w:tc>
          <w:tcPr>
            <w:tcW w:w="240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Colaborativo</w:t>
            </w:r>
          </w:p>
        </w:tc>
        <w:tc>
          <w:tcPr>
            <w:tcW w:w="1748"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1/3</w:t>
            </w:r>
          </w:p>
        </w:tc>
        <w:tc>
          <w:tcPr>
            <w:tcW w:w="1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1/2</w:t>
            </w:r>
          </w:p>
        </w:tc>
        <w:tc>
          <w:tcPr>
            <w:tcW w:w="1529"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97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16,34%</w:t>
            </w:r>
          </w:p>
        </w:tc>
      </w:tr>
    </w:tbl>
    <w:p>
      <w:pPr>
        <w:pStyle w:val="Fontedalegenda"/>
        <w:rPr/>
      </w:pPr>
      <w:r>
        <w:rPr/>
        <w:t>Fonte: elaborada pelos autores (2026).</w:t>
      </w:r>
    </w:p>
    <w:p>
      <w:pPr>
        <w:pStyle w:val="Normal"/>
        <w:ind w:firstLine="709"/>
        <w:jc w:val="both"/>
        <w:rPr/>
      </w:pPr>
      <w:r>
        <w:rPr/>
        <w:t xml:space="preserve">A precipitação atual foi julgada moderadamente mais importante que a previsão e entre moderada e fortemente mais importante que o componente colaborativo: a chuva medida é o indício mais direto de risco iminente, enquanto um relato isolado tem menor confiabilidade individual. Para essa matriz, λmax = 3,0092, CI = 0,0046 e, com RI = 0,58, </w:t>
      </w:r>
      <w:r>
        <w:rPr>
          <w:b/>
          <w:bCs/>
        </w:rPr>
        <w:t>CR = 0,0079</w:t>
      </w:r>
      <w:r>
        <w:rPr/>
        <w:t xml:space="preserve">, bem abaixo do limite de 0,10: os julgamentos são consistentes. Os pesos usados no sistema são o autovetor arredondado — </w:t>
      </w:r>
      <w:r>
        <w:rPr>
          <w:b/>
          <w:bCs/>
        </w:rPr>
        <w:t>54%, 30% e 16%</w:t>
      </w:r>
      <w:r>
        <w:rPr/>
        <w:t xml:space="preserve"> —, sem ajuste manual.</w:t>
      </w:r>
    </w:p>
    <w:p>
      <w:pPr>
        <w:pStyle w:val="Normal"/>
        <w:ind w:firstLine="709"/>
        <w:jc w:val="both"/>
        <w:rPr/>
      </w:pPr>
      <w:r>
        <w:rPr/>
        <w:t>Na versão anterior, com o pluviômetro da ANA como quarto critério, os pesos implementados (35/25/25/15) eram um ajuste da equipe sobre o autovetor da matriz (42/23/23/12). Com a retirada da ANA, a matriz foi reduzida mantendo os mesmos julgamentos, e o ajuste manual foi eliminado.</w:t>
      </w:r>
    </w:p>
    <w:p>
      <w:pPr>
        <w:pStyle w:val="Normal"/>
        <w:ind w:firstLine="709"/>
        <w:jc w:val="both"/>
        <w:rPr/>
      </w:pPr>
      <w:r>
        <w:rPr>
          <w:b/>
          <w:bCs/>
        </w:rPr>
        <w:t>Conversão para a escala comum.</w:t>
      </w:r>
      <w:r>
        <w:rPr/>
        <w:t xml:space="preserve"> Cada medida de chuva é convertida em uma pontuação de 0 a 100 por interpolação linear dentro das faixas de intensidade (Tabela 10). A previsão é convertida em taxa equivalente (F/3 mm/h) antes de passar pela mesma função.</w:t>
      </w:r>
    </w:p>
    <w:p>
      <w:pPr>
        <w:pStyle w:val="Legendauser"/>
        <w:keepNext w:val="true"/>
        <w:rPr/>
      </w:pPr>
      <w:r>
        <w:rPr/>
        <w:t xml:space="preserve">Tabela </w:t>
      </w:r>
      <w:r>
        <w:rPr/>
        <w:fldChar w:fldCharType="begin"/>
      </w:r>
      <w:r>
        <w:rPr/>
        <w:instrText xml:space="preserve"> SEQ Tabela \* ARABIC </w:instrText>
      </w:r>
      <w:r>
        <w:rPr/>
        <w:fldChar w:fldCharType="separate"/>
      </w:r>
      <w:r>
        <w:rPr/>
        <w:t>10</w:t>
      </w:r>
      <w:r>
        <w:rPr/>
        <w:fldChar w:fldCharType="end"/>
      </w:r>
      <w:r>
        <w:rPr/>
        <w:t xml:space="preserve"> – Conversão da intensidade de chuva em pontuação</w:t>
      </w:r>
    </w:p>
    <w:tbl>
      <w:tblPr>
        <w:tblW w:w="9071" w:type="dxa"/>
        <w:jc w:val="left"/>
        <w:tblInd w:w="85" w:type="dxa"/>
        <w:tblLayout w:type="fixed"/>
        <w:tblCellMar>
          <w:top w:w="40" w:type="dxa"/>
          <w:left w:w="80" w:type="dxa"/>
          <w:bottom w:w="40" w:type="dxa"/>
          <w:right w:w="80" w:type="dxa"/>
        </w:tblCellMar>
      </w:tblPr>
      <w:tblGrid>
        <w:gridCol w:w="2266"/>
        <w:gridCol w:w="3401"/>
        <w:gridCol w:w="3404"/>
      </w:tblGrid>
      <w:tr>
        <w:trPr>
          <w:tblHeader w:val="true"/>
          <w:cantSplit/>
        </w:trPr>
        <w:tc>
          <w:tcPr>
            <w:tcW w:w="226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Faixa</w:t>
            </w:r>
          </w:p>
        </w:tc>
        <w:tc>
          <w:tcPr>
            <w:tcW w:w="340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Intensidade (mm/h)</w:t>
            </w:r>
          </w:p>
        </w:tc>
        <w:tc>
          <w:tcPr>
            <w:tcW w:w="340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Pontuação</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 a 2,5</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 a 25</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Moderada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2,5 a 7,6</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25 a 50</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Forte</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7,6 a 50</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 a 80</w:t>
            </w:r>
          </w:p>
        </w:tc>
      </w:tr>
      <w:tr>
        <w:trPr>
          <w:cantSplit/>
        </w:trPr>
        <w:tc>
          <w:tcPr>
            <w:tcW w:w="226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Violenta</w:t>
            </w:r>
          </w:p>
        </w:tc>
        <w:tc>
          <w:tcPr>
            <w:tcW w:w="340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 ou mais</w:t>
            </w:r>
          </w:p>
        </w:tc>
        <w:tc>
          <w:tcPr>
            <w:tcW w:w="340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100</w:t>
            </w:r>
          </w:p>
        </w:tc>
      </w:tr>
    </w:tbl>
    <w:p>
      <w:pPr>
        <w:pStyle w:val="Fontedalegenda"/>
        <w:rPr/>
      </w:pPr>
      <w:r>
        <w:rPr/>
        <w:t>Fonte: elaborada pelos autores (2026).</w:t>
      </w:r>
    </w:p>
    <w:p>
      <w:pPr>
        <w:pStyle w:val="Normal"/>
        <w:ind w:firstLine="709"/>
        <w:jc w:val="both"/>
        <w:rPr/>
      </w:pPr>
      <w:r>
        <w:rPr>
          <w:b/>
          <w:bCs/>
        </w:rPr>
        <w:t>Índice e classe.</w:t>
      </w:r>
      <w:r>
        <w:rPr/>
        <w:t xml:space="preserve"> O índice é a soma ponderada:</w:t>
      </w:r>
    </w:p>
    <w:p>
      <w:pPr>
        <w:pStyle w:val="Normal"/>
        <w:tabs>
          <w:tab w:val="clear" w:pos="720"/>
          <w:tab w:val="center" w:pos="4536" w:leader="none"/>
          <w:tab w:val="right" w:pos="9071" w:leader="none"/>
        </w:tabs>
        <w:spacing w:before="120" w:after="120"/>
        <w:rPr/>
      </w:pPr>
      <w:r>
        <w:rPr/>
        <w:tab/>
      </w:r>
      <w:r>
        <w:rPr>
          <w:i w:val="false"/>
          <w:iCs w:val="false"/>
        </w:rPr>
        <w:t>IRA = 0,54 · s(P) + 0,30 · s(F/3) + 0,16 · C</w:t>
      </w:r>
      <w:r>
        <w:rPr/>
        <w:tab/>
        <w:t>(4)</w:t>
      </w:r>
    </w:p>
    <w:p>
      <w:pPr>
        <w:pStyle w:val="Normal"/>
        <w:jc w:val="both"/>
        <w:rPr/>
      </w:pPr>
      <w:r>
        <w:rPr/>
        <w:t>e a classe é Baixo para IRA &lt; 30, Médio para 30 ≤ IRA &lt; 60 e Alto para IRA ≥ 60. As três classes são rótulos operacionais do protótipo, não níveis oficiais da Defesa Civil.</w:t>
      </w:r>
    </w:p>
    <w:p>
      <w:pPr>
        <w:pStyle w:val="Normal"/>
        <w:ind w:firstLine="709"/>
        <w:jc w:val="both"/>
        <w:rPr/>
      </w:pPr>
      <w:r>
        <w:rPr>
          <w:b/>
          <w:bCs/>
        </w:rPr>
        <w:t>Ausência de relatos.</w:t>
      </w:r>
      <w:r>
        <w:rPr/>
        <w:t xml:space="preserve"> Sem relatos suficientes na vizinhança — o caso esperado em um piloto com poucos usuários —, o peso do componente colaborativo é redistribuído proporcionalmente entre os outros dois, em vez de ser tratado como risco zero, o que subestimaria o índice:</w:t>
      </w:r>
    </w:p>
    <w:p>
      <w:pPr>
        <w:pStyle w:val="Normal"/>
        <w:tabs>
          <w:tab w:val="clear" w:pos="720"/>
          <w:tab w:val="center" w:pos="4536" w:leader="none"/>
          <w:tab w:val="right" w:pos="9071" w:leader="none"/>
        </w:tabs>
        <w:spacing w:before="120" w:after="120"/>
        <w:rPr/>
      </w:pPr>
      <w:r>
        <w:rPr/>
        <w:tab/>
      </w:r>
      <w:r>
        <w:rPr>
          <w:i w:val="false"/>
          <w:iCs w:val="false"/>
        </w:rPr>
        <w:t>IRA = [0,54 · s(P) + 0,30 · s(F/3)] / 0,84</w:t>
      </w:r>
      <w:r>
        <w:rPr/>
        <w:tab/>
        <w:t>(5)</w:t>
      </w:r>
    </w:p>
    <w:p>
      <w:pPr>
        <w:pStyle w:val="Normal"/>
        <w:jc w:val="both"/>
        <w:rPr/>
      </w:pPr>
      <w:r>
        <w:rPr/>
        <w:t>o que equivale aos pesos 64,3% e 35,7%.</w:t>
      </w:r>
    </w:p>
    <w:p>
      <w:pPr>
        <w:pStyle w:val="Normal"/>
        <w:ind w:firstLine="709"/>
        <w:jc w:val="both"/>
        <w:rPr/>
      </w:pPr>
      <w:r>
        <w:rPr>
          <w:b/>
          <w:bCs/>
        </w:rPr>
        <w:t>Componente colaborativo.</w:t>
      </w:r>
      <w:r>
        <w:rPr/>
        <w:t xml:space="preserve"> Entram os relatos de usuários a até 1 km do ponto, feitos nas últimas 3 horas. O nível de cada relato é convertido no ponto médio da faixa correspondente (Baixo → 15, Médio → 45, Alto → 80) e ponderado pela proximidade no tempo e no espaço, com decaimentos lineares — peso 1 no instante e no local do relato, 0 após 3 h ou a 1 km:</w:t>
      </w:r>
    </w:p>
    <w:p>
      <w:pPr>
        <w:pStyle w:val="Normal"/>
        <w:tabs>
          <w:tab w:val="clear" w:pos="720"/>
          <w:tab w:val="center" w:pos="4536" w:leader="none"/>
          <w:tab w:val="right" w:pos="9071" w:leader="none"/>
        </w:tabs>
        <w:spacing w:before="120" w:after="120"/>
        <w:rPr/>
      </w:pPr>
      <w:r>
        <w:rPr/>
        <w:tab/>
      </w:r>
      <w:r>
        <w:rPr>
          <w:i w:val="false"/>
          <w:iCs w:val="false"/>
        </w:rPr>
        <w:t>C = Σ vₖ·wₖ / Σ wₖ,   wₖ = (1 − tₖ / 3 h) · (1 − dₖ / 1 km)</w:t>
      </w:r>
      <w:r>
        <w:rPr/>
        <w:tab/>
        <w:t>(6)</w:t>
      </w:r>
    </w:p>
    <w:p>
      <w:pPr>
        <w:pStyle w:val="Normal"/>
        <w:ind w:firstLine="709"/>
        <w:jc w:val="both"/>
        <w:rPr/>
      </w:pPr>
      <w:r>
        <w:rPr/>
        <w:t>Com menos de dois relatos, o componente é considerado ausente, para que um relato isolado não altere a classificação. Por exemplo, um relato Alto feito agora (peso 1) e um Baixo feito há 90 minutos (peso 0,5), ambos no ponto avaliado, resultam em C = (80 × 1 + 15 × 0,5) / 1,5 = 58,3. Os parâmetros (1 km, 3 h, mínimo de dois relatos) são escolhas de projeto do protótipo, não calibradas com dados reais.</w:t>
      </w:r>
    </w:p>
    <w:p>
      <w:pPr>
        <w:pStyle w:val="Normal"/>
        <w:ind w:firstLine="709"/>
        <w:jc w:val="both"/>
        <w:rPr/>
      </w:pPr>
      <w:r>
        <w:rPr>
          <w:b/>
          <w:bCs/>
        </w:rPr>
        <w:t>Piso dos avisos oficiais.</w:t>
      </w:r>
      <w:r>
        <w:rPr/>
        <w:t xml:space="preserve"> Os avisos do INMET não entram no índice, mas elevam a classe final quando ela está abaixo do nível de risco de alagamento que o próprio INMET declara em cada nível de aviso de chuva (Tabela 11). Só contam avisos de chuva vigentes no momento do cálculo; o piso nunca reduz a classe. A regra evita que o aplicativo mostre risco baixo ao lado de um alerta oficial de alagamento, usando o julgamento do órgão oficial em vez de um critério novo da equipe.</w:t>
      </w:r>
    </w:p>
    <w:p>
      <w:pPr>
        <w:pStyle w:val="Legendauser"/>
        <w:keepNext w:val="true"/>
        <w:rPr/>
      </w:pPr>
      <w:r>
        <w:rPr/>
        <w:t xml:space="preserve">Tabela </w:t>
      </w:r>
      <w:r>
        <w:rPr/>
        <w:fldChar w:fldCharType="begin"/>
      </w:r>
      <w:r>
        <w:rPr/>
        <w:instrText xml:space="preserve"> SEQ Tabela \* ARABIC </w:instrText>
      </w:r>
      <w:r>
        <w:rPr/>
        <w:fldChar w:fldCharType="separate"/>
      </w:r>
      <w:r>
        <w:rPr/>
        <w:t>11</w:t>
      </w:r>
      <w:r>
        <w:rPr/>
        <w:fldChar w:fldCharType="end"/>
      </w:r>
      <w:r>
        <w:rPr/>
        <w:t xml:space="preserve"> – Piso da classificação pelos avisos do INMET</w:t>
      </w:r>
    </w:p>
    <w:tbl>
      <w:tblPr>
        <w:tblW w:w="9071" w:type="dxa"/>
        <w:jc w:val="left"/>
        <w:tblInd w:w="85" w:type="dxa"/>
        <w:tblLayout w:type="fixed"/>
        <w:tblCellMar>
          <w:top w:w="40" w:type="dxa"/>
          <w:left w:w="80" w:type="dxa"/>
          <w:bottom w:w="40" w:type="dxa"/>
          <w:right w:w="80" w:type="dxa"/>
        </w:tblCellMar>
      </w:tblPr>
      <w:tblGrid>
        <w:gridCol w:w="2320"/>
        <w:gridCol w:w="4429"/>
        <w:gridCol w:w="2322"/>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Nível do aviso</w:t>
            </w:r>
          </w:p>
        </w:tc>
        <w:tc>
          <w:tcPr>
            <w:tcW w:w="442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Risco de alagamento declarado pelo INMET</w:t>
            </w:r>
          </w:p>
        </w:tc>
        <w:tc>
          <w:tcPr>
            <w:tcW w:w="232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Classe mínima</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Perigo Potencial</w:t>
            </w:r>
          </w:p>
        </w:tc>
        <w:tc>
          <w:tcPr>
            <w:tcW w:w="442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"Baixo risco de alagamentos"</w:t>
            </w:r>
          </w:p>
        </w:tc>
        <w:tc>
          <w:tcPr>
            <w:tcW w:w="232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sem piso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Perigo</w:t>
            </w:r>
          </w:p>
        </w:tc>
        <w:tc>
          <w:tcPr>
            <w:tcW w:w="442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"Risco de alagamentos"</w:t>
            </w:r>
          </w:p>
        </w:tc>
        <w:tc>
          <w:tcPr>
            <w:tcW w:w="232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Médio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Grande Perigo</w:t>
            </w:r>
          </w:p>
        </w:tc>
        <w:tc>
          <w:tcPr>
            <w:tcW w:w="442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"Grande risco de grandes alagamentos"</w:t>
            </w:r>
          </w:p>
        </w:tc>
        <w:tc>
          <w:tcPr>
            <w:tcW w:w="232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Alto</w:t>
            </w:r>
          </w:p>
        </w:tc>
      </w:tr>
    </w:tbl>
    <w:p>
      <w:pPr>
        <w:pStyle w:val="Fontedalegenda"/>
        <w:rPr/>
      </w:pPr>
      <w:r>
        <w:rPr/>
        <w:t>Fonte: elaborada pelos autores (2026).</w:t>
      </w:r>
    </w:p>
    <w:p>
      <w:pPr>
        <w:pStyle w:val="Normal"/>
        <w:ind w:firstLine="709"/>
        <w:jc w:val="both"/>
        <w:rPr/>
      </w:pPr>
      <w:r>
        <w:rPr>
          <w:b/>
          <w:bCs/>
        </w:rPr>
        <w:t>Exemplo com dados reais.</w:t>
      </w:r>
      <w:r>
        <w:rPr/>
        <w:t xml:space="preserve"> Em 16/10/2026, durante chuva fraca no centro de São Caetano do Sul, o OpenWeather media 1,02 mm/h e a Open-Meteo 2,0 mm/h; a fusão usou 2,0 mm/h, sem divergência (as duas na faixa leve). Na previsão, o maior acumulado de 3 h era de 4,07 mm pelo OpenWeather e 5,1 mm pela Open-Meteo; valeu 5,1 mm (1,7 mm/h). As pontuações foram s(P) = 20,0 e s(F/3) = 17,0. Sem relatos suficientes, IRA = 20,0 × 0,643 + 17,0 × 0,357 = </w:t>
      </w:r>
      <w:r>
        <w:rPr>
          <w:b/>
          <w:bCs/>
        </w:rPr>
        <w:t>18,9 (Baixo)</w:t>
      </w:r>
      <w:r>
        <w:rPr/>
        <w:t>. Havia um aviso de Tempestade com nível Perigo Potencial vigente, que, pela regra, não elevou a classe.</w:t>
      </w:r>
    </w:p>
    <w:p>
      <w:pPr>
        <w:pStyle w:val="Heading3"/>
        <w:rPr/>
      </w:pPr>
      <w:bookmarkStart w:id="70" w:name="__RefHeading___Toc3677_984269736"/>
      <w:bookmarkStart w:id="71" w:name="_Toc36"/>
      <w:bookmarkEnd w:id="70"/>
      <w:r>
        <w:rPr/>
        <w:t>4.5.3 Aplicativo Android</w:t>
      </w:r>
      <w:bookmarkEnd w:id="71"/>
    </w:p>
    <w:p>
      <w:pPr>
        <w:pStyle w:val="Normal"/>
        <w:ind w:firstLine="709"/>
        <w:jc w:val="both"/>
        <w:rPr/>
      </w:pPr>
      <w:r>
        <w:rPr/>
        <w:t>As tecnologias do aplicativo estão na Tabela 12.</w:t>
      </w:r>
    </w:p>
    <w:p>
      <w:pPr>
        <w:pStyle w:val="Legendauser"/>
        <w:keepNext w:val="true"/>
        <w:rPr/>
      </w:pPr>
      <w:r>
        <w:rPr/>
        <w:t xml:space="preserve">Tabela </w:t>
      </w:r>
      <w:r>
        <w:rPr/>
        <w:fldChar w:fldCharType="begin"/>
      </w:r>
      <w:r>
        <w:rPr/>
        <w:instrText xml:space="preserve"> SEQ Tabela \* ARABIC </w:instrText>
      </w:r>
      <w:r>
        <w:rPr/>
        <w:fldChar w:fldCharType="separate"/>
      </w:r>
      <w:r>
        <w:rPr/>
        <w:t>12</w:t>
      </w:r>
      <w:r>
        <w:rPr/>
        <w:fldChar w:fldCharType="end"/>
      </w:r>
      <w:r>
        <w:rPr/>
        <w:t xml:space="preserve"> – Tecnologias do aplicativo Android</w:t>
      </w:r>
    </w:p>
    <w:tbl>
      <w:tblPr>
        <w:tblW w:w="9071" w:type="dxa"/>
        <w:jc w:val="left"/>
        <w:tblInd w:w="85" w:type="dxa"/>
        <w:tblLayout w:type="fixed"/>
        <w:tblCellMar>
          <w:top w:w="40" w:type="dxa"/>
          <w:left w:w="80" w:type="dxa"/>
          <w:bottom w:w="40" w:type="dxa"/>
          <w:right w:w="80" w:type="dxa"/>
        </w:tblCellMar>
      </w:tblPr>
      <w:tblGrid>
        <w:gridCol w:w="1897"/>
        <w:gridCol w:w="2954"/>
        <w:gridCol w:w="4220"/>
      </w:tblGrid>
      <w:tr>
        <w:trPr>
          <w:tblHeader w:val="true"/>
          <w:cantSplit/>
        </w:trPr>
        <w:tc>
          <w:tcPr>
            <w:tcW w:w="189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Item</w:t>
            </w:r>
          </w:p>
        </w:tc>
        <w:tc>
          <w:tcPr>
            <w:tcW w:w="295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Escolha</w:t>
            </w:r>
          </w:p>
        </w:tc>
        <w:tc>
          <w:tcPr>
            <w:tcW w:w="42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Motivo</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Linguagem</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Kotlin</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Linguagem recomendada para Android; corrotinas para chamadas de rede</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Interface</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XML + Android Views (Material Components)</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Decisão de replanejamento; componentes maduros e menor curva de aprendizado</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Google Maps SDK for Android</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Documentação extensa e suporte nativo a Views; plano gratuito suficiente</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Endereços</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Geocodificador do Android</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Sem chave nem custo; informa a cidade do endereço</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Comunicação</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Retrofit + Gson</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 operação da API é um método de interface</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Armazenamento local</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SharedPreferences</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Perfil e preferências ficam no aparelho</w:t>
            </w:r>
          </w:p>
        </w:tc>
      </w:tr>
      <w:tr>
        <w:trPr>
          <w:cantSplit/>
        </w:trPr>
        <w:tc>
          <w:tcPr>
            <w:tcW w:w="189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Compatibilidade</w:t>
            </w:r>
          </w:p>
        </w:tc>
        <w:tc>
          <w:tcPr>
            <w:tcW w:w="2954"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Android 7.0 (API 24) ou superior</w:t>
            </w:r>
          </w:p>
        </w:tc>
        <w:tc>
          <w:tcPr>
            <w:tcW w:w="42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Cobre a grande maioria dos aparelhos em uso</w:t>
            </w:r>
          </w:p>
        </w:tc>
      </w:tr>
    </w:tbl>
    <w:p>
      <w:pPr>
        <w:pStyle w:val="Fontedalegenda"/>
        <w:rPr/>
      </w:pPr>
      <w:r>
        <w:rPr/>
        <w:t>Fonte: elaborada pelos autores (2026).</w:t>
      </w:r>
    </w:p>
    <w:p>
      <w:pPr>
        <w:pStyle w:val="Normal"/>
        <w:ind w:firstLine="709"/>
        <w:jc w:val="both"/>
        <w:rPr/>
      </w:pPr>
      <w:r>
        <w:rPr/>
        <w:t xml:space="preserve">O aplicativo tem uma tela de entrada, que não pede cadastro nem senha — o nome é opcional e fica só no aparelho, e o único identificador enviado ao servidor é um código gerado pelo próprio aplicativo — e, depois dela, quatro abas — Mapa, Alertas, Previsão e Ajustes —, com as telas de detalhes, cadastro e perfil abertas por cima. As capturas das figuras a seguir foram feitas em emulador (Android 15, em português do Brasil e no fuso de São Paulo), com o aplicativo ligado à API e ao banco reais, dados climáticos reais e </w:t>
      </w:r>
      <w:r>
        <w:rPr>
          <w:b/>
          <w:bCs/>
        </w:rPr>
        <w:t>ocorrências de demonstração</w:t>
      </w:r>
      <w:r>
        <w:rPr/>
        <w:t>.</w:t>
      </w:r>
    </w:p>
    <w:p>
      <w:pPr>
        <w:pStyle w:val="Normal"/>
        <w:ind w:firstLine="709"/>
        <w:jc w:val="both"/>
        <w:rPr/>
      </w:pPr>
      <w:r>
        <w:rPr/>
        <w:t xml:space="preserve">A aba </w:t>
      </w:r>
      <w:r>
        <w:rPr>
          <w:b/>
          <w:bCs/>
        </w:rPr>
        <w:t>Mapa</w:t>
      </w:r>
      <w:r>
        <w:rPr/>
        <w:t xml:space="preserve"> (Figura 5) mostra apenas as ocorrências ativas — as das últimas 24 horas — como marcadores coloridos por nível de risco, com as de mais de 3 horas esmaecidas, um resumo da situação atual — que também serve de legenda das cores e explica os marcadores esmaecidos — e um alerta quando há ocorrências de risco alto. O toque em um marcador abre um painel com o nível, a fonte e a data, e daí os detalhes.</w:t>
      </w:r>
    </w:p>
    <w:p>
      <w:pPr>
        <w:pStyle w:val="Legendauser"/>
        <w:keepNext w:val="true"/>
        <w:rPr/>
      </w:pPr>
      <w:r>
        <w:rPr/>
        <w:t xml:space="preserve">Figura </w:t>
      </w:r>
      <w:r>
        <w:rPr/>
        <w:fldChar w:fldCharType="begin"/>
      </w:r>
      <w:r>
        <w:rPr/>
        <w:instrText xml:space="preserve"> SEQ Figura \* ARABIC </w:instrText>
      </w:r>
      <w:r>
        <w:rPr/>
        <w:fldChar w:fldCharType="separate"/>
      </w:r>
      <w:r>
        <w:rPr/>
        <w:t>5</w:t>
      </w:r>
      <w:r>
        <w:rPr/>
        <w:fldChar w:fldCharType="end"/>
      </w:r>
      <w:r>
        <w:rPr/>
        <w:t xml:space="preserve"> – Entrada (a), aba Mapa (b) e ocorrência selecionada no mapa (c)</w:t>
      </w:r>
    </w:p>
    <w:p>
      <w:pPr>
        <w:pStyle w:val="Normal"/>
        <w:keepNext w:val="true"/>
        <w:spacing w:lineRule="auto" w:line="240"/>
        <w:jc w:val="center"/>
        <w:rPr/>
      </w:pPr>
      <w:r>
        <w:rPr/>
        <w:drawing>
          <wp:inline distT="0" distB="0" distL="0" distR="0">
            <wp:extent cx="5581650" cy="4238625"/>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A aba </w:t>
      </w:r>
      <w:r>
        <w:rPr>
          <w:b/>
          <w:bCs/>
        </w:rPr>
        <w:t>Alertas</w:t>
      </w:r>
      <w:r>
        <w:rPr/>
        <w:t xml:space="preserve"> (Figura 6) lista as ocorrências da mais recente para a mais antiga, com filtros de região (todas, São Caetano do Sul ou perto do usuário), período (24 horas, 7 dias, 30 dias ou todo o histórico) e nível de risco, aplicados pelo servidor. O filtro "perto de mim" envia ao servidor o quadrado que contém o círculo do raio configurado, e o aplicativo recorta o círculo exato pela fórmula de haversine. Os detalhes (c) mostram a descrição do relato, o nível, a fonte, o clima no momento do registro e o endereço aproximado (rua e bairro), obtido pelo geocodificador do aparelho a partir das coordenadas.</w:t>
      </w:r>
    </w:p>
    <w:p>
      <w:pPr>
        <w:pStyle w:val="Legendauser"/>
        <w:keepNext w:val="true"/>
        <w:rPr/>
      </w:pPr>
      <w:r>
        <w:rPr/>
        <w:t xml:space="preserve">Figura </w:t>
      </w:r>
      <w:r>
        <w:rPr/>
        <w:fldChar w:fldCharType="begin"/>
      </w:r>
      <w:r>
        <w:rPr/>
        <w:instrText xml:space="preserve"> SEQ Figura \* ARABIC </w:instrText>
      </w:r>
      <w:r>
        <w:rPr/>
        <w:fldChar w:fldCharType="separate"/>
      </w:r>
      <w:r>
        <w:rPr/>
        <w:t>6</w:t>
      </w:r>
      <w:r>
        <w:rPr/>
        <w:fldChar w:fldCharType="end"/>
      </w:r>
      <w:r>
        <w:rPr/>
        <w:t xml:space="preserve"> – Aba Alertas (a), lista filtrada (b) e detalhes de uma ocorrência (c)</w:t>
      </w:r>
    </w:p>
    <w:p>
      <w:pPr>
        <w:pStyle w:val="Normal"/>
        <w:keepNext w:val="true"/>
        <w:spacing w:lineRule="auto" w:line="240"/>
        <w:jc w:val="center"/>
        <w:rPr/>
      </w:pPr>
      <w:r>
        <w:rPr/>
        <w:drawing>
          <wp:inline distT="0" distB="0" distL="0" distR="0">
            <wp:extent cx="5581650" cy="423862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O </w:t>
      </w:r>
      <w:r>
        <w:rPr>
          <w:b/>
          <w:bCs/>
        </w:rPr>
        <w:t>cadastro</w:t>
      </w:r>
      <w:r>
        <w:rPr/>
        <w:t xml:space="preserve"> (Figura 7, a) é o que torna o sistema colaborativo. O usuário marca o local digitando o endereço, tocando no mapa — que pode ser arrastado e ampliado — ou usando a localização do aparelho; escolhe o nível (Automático, Baixo, Médio ou Alto), com uma explicação sempre visível da diferença entre o cálculo automático e o nível escolhido por quem está no local; e, opcionalmente, descreve a situação. O local precisa estar em São Caetano do Sul: a cidade é conferida pelo geocodificador, e um ponto de outra cidade é recusado com o aviso "Localização informada não pertence a São Caetano do Sul". A aba </w:t>
      </w:r>
      <w:r>
        <w:rPr>
          <w:b/>
          <w:bCs/>
        </w:rPr>
        <w:t>Previsão</w:t>
      </w:r>
      <w:r>
        <w:rPr/>
        <w:t xml:space="preserve"> (b) mostra o risco calculado agora para a posição do usuário, os avisos oficiais do INMET e cada dado que entrou no cálculo; quando um aviso eleva a classe, a tela informa, por exemplo, "Elevado de BAIXO para MÉDIO pelo aviso do INMET". A origem de cada dado fica em cartões abertos por ícones de informação (c), que mostram o valor de cada fonte da fusão e avisam quando elas divergem.</w:t>
      </w:r>
    </w:p>
    <w:p>
      <w:pPr>
        <w:pStyle w:val="Legendauser"/>
        <w:keepNext w:val="true"/>
        <w:rPr/>
      </w:pPr>
      <w:r>
        <w:rPr/>
        <w:t xml:space="preserve">Figura </w:t>
      </w:r>
      <w:r>
        <w:rPr/>
        <w:fldChar w:fldCharType="begin"/>
      </w:r>
      <w:r>
        <w:rPr/>
        <w:instrText xml:space="preserve"> SEQ Figura \* ARABIC </w:instrText>
      </w:r>
      <w:r>
        <w:rPr/>
        <w:fldChar w:fldCharType="separate"/>
      </w:r>
      <w:r>
        <w:rPr/>
        <w:t>7</w:t>
      </w:r>
      <w:r>
        <w:rPr/>
        <w:fldChar w:fldCharType="end"/>
      </w:r>
      <w:r>
        <w:rPr/>
        <w:t xml:space="preserve"> – Cadastro de ocorrência (a), aba Previsão (b) e origem da chuva atual (c)</w:t>
      </w:r>
    </w:p>
    <w:p>
      <w:pPr>
        <w:pStyle w:val="Normal"/>
        <w:keepNext w:val="true"/>
        <w:spacing w:lineRule="auto" w:line="240"/>
        <w:jc w:val="center"/>
        <w:rPr/>
      </w:pPr>
      <w:r>
        <w:rPr/>
        <w:drawing>
          <wp:inline distT="0" distB="0" distL="0" distR="0">
            <wp:extent cx="5581650" cy="423862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8"/>
                    <a:stretch>
                      <a:fillRect/>
                    </a:stretch>
                  </pic:blipFill>
                  <pic:spPr bwMode="auto">
                    <a:xfrm>
                      <a:off x="0" y="0"/>
                      <a:ext cx="5581650" cy="4238625"/>
                    </a:xfrm>
                    <a:prstGeom prst="rect">
                      <a:avLst/>
                    </a:prstGeom>
                    <a:noFill/>
                  </pic:spPr>
                </pic:pic>
              </a:graphicData>
            </a:graphic>
          </wp:inline>
        </w:drawing>
      </w:r>
    </w:p>
    <w:p>
      <w:pPr>
        <w:pStyle w:val="Fontedalegenda"/>
        <w:rPr/>
      </w:pPr>
      <w:r>
        <w:rPr/>
        <w:t>Fonte: elaborada pelos autores (2026), com ocorrências de demonstração — não são alagamentos reais.</w:t>
      </w:r>
    </w:p>
    <w:p>
      <w:pPr>
        <w:pStyle w:val="Normal"/>
        <w:ind w:firstLine="709"/>
        <w:jc w:val="both"/>
        <w:rPr/>
      </w:pPr>
      <w:r>
        <w:rPr/>
        <w:t xml:space="preserve">Os </w:t>
      </w:r>
      <w:r>
        <w:rPr>
          <w:b/>
          <w:bCs/>
        </w:rPr>
        <w:t>Ajustes</w:t>
      </w:r>
      <w:r>
        <w:rPr/>
        <w:t xml:space="preserve"> (Figura 8) reúnem as preferências de alerta — ligar ou desligar, nível mínimo e raio de 1 a 20 km — e o perfil, que fica só no aparelho. Ao receber ocorrências, o aplicativo mostra uma notificação agrupada das que atendem às preferências, uma única vez por ocorrência; a verificação acontece com o aplicativo aberto.</w:t>
      </w:r>
    </w:p>
    <w:p>
      <w:pPr>
        <w:pStyle w:val="Legendauser"/>
        <w:keepNext w:val="true"/>
        <w:rPr/>
      </w:pPr>
      <w:r>
        <w:rPr/>
        <w:t xml:space="preserve">Figura </w:t>
      </w:r>
      <w:r>
        <w:rPr/>
        <w:fldChar w:fldCharType="begin"/>
      </w:r>
      <w:r>
        <w:rPr/>
        <w:instrText xml:space="preserve"> SEQ Figura \* ARABIC </w:instrText>
      </w:r>
      <w:r>
        <w:rPr/>
        <w:fldChar w:fldCharType="separate"/>
      </w:r>
      <w:r>
        <w:rPr/>
        <w:t>8</w:t>
      </w:r>
      <w:r>
        <w:rPr/>
        <w:fldChar w:fldCharType="end"/>
      </w:r>
      <w:r>
        <w:rPr/>
        <w:t xml:space="preserve"> – Aba Ajustes (a) e perfil do usuário (b)</w:t>
      </w:r>
    </w:p>
    <w:p>
      <w:pPr>
        <w:pStyle w:val="Normal"/>
        <w:keepNext w:val="true"/>
        <w:spacing w:lineRule="auto" w:line="240"/>
        <w:jc w:val="center"/>
        <w:rPr/>
      </w:pPr>
      <w:r>
        <w:rPr/>
        <w:drawing>
          <wp:inline distT="0" distB="0" distL="0" distR="0">
            <wp:extent cx="3781425" cy="4267200"/>
            <wp:effectExtent l="0" t="0" r="0" b="0"/>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9"/>
                    <a:stretch>
                      <a:fillRect/>
                    </a:stretch>
                  </pic:blipFill>
                  <pic:spPr bwMode="auto">
                    <a:xfrm>
                      <a:off x="0" y="0"/>
                      <a:ext cx="3781425" cy="4267200"/>
                    </a:xfrm>
                    <a:prstGeom prst="rect">
                      <a:avLst/>
                    </a:prstGeom>
                    <a:noFill/>
                  </pic:spPr>
                </pic:pic>
              </a:graphicData>
            </a:graphic>
          </wp:inline>
        </w:drawing>
      </w:r>
    </w:p>
    <w:p>
      <w:pPr>
        <w:pStyle w:val="Fontedalegenda"/>
        <w:rPr/>
      </w:pPr>
      <w:r>
        <w:rPr/>
        <w:t>Fonte: elaborada pelos autores (2026). O nome exibido no perfil é de um integrante da equipe.</w:t>
      </w:r>
    </w:p>
    <w:p>
      <w:pPr>
        <w:pStyle w:val="Normal"/>
        <w:ind w:firstLine="709"/>
        <w:jc w:val="both"/>
        <w:rPr/>
      </w:pPr>
      <w:r>
        <w:rPr/>
        <w:t>Em todas as telas, o nível de risco aparece por extenso ("ALTO", "MÉDIO", "BAIXO") além da cor, para não depender só da percepção de cores. As falhas de rede e as respostas de erro têm mensagens específicas: sem conexão (o formulário fica preenchido para reenviar), dados recusados (422) e risco automático indisponível (503). As coordenadas são sempre exibidas com ponto decimal, porque, em português, a vírgula decimal se confundia com a separação entre latitude e longitude. A tela de entrada sem senha, a legenda do mapa, a explicação do nível no cadastro e o endereço nos detalhes foram incluídos depois da avaliação de usabilidade, a partir das sugestões dos participantes (Seção 5.3.5).</w:t>
      </w:r>
    </w:p>
    <w:p>
      <w:pPr>
        <w:pStyle w:val="Heading3"/>
        <w:rPr/>
      </w:pPr>
      <w:bookmarkStart w:id="72" w:name="__RefHeading___Toc3679_984269736"/>
      <w:bookmarkStart w:id="73" w:name="_Toc37"/>
      <w:bookmarkEnd w:id="72"/>
      <w:r>
        <w:rPr/>
        <w:t>4.5.4 Repositório e qualidade do código</w:t>
      </w:r>
      <w:bookmarkEnd w:id="73"/>
    </w:p>
    <w:p>
      <w:pPr>
        <w:pStyle w:val="Normal"/>
        <w:ind w:firstLine="709"/>
        <w:jc w:val="both"/>
        <w:rPr/>
      </w:pPr>
      <w:r>
        <w:rPr/>
        <w:t xml:space="preserve">O código está no repositório público https://github.com/JpllourencoUSCS/tcc_alagamentos, organizado em </w:t>
      </w:r>
      <w:r>
        <w:rPr>
          <w:rFonts w:eastAsia="Courier New" w:cs="Courier New" w:ascii="Courier New" w:hAnsi="Courier New"/>
          <w:sz w:val="22"/>
          <w:szCs w:val="22"/>
        </w:rPr>
        <w:t>backend/</w:t>
      </w:r>
      <w:r>
        <w:rPr/>
        <w:t xml:space="preserve"> (API, serviços, algoritmo, banco, benchmark e testes), </w:t>
      </w:r>
      <w:r>
        <w:rPr>
          <w:rFonts w:eastAsia="Courier New" w:cs="Courier New" w:ascii="Courier New" w:hAnsi="Courier New"/>
          <w:sz w:val="22"/>
          <w:szCs w:val="22"/>
        </w:rPr>
        <w:t>android/</w:t>
      </w:r>
      <w:r>
        <w:rPr/>
        <w:t xml:space="preserve"> (aplicativo) e </w:t>
      </w:r>
      <w:r>
        <w:rPr>
          <w:rFonts w:eastAsia="Courier New" w:cs="Courier New" w:ascii="Courier New" w:hAnsi="Courier New"/>
          <w:sz w:val="22"/>
          <w:szCs w:val="22"/>
        </w:rPr>
        <w:t>docs/</w:t>
      </w:r>
      <w:r>
        <w:rPr/>
        <w:t xml:space="preserve"> (documentação técnica, plano de testes, evidências e capturas). A cada envio ao repositório, um fluxo de integração contínua (GitHub Actions) executa a suíte do backend contra um PostgreSQL/PostGIS real e compila e testa o aplicativo; as chaves e senhas ficam fora do repositório.</w:t>
      </w:r>
    </w:p>
    <w:p>
      <w:pPr>
        <w:pStyle w:val="Heading1"/>
        <w:pageBreakBefore/>
        <w:rPr/>
      </w:pPr>
      <w:bookmarkStart w:id="74" w:name="__RefHeading___Toc3681_984269736"/>
      <w:bookmarkStart w:id="75" w:name="_Toc38"/>
      <w:bookmarkEnd w:id="74"/>
      <w:r>
        <w:rPr/>
        <w:t>5 Testes</w:t>
      </w:r>
      <w:bookmarkEnd w:id="75"/>
    </w:p>
    <w:p>
      <w:pPr>
        <w:pStyle w:val="Normal"/>
        <w:ind w:firstLine="709"/>
        <w:jc w:val="both"/>
        <w:rPr/>
      </w:pPr>
      <w:r>
        <w:rPr/>
        <w:t>Este capítulo descreve o plano e os cenários de testes e apresenta os resultados obtidos, discutidos à luz do referencial teórico e dos requisitos da Seção 4.1.</w:t>
      </w:r>
    </w:p>
    <w:p>
      <w:pPr>
        <w:pStyle w:val="Heading2"/>
        <w:rPr/>
      </w:pPr>
      <w:bookmarkStart w:id="76" w:name="__RefHeading___Toc3683_984269736"/>
      <w:bookmarkStart w:id="77" w:name="_Toc39"/>
      <w:bookmarkEnd w:id="76"/>
      <w:r>
        <w:rPr/>
        <w:t>5.1 Planos de Testes</w:t>
      </w:r>
      <w:bookmarkEnd w:id="77"/>
    </w:p>
    <w:p>
      <w:pPr>
        <w:pStyle w:val="Normal"/>
        <w:ind w:firstLine="709"/>
        <w:jc w:val="both"/>
        <w:rPr/>
      </w:pPr>
      <w:r>
        <w:rPr/>
        <w:t xml:space="preserve">Os testes seguiram o plano </w:t>
      </w:r>
      <w:r>
        <w:rPr>
          <w:b/>
          <w:bCs/>
        </w:rPr>
        <w:t>PT-001</w:t>
      </w:r>
      <w:r>
        <w:rPr/>
        <w:t xml:space="preserve"> (planilha </w:t>
      </w:r>
      <w:r>
        <w:rPr>
          <w:rFonts w:eastAsia="Courier New" w:cs="Courier New" w:ascii="Courier New" w:hAnsi="Courier New"/>
          <w:sz w:val="22"/>
          <w:szCs w:val="22"/>
        </w:rPr>
        <w:t>docs/plano_e_fluxo_de_testes_TCC.xlsx</w:t>
      </w:r>
      <w:r>
        <w:rPr/>
        <w:t>, versão 1.4, de 16/10/2026), que registra identificação, escopo, estratégia, ambiente, dados de teste, critérios de entrada e de saída, riscos e, para cada caso de teste, pré-condições, passos, resultado esperado, resultado obtido, status e evidência. A técnica predominante foi a de caixa-preta, com cenários positivos, negativos e de limite — coordenada fora do intervalo, filtro de região incompleto, valor fora do vocabulário, envio sem local, ponto fora do município e fonte externa indisponível. Cada caso tem prioridade (P1 a P3) e é rastreado até um requisito.</w:t>
      </w:r>
    </w:p>
    <w:p>
      <w:pPr>
        <w:pStyle w:val="Normal"/>
        <w:ind w:firstLine="709"/>
        <w:jc w:val="both"/>
        <w:rPr/>
      </w:pPr>
      <w:r>
        <w:rPr/>
        <w:t>O critério de saída exigia todos os casos P1 executados e aprovados (ou bloqueados com justificativa) e nenhum defeito crítico aberto; o critério de aprovação da usabilidade, média igual ou superior a 4 nas perguntas em escala Likert. A avaliação combinou as cinco frentes da Tabela 13.</w:t>
      </w:r>
    </w:p>
    <w:p>
      <w:pPr>
        <w:pStyle w:val="Legendauser"/>
        <w:keepNext w:val="true"/>
        <w:rPr/>
      </w:pPr>
      <w:r>
        <w:rPr/>
        <w:t xml:space="preserve">Tabela </w:t>
      </w:r>
      <w:r>
        <w:rPr/>
        <w:fldChar w:fldCharType="begin"/>
      </w:r>
      <w:r>
        <w:rPr/>
        <w:instrText xml:space="preserve"> SEQ Tabela \* ARABIC </w:instrText>
      </w:r>
      <w:r>
        <w:rPr/>
        <w:fldChar w:fldCharType="separate"/>
      </w:r>
      <w:r>
        <w:rPr/>
        <w:t>13</w:t>
      </w:r>
      <w:r>
        <w:rPr/>
        <w:fldChar w:fldCharType="end"/>
      </w:r>
      <w:r>
        <w:rPr/>
        <w:t xml:space="preserve"> – Frentes de avaliação</w:t>
      </w:r>
    </w:p>
    <w:tbl>
      <w:tblPr>
        <w:tblW w:w="9071" w:type="dxa"/>
        <w:jc w:val="left"/>
        <w:tblInd w:w="85" w:type="dxa"/>
        <w:tblLayout w:type="fixed"/>
        <w:tblCellMar>
          <w:top w:w="40" w:type="dxa"/>
          <w:left w:w="80" w:type="dxa"/>
          <w:bottom w:w="40" w:type="dxa"/>
          <w:right w:w="80" w:type="dxa"/>
        </w:tblCellMar>
      </w:tblPr>
      <w:tblGrid>
        <w:gridCol w:w="2320"/>
        <w:gridCol w:w="3586"/>
        <w:gridCol w:w="3165"/>
      </w:tblGrid>
      <w:tr>
        <w:trPr>
          <w:tblHeader w:val="true"/>
          <w:cantSplit/>
        </w:trPr>
        <w:tc>
          <w:tcPr>
            <w:tcW w:w="232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Frente</w:t>
            </w:r>
          </w:p>
        </w:tc>
        <w:tc>
          <w:tcPr>
            <w:tcW w:w="358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Pergunta</w:t>
            </w:r>
          </w:p>
        </w:tc>
        <w:tc>
          <w:tcPr>
            <w:tcW w:w="31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Instrumento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automatizados do backend</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As regras e a API fazem o que foi especificado?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Suíte pytest (contrato e integração)</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funcionais do aplicativo</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aplicativo integrado à API real funciona de ponta a ponta?</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Casos do PT-001 executados em emulador</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Análise de sensibilidade</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 classificação depende demais dos pesos escolhidos?</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Grade de 280 cenários com pesos variados</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e latência</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índice GiST reduz o custo das consultas? Os tempos atendem aos RNF?</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Scripts de benchmark com EXPLAIN ANALYZE; medição HTTP com p50 e p95</w:t>
            </w:r>
          </w:p>
        </w:tc>
      </w:tr>
      <w:tr>
        <w:trPr>
          <w:cantSplit/>
        </w:trPr>
        <w:tc>
          <w:tcPr>
            <w:tcW w:w="232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Usabilidade</w:t>
            </w:r>
          </w:p>
        </w:tc>
        <w:tc>
          <w:tcPr>
            <w:tcW w:w="358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Os participantes entendem as telas e as acham fáceis de usar?</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Questionário sobre as capturas das telas (Google Forms)</w:t>
            </w:r>
          </w:p>
        </w:tc>
      </w:tr>
    </w:tbl>
    <w:p>
      <w:pPr>
        <w:pStyle w:val="Fontedalegenda"/>
        <w:rPr/>
      </w:pPr>
      <w:r>
        <w:rPr/>
        <w:t>Fonte: elaborada pelos autores (2026).</w:t>
      </w:r>
    </w:p>
    <w:p>
      <w:pPr>
        <w:pStyle w:val="Normal"/>
        <w:ind w:firstLine="709"/>
        <w:jc w:val="both"/>
        <w:rPr/>
      </w:pPr>
      <w:r>
        <w:rPr>
          <w:b/>
          <w:bCs/>
        </w:rPr>
        <w:t>Ambiente.</w:t>
      </w:r>
      <w:r>
        <w:rPr/>
        <w:t xml:space="preserve"> Notebook com AMD Ryzen 5 5600G e 16 GB de RAM, Windows 11; PostgreSQL 16 com PostGIS 3.4 e a API em contêineres Docker; aplicativo em emulador Android 15 (perfil Pixel 6), em português do Brasil e no fuso de São Paulo, apontado para a API e o banco reais, com as 30 ocorrências de demonstração carregadas.</w:t>
      </w:r>
    </w:p>
    <w:p>
      <w:pPr>
        <w:pStyle w:val="Heading2"/>
        <w:rPr/>
      </w:pPr>
      <w:bookmarkStart w:id="78" w:name="__RefHeading___Toc3685_984269736"/>
      <w:bookmarkStart w:id="79" w:name="_Toc40"/>
      <w:bookmarkEnd w:id="78"/>
      <w:r>
        <w:rPr/>
        <w:t>5.2 Cenários de Testes</w:t>
      </w:r>
      <w:bookmarkEnd w:id="79"/>
    </w:p>
    <w:p>
      <w:pPr>
        <w:pStyle w:val="Normal"/>
        <w:ind w:firstLine="709"/>
        <w:jc w:val="both"/>
        <w:rPr/>
      </w:pPr>
      <w:r>
        <w:rPr/>
        <w:t xml:space="preserve">O PT-001 tem 29 casos de teste, resumidos por módulo na Tabela 14; a lista completa está no Apêndice A. Os casos do aplicativo foram executados com o auxílio de um script de automação por </w:t>
      </w:r>
      <w:r>
        <w:rPr>
          <w:rFonts w:eastAsia="Courier New" w:cs="Courier New" w:ascii="Courier New" w:hAnsi="Courier New"/>
          <w:sz w:val="22"/>
          <w:szCs w:val="22"/>
        </w:rPr>
        <w:t>adb</w:t>
      </w:r>
      <w:r>
        <w:rPr/>
        <w:t>, que toca nos elementos da tela, digita, lê os textos exibidos e captura a tela como evidência. Sempre que possível, o resultado mostrado pelo aplicativo foi comparado com a resposta direta da API para os mesmos parâmetros — por exemplo, a quantidade de ocorrências exibida para cada combinação de filtros.</w:t>
      </w:r>
    </w:p>
    <w:p>
      <w:pPr>
        <w:pStyle w:val="Legendauser"/>
        <w:keepNext w:val="true"/>
        <w:rPr/>
      </w:pPr>
      <w:r>
        <w:rPr/>
        <w:t xml:space="preserve">Tabela </w:t>
      </w:r>
      <w:r>
        <w:rPr/>
        <w:fldChar w:fldCharType="begin"/>
      </w:r>
      <w:r>
        <w:rPr/>
        <w:instrText xml:space="preserve"> SEQ Tabela \* ARABIC </w:instrText>
      </w:r>
      <w:r>
        <w:rPr/>
        <w:fldChar w:fldCharType="separate"/>
      </w:r>
      <w:r>
        <w:rPr/>
        <w:t>14</w:t>
      </w:r>
      <w:r>
        <w:rPr/>
        <w:fldChar w:fldCharType="end"/>
      </w:r>
      <w:r>
        <w:rPr/>
        <w:t xml:space="preserve"> – Casos de teste por módulo e situação em 29/10/2026</w:t>
      </w:r>
    </w:p>
    <w:tbl>
      <w:tblPr>
        <w:tblW w:w="9071" w:type="dxa"/>
        <w:jc w:val="left"/>
        <w:tblInd w:w="85" w:type="dxa"/>
        <w:tblLayout w:type="fixed"/>
        <w:tblCellMar>
          <w:top w:w="40" w:type="dxa"/>
          <w:left w:w="80" w:type="dxa"/>
          <w:bottom w:w="40" w:type="dxa"/>
          <w:right w:w="80" w:type="dxa"/>
        </w:tblCellMar>
      </w:tblPr>
      <w:tblGrid>
        <w:gridCol w:w="3628"/>
        <w:gridCol w:w="1410"/>
        <w:gridCol w:w="1612"/>
        <w:gridCol w:w="2421"/>
      </w:tblGrid>
      <w:tr>
        <w:trPr>
          <w:tblHeader w:val="true"/>
          <w:cantSplit/>
        </w:trPr>
        <w:tc>
          <w:tcPr>
            <w:tcW w:w="362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Módulo</w:t>
            </w:r>
          </w:p>
        </w:tc>
        <w:tc>
          <w:tcPr>
            <w:tcW w:w="141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Casos</w:t>
            </w:r>
          </w:p>
        </w:tc>
        <w:tc>
          <w:tcPr>
            <w:tcW w:w="161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Aprovados</w:t>
            </w:r>
          </w:p>
        </w:tc>
        <w:tc>
          <w:tcPr>
            <w:tcW w:w="242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Fechados com a usabilidade</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API de ocorrências (CT-API)</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6</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6</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Algoritmo de risco (CT-AHP)</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(CT-CAD)</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7</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7</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Listagem (CT-LST)</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 (CT-MAP)</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2</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 (CT-DET)</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Notificações (CT-NOT)</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0</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Configurações e perfil (CT-CFG)</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Entrada (CT-LOG)</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 (CT-PRV)</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3</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1</w:t>
            </w:r>
          </w:p>
        </w:tc>
      </w:tr>
      <w:tr>
        <w:trPr>
          <w:cantSplit/>
        </w:trPr>
        <w:tc>
          <w:tcPr>
            <w:tcW w:w="3628"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Total</w:t>
            </w:r>
          </w:p>
        </w:tc>
        <w:tc>
          <w:tcPr>
            <w:tcW w:w="141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29</w:t>
            </w:r>
          </w:p>
        </w:tc>
        <w:tc>
          <w:tcPr>
            <w:tcW w:w="1612"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29</w:t>
            </w:r>
          </w:p>
        </w:tc>
        <w:tc>
          <w:tcPr>
            <w:tcW w:w="2421"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8</w:t>
            </w:r>
          </w:p>
        </w:tc>
      </w:tr>
    </w:tbl>
    <w:p>
      <w:pPr>
        <w:pStyle w:val="Fontedalegenda"/>
        <w:rPr/>
      </w:pPr>
      <w:r>
        <w:rPr/>
        <w:t>Fonte: elaborada pelos autores (2026), a partir do plano PT-001, versão 1.5.</w:t>
      </w:r>
    </w:p>
    <w:p>
      <w:pPr>
        <w:pStyle w:val="Normal"/>
        <w:ind w:firstLine="709"/>
        <w:jc w:val="both"/>
        <w:rPr/>
      </w:pPr>
      <w:r>
        <w:rPr/>
        <w:t>Os oito casos de usabilidade tiveram primeiro a parte funcional aprovada em emulador e foram fechados depois da avaliação com participantes (Seção 5.3.5). O caso CT-AHP-002, que verificava o tratamento da indisponibilidade da ANA, ficou obsoleto com a retirada da fonte e foi substituído pelo CT-AHP-004 (fusão das duas fontes e pesos de três critérios).</w:t>
      </w:r>
    </w:p>
    <w:p>
      <w:pPr>
        <w:pStyle w:val="Normal"/>
        <w:ind w:firstLine="709"/>
        <w:jc w:val="both"/>
        <w:rPr/>
      </w:pPr>
      <w:r>
        <w:rPr/>
        <w:t>Os defeitos encontrados durante os testes de 03/10/2026, todos corrigidos no mesmo dia, estão na Tabela 15.</w:t>
      </w:r>
    </w:p>
    <w:p>
      <w:pPr>
        <w:pStyle w:val="Legendauser"/>
        <w:keepNext w:val="true"/>
        <w:rPr/>
      </w:pPr>
      <w:r>
        <w:rPr/>
        <w:t xml:space="preserve">Tabela </w:t>
      </w:r>
      <w:r>
        <w:rPr/>
        <w:fldChar w:fldCharType="begin"/>
      </w:r>
      <w:r>
        <w:rPr/>
        <w:instrText xml:space="preserve"> SEQ Tabela \* ARABIC </w:instrText>
      </w:r>
      <w:r>
        <w:rPr/>
        <w:fldChar w:fldCharType="separate"/>
      </w:r>
      <w:r>
        <w:rPr/>
        <w:t>15</w:t>
      </w:r>
      <w:r>
        <w:rPr/>
        <w:fldChar w:fldCharType="end"/>
      </w:r>
      <w:r>
        <w:rPr/>
        <w:t xml:space="preserve"> – Defeitos encontrados nos testes</w:t>
      </w:r>
    </w:p>
    <w:tbl>
      <w:tblPr>
        <w:tblW w:w="9071" w:type="dxa"/>
        <w:jc w:val="left"/>
        <w:tblInd w:w="85" w:type="dxa"/>
        <w:tblLayout w:type="fixed"/>
        <w:tblCellMar>
          <w:top w:w="40" w:type="dxa"/>
          <w:left w:w="80" w:type="dxa"/>
          <w:bottom w:w="40" w:type="dxa"/>
          <w:right w:w="80" w:type="dxa"/>
        </w:tblCellMar>
      </w:tblPr>
      <w:tblGrid>
        <w:gridCol w:w="4430"/>
        <w:gridCol w:w="1476"/>
        <w:gridCol w:w="3165"/>
      </w:tblGrid>
      <w:tr>
        <w:trPr>
          <w:tblHeader w:val="true"/>
          <w:cantSplit/>
        </w:trPr>
        <w:tc>
          <w:tcPr>
            <w:tcW w:w="443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Defeito</w:t>
            </w:r>
          </w:p>
        </w:tc>
        <w:tc>
          <w:tcPr>
            <w:tcW w:w="14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Onde</w:t>
            </w:r>
          </w:p>
        </w:tc>
        <w:tc>
          <w:tcPr>
            <w:tcW w:w="316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Como foi encontrado</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Chave do OpenWeather fixa como texto de exemplo; o cálculo automático falharia contra a API real</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Backend</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Revisão de código antes do teste integrado</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Script de benchmark mascarava a senha ao montar a conexão e nunca conectava</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Primeira execução real</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Aplicação do schema falhava por um "%" em um comentário do SQL</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Primeira execução real</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de integração dependiam de o banco estar vazio</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Suíte executada com os dados de demonstração carregados</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Contador da lista ignorava o filtro de nível de risco</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Comparação aplicativo × API (CT-LST-002)</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Mensagem de erro do cadastro cortada pelo limite de duas linhas</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Captura de tela (CT-CAD-003)</w:t>
            </w:r>
          </w:p>
        </w:tc>
      </w:tr>
      <w:tr>
        <w:trPr>
          <w:cantSplit/>
        </w:trPr>
        <w:tc>
          <w:tcPr>
            <w:tcW w:w="443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Em português, coordenadas exibidas com vírgula decimal, ambíguas</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w:t>
            </w:r>
          </w:p>
        </w:tc>
        <w:tc>
          <w:tcPr>
            <w:tcW w:w="316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Repetição dos testes com o aparelho em pt-BR</w:t>
            </w:r>
          </w:p>
        </w:tc>
      </w:tr>
    </w:tbl>
    <w:p>
      <w:pPr>
        <w:pStyle w:val="Fontedalegenda"/>
        <w:rPr/>
      </w:pPr>
      <w:r>
        <w:rPr/>
        <w:t>Fonte: elaborada pelos autores (2026).</w:t>
      </w:r>
    </w:p>
    <w:p>
      <w:pPr>
        <w:pStyle w:val="Normal"/>
        <w:ind w:firstLine="709"/>
        <w:jc w:val="both"/>
        <w:rPr/>
      </w:pPr>
      <w:r>
        <w:rPr/>
        <w:t>O fato de quatro desses defeitos só aparecerem na primeira execução contra o banco e a API reais — e de um quinto só aparecer com o aparelho no idioma do público-alvo — mostra a importância de testar no ambiente mais próximo do real: os testes com implementações em memória, sozinhos, não os revelariam.</w:t>
      </w:r>
    </w:p>
    <w:p>
      <w:pPr>
        <w:pStyle w:val="Heading2"/>
        <w:rPr/>
      </w:pPr>
      <w:bookmarkStart w:id="80" w:name="__RefHeading___Toc3687_984269736"/>
      <w:bookmarkStart w:id="81" w:name="_Toc41"/>
      <w:bookmarkEnd w:id="80"/>
      <w:r>
        <w:rPr/>
        <w:t>5.3 Resultados</w:t>
      </w:r>
      <w:bookmarkEnd w:id="81"/>
    </w:p>
    <w:p>
      <w:pPr>
        <w:pStyle w:val="Heading3"/>
        <w:rPr/>
      </w:pPr>
      <w:bookmarkStart w:id="82" w:name="__RefHeading___Toc3689_984269736"/>
      <w:bookmarkStart w:id="83" w:name="_Toc42"/>
      <w:bookmarkEnd w:id="82"/>
      <w:r>
        <w:rPr/>
        <w:t>5.3.1 Testes automatizados e funcionais</w:t>
      </w:r>
      <w:bookmarkEnd w:id="83"/>
    </w:p>
    <w:p>
      <w:pPr>
        <w:pStyle w:val="Normal"/>
        <w:ind w:firstLine="709"/>
        <w:jc w:val="both"/>
        <w:rPr/>
      </w:pPr>
      <w:r>
        <w:rPr/>
        <w:t xml:space="preserve">A suíte do backend tem </w:t>
      </w:r>
      <w:r>
        <w:rPr>
          <w:b/>
          <w:bCs/>
        </w:rPr>
        <w:t>114 testes</w:t>
      </w:r>
      <w:r>
        <w:rPr/>
        <w:t>: 106 de contrato, que substituem o banco e as fontes por implementações em memória e verificam rotas, validação, códigos de status, regras do algoritmo, fusão, agregação colaborativa, cache e paralelismo; e 8 de integração, que rodam contra um PostgreSQL/PostGIS real dentro de uma transação desfeita ao final, de modo que nenhum dado de teste permanece no banco. Os 114 passaram com o banco disponível; sem ele, os 106 de contrato passam e os 8 de integração são pulados por desenho. O aplicativo tem 10 testes de unidade e a análise estática (lint) sem erros. A integração contínua executou com sucesso os dois fluxos (backend e aplicativo) no repositório.</w:t>
      </w:r>
    </w:p>
    <w:p>
      <w:pPr>
        <w:pStyle w:val="Normal"/>
        <w:ind w:firstLine="709"/>
        <w:jc w:val="both"/>
        <w:rPr/>
      </w:pPr>
      <w:r>
        <w:rPr/>
        <w:t>Nos testes funcionais, os filtros da lista foram conferidos contra a API em 8 combinações; os marcadores do mapa corresponderam às ocorrências devolvidas pela API, e o toque em um marcador levou aos detalhes da mesma ocorrência; o local marcado por toque no mapa do cadastro foi o mesmo gravado no banco; e o risco exibido na aba Previsão foi conferido com a resposta direta da API para o mesmo ponto. Os casos do mapa ficaram bloqueados de 03/10 a 07/10/2026, porque a chave do Google Maps só aceita certificados Android cadastrados e o aplicativo de teste era assinado com outro; depois do cadastro do certificado, foram executados e aprovados.</w:t>
      </w:r>
    </w:p>
    <w:p>
      <w:pPr>
        <w:pStyle w:val="Heading3"/>
        <w:rPr/>
      </w:pPr>
      <w:bookmarkStart w:id="84" w:name="__RefHeading___Toc3691_984269736"/>
      <w:bookmarkStart w:id="85" w:name="_Toc43"/>
      <w:bookmarkEnd w:id="84"/>
      <w:r>
        <w:rPr/>
        <w:t>5.3.2 Análise de sensibilidade do índice</w:t>
      </w:r>
      <w:bookmarkEnd w:id="85"/>
    </w:p>
    <w:p>
      <w:pPr>
        <w:pStyle w:val="Normal"/>
        <w:ind w:firstLine="709"/>
        <w:jc w:val="both"/>
        <w:rPr/>
      </w:pPr>
      <w:r>
        <w:rPr/>
        <w:t xml:space="preserve">Para medir o quanto a classificação depende dos pesos, cada peso foi variado em ±10% e ±20%, com os demais reescalados para que a soma continuasse 1, sobre uma grade de 280 cenários de chuva atual, previsão e componente colaborativo, incluindo a ausência de relatos. Com variação de ±10% em um peso, a classe mudou em no máximo </w:t>
      </w:r>
      <w:r>
        <w:rPr>
          <w:b/>
          <w:bCs/>
        </w:rPr>
        <w:t>7,1% dos cenários</w:t>
      </w:r>
      <w:r>
        <w:rPr/>
        <w:t xml:space="preserve"> (ao reduzir o peso da precipitação atual), com diferença média de pontuação abaixo de 1,7 ponto; com ±20%, em no máximo 12,9%. As mudanças se concentraram em cenários próximos às fronteiras entre as classes (30 e 60 pontos). O modelo é, portanto, estável a pequenas variações nos julgamentos, e nenhum peso domina sozinho a classificação. Por construção — função de conversão não decrescente e pesos positivos —, o índice nunca diminui quando a chuva atual, a previsão ou o componente colaborativo aumentam.</w:t>
      </w:r>
    </w:p>
    <w:p>
      <w:pPr>
        <w:pStyle w:val="Heading3"/>
        <w:rPr/>
      </w:pPr>
      <w:bookmarkStart w:id="86" w:name="__RefHeading___Toc3693_984269736"/>
      <w:bookmarkStart w:id="87" w:name="_Toc44"/>
      <w:bookmarkEnd w:id="86"/>
      <w:r>
        <w:rPr/>
        <w:t>5.3.3 Benchmark de indexação espacial</w:t>
      </w:r>
      <w:bookmarkEnd w:id="87"/>
    </w:p>
    <w:p>
      <w:pPr>
        <w:pStyle w:val="Normal"/>
        <w:ind w:firstLine="709"/>
        <w:jc w:val="both"/>
        <w:rPr/>
      </w:pPr>
      <w:r>
        <w:rPr/>
        <w:t xml:space="preserve">Foram medidas duas consultas, ambas com o retângulo de uma janela de mapa de cerca de 6,6 km × 6,6 km centrada em São Caetano do Sul, que contém aproximadamente 0,5% dos registros: a </w:t>
      </w:r>
      <w:r>
        <w:rPr>
          <w:b/>
          <w:bCs/>
        </w:rPr>
        <w:t>consulta espacial</w:t>
      </w:r>
      <w:r>
        <w:rPr/>
        <w:t xml:space="preserve">, que apenas conta as ocorrências no retângulo e isola o efeito do índice; e a </w:t>
      </w:r>
      <w:r>
        <w:rPr>
          <w:b/>
          <w:bCs/>
        </w:rPr>
        <w:t>consulta do endpoint</w:t>
      </w:r>
      <w:r>
        <w:rPr/>
        <w:t>, a mesma que a API executa para a lista (com ordenação por data e limite de 100). Cada consulta foi medida sem e com o índice GiST; o índice B-tree de data foi mantido nas duas condições. Os resultados estão na Tabela 16 e na Figura 9.</w:t>
      </w:r>
    </w:p>
    <w:p>
      <w:pPr>
        <w:pStyle w:val="Legendauser"/>
        <w:keepNext w:val="true"/>
        <w:rPr/>
      </w:pPr>
      <w:r>
        <w:rPr/>
        <w:t xml:space="preserve">Tabela </w:t>
      </w:r>
      <w:r>
        <w:rPr/>
        <w:fldChar w:fldCharType="begin"/>
      </w:r>
      <w:r>
        <w:rPr/>
        <w:instrText xml:space="preserve"> SEQ Tabela \* ARABIC </w:instrText>
      </w:r>
      <w:r>
        <w:rPr/>
        <w:fldChar w:fldCharType="separate"/>
      </w:r>
      <w:r>
        <w:rPr/>
        <w:t>16</w:t>
      </w:r>
      <w:r>
        <w:rPr/>
        <w:fldChar w:fldCharType="end"/>
      </w:r>
      <w:r>
        <w:rPr/>
        <w:t xml:space="preserve"> – Consulta espacial: tempo de execução (mediana, ms)</w:t>
      </w:r>
    </w:p>
    <w:tbl>
      <w:tblPr>
        <w:tblW w:w="9071" w:type="dxa"/>
        <w:jc w:val="left"/>
        <w:tblInd w:w="85" w:type="dxa"/>
        <w:tblLayout w:type="fixed"/>
        <w:tblCellMar>
          <w:top w:w="40" w:type="dxa"/>
          <w:left w:w="80" w:type="dxa"/>
          <w:bottom w:w="40" w:type="dxa"/>
          <w:right w:w="80" w:type="dxa"/>
        </w:tblCellMar>
      </w:tblPr>
      <w:tblGrid>
        <w:gridCol w:w="1814"/>
        <w:gridCol w:w="2040"/>
        <w:gridCol w:w="1813"/>
        <w:gridCol w:w="1814"/>
        <w:gridCol w:w="1590"/>
      </w:tblGrid>
      <w:tr>
        <w:trPr>
          <w:tblHeader w:val="true"/>
          <w:cantSplit/>
        </w:trPr>
        <w:tc>
          <w:tcPr>
            <w:tcW w:w="181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Registros</w:t>
            </w:r>
          </w:p>
        </w:tc>
        <w:tc>
          <w:tcPr>
            <w:tcW w:w="204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Linhas no retângulo</w:t>
            </w:r>
          </w:p>
        </w:tc>
        <w:tc>
          <w:tcPr>
            <w:tcW w:w="181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índice</w:t>
            </w:r>
          </w:p>
        </w:tc>
        <w:tc>
          <w:tcPr>
            <w:tcW w:w="181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GiST</w:t>
            </w:r>
          </w:p>
        </w:tc>
        <w:tc>
          <w:tcPr>
            <w:tcW w:w="159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Ganho</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w:t>
            </w:r>
          </w:p>
        </w:tc>
        <w:tc>
          <w:tcPr>
            <w:tcW w:w="181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0,175</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0,031</w:t>
            </w:r>
          </w:p>
        </w:tc>
        <w:tc>
          <w:tcPr>
            <w:tcW w:w="159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w:t>
            </w:r>
          </w:p>
        </w:tc>
        <w:tc>
          <w:tcPr>
            <w:tcW w:w="181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1,84</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0,048</w:t>
            </w:r>
          </w:p>
        </w:tc>
        <w:tc>
          <w:tcPr>
            <w:tcW w:w="159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38,8×</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496</w:t>
            </w:r>
          </w:p>
        </w:tc>
        <w:tc>
          <w:tcPr>
            <w:tcW w:w="181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14,65</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0,179</w:t>
            </w:r>
          </w:p>
        </w:tc>
        <w:tc>
          <w:tcPr>
            <w:tcW w:w="159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81,6×</w:t>
            </w:r>
          </w:p>
        </w:tc>
      </w:tr>
      <w:tr>
        <w:trPr>
          <w:cantSplit/>
        </w:trPr>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1.000.000</w:t>
            </w:r>
          </w:p>
        </w:tc>
        <w:tc>
          <w:tcPr>
            <w:tcW w:w="204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5.194</w:t>
            </w:r>
          </w:p>
        </w:tc>
        <w:tc>
          <w:tcPr>
            <w:tcW w:w="181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71,73</w:t>
            </w:r>
          </w:p>
        </w:tc>
        <w:tc>
          <w:tcPr>
            <w:tcW w:w="181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4,83</w:t>
            </w:r>
          </w:p>
        </w:tc>
        <w:tc>
          <w:tcPr>
            <w:tcW w:w="159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14,8×</w:t>
            </w:r>
          </w:p>
        </w:tc>
      </w:tr>
    </w:tbl>
    <w:p>
      <w:pPr>
        <w:pStyle w:val="Fontedalegenda"/>
        <w:rPr/>
      </w:pPr>
      <w:r>
        <w:rPr/>
        <w:t>Fonte: elaborada pelos autores (2026), a partir de backend/benchmark/resultados/ (execução de 03/10/2026).</w:t>
      </w:r>
    </w:p>
    <w:p>
      <w:pPr>
        <w:pStyle w:val="Legendauser"/>
        <w:keepNext w:val="true"/>
        <w:rPr/>
      </w:pPr>
      <w:r>
        <w:rPr/>
        <w:t xml:space="preserve">Figura </w:t>
      </w:r>
      <w:r>
        <w:rPr/>
        <w:fldChar w:fldCharType="begin"/>
      </w:r>
      <w:r>
        <w:rPr/>
        <w:instrText xml:space="preserve"> SEQ Figura \* ARABIC </w:instrText>
      </w:r>
      <w:r>
        <w:rPr/>
        <w:fldChar w:fldCharType="separate"/>
      </w:r>
      <w:r>
        <w:rPr/>
        <w:t>9</w:t>
      </w:r>
      <w:r>
        <w:rPr/>
        <w:fldChar w:fldCharType="end"/>
      </w:r>
      <w:r>
        <w:rPr/>
        <w:t xml:space="preserve"> – Tempo da consulta espacial com e sem índice GiST</w:t>
      </w:r>
    </w:p>
    <w:p>
      <w:pPr>
        <w:pStyle w:val="Normal"/>
        <w:keepNext w:val="true"/>
        <w:spacing w:lineRule="auto" w:line="240"/>
        <w:jc w:val="center"/>
        <w:rPr/>
      </w:pPr>
      <w:r>
        <w:rPr/>
        <w:drawing>
          <wp:inline distT="0" distB="0" distL="0" distR="0">
            <wp:extent cx="5038725" cy="3019425"/>
            <wp:effectExtent l="0" t="0" r="0" b="0"/>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5038725" cy="3019425"/>
                    </a:xfrm>
                    <a:prstGeom prst="rect">
                      <a:avLst/>
                    </a:prstGeom>
                    <a:noFill/>
                  </pic:spPr>
                </pic:pic>
              </a:graphicData>
            </a:graphic>
          </wp:inline>
        </w:drawing>
      </w:r>
    </w:p>
    <w:p>
      <w:pPr>
        <w:pStyle w:val="Fontedalegenda"/>
        <w:rPr/>
      </w:pPr>
      <w:r>
        <w:rPr/>
        <w:t>Fonte: elaborada pelos autores (2026), a partir de backend/benchmark/resultados/ (execução de 03/10/2026).</w:t>
      </w:r>
    </w:p>
    <w:p>
      <w:pPr>
        <w:pStyle w:val="Normal"/>
        <w:ind w:firstLine="709"/>
        <w:jc w:val="both"/>
        <w:rPr/>
      </w:pPr>
      <w:r>
        <w:rPr/>
        <w:t xml:space="preserve">Sem índice, o plano foi uma varredura sequencial (paralela com 1 milhão de registros); com índice, um </w:t>
      </w:r>
      <w:r>
        <w:rPr>
          <w:i/>
          <w:iCs/>
        </w:rPr>
        <w:t>Bitmap Index Scan</w:t>
      </w:r>
      <w:r>
        <w:rPr/>
        <w:t xml:space="preserve"> no GiST seguido de </w:t>
      </w:r>
      <w:r>
        <w:rPr>
          <w:i/>
          <w:iCs/>
        </w:rPr>
        <w:t>Bitmap Heap Scan</w:t>
      </w:r>
      <w:r>
        <w:rPr/>
        <w:t xml:space="preserve">, em todas as escalas. </w:t>
      </w:r>
      <w:r>
        <w:rPr>
          <w:b/>
          <w:bCs/>
        </w:rPr>
        <w:t>A hipótese teórica se confirmou até 100 mil registros:</w:t>
      </w:r>
      <w:r>
        <w:rPr/>
        <w:t xml:space="preserve"> de 1 mil para 100 mil (100 vezes mais dados), o tempo sem índice cresceu 84 vezes — o comportamento O(n) da varredura —, enquanto com o índice cresceu 5,8 vezes. Com 100 mil registros, o índice tornou a consulta </w:t>
      </w:r>
      <w:r>
        <w:rPr>
          <w:b/>
          <w:bCs/>
        </w:rPr>
        <w:t>81,6 vezes mais rápida</w:t>
      </w:r>
      <w:r>
        <w:rPr/>
        <w:t>, e o RNF-04 (≤ 10 ms) foi atendido com folga (0,18 ms).</w:t>
      </w:r>
    </w:p>
    <w:p>
      <w:pPr>
        <w:pStyle w:val="Normal"/>
        <w:ind w:firstLine="709"/>
        <w:jc w:val="both"/>
        <w:rPr/>
      </w:pPr>
      <w:r>
        <w:rPr/>
        <w:t>Com 1 milhão, o ganho caiu para 14,8 vezes, por um efeito previsto pelo termo k de O(log n + k): como o retângulo sempre cobre cerca de 0,5% dos dados, a quantidade de linhas devolvidas cresce com o volume (7, 48, 496, 5.194). O índice localiza os pontos rapidamente, mas o banco ainda precisa ler as páginas onde estão as 5.194 linhas, espalhadas pela tabela porque os dados sintéticos foram inseridos em ordem aleatória no espaço; além disso, nessa escala o PostgreSQL passa a paralelizar a varredura sequencial.</w:t>
      </w:r>
    </w:p>
    <w:p>
      <w:pPr>
        <w:pStyle w:val="Normal"/>
        <w:ind w:firstLine="709"/>
        <w:jc w:val="both"/>
        <w:rPr/>
      </w:pPr>
      <w:r>
        <w:rPr/>
        <w:t>Na consulta do endpoint (Tabela 17 e Figura 10), a ordenação por data muda a escolha do otimizador. Com 1 milhão de registros, mesmo com o GiST disponível, o PostgreSQL preferiu percorrer o índice de data do mais recente para o mais antigo até achar as 100 primeiras ocorrências no retângulo (cerca de 11 ms); forçar o uso do GiST reduziu a mesma consulta para cerca de 5 ms. Como os dois tempos ficam muito abaixo do limite de 200 ms do RNF-01, o comportamento foi documentado e mantido, sem forçar planos na aplicação.</w:t>
      </w:r>
    </w:p>
    <w:p>
      <w:pPr>
        <w:pStyle w:val="Legendauser"/>
        <w:keepNext w:val="true"/>
        <w:rPr/>
      </w:pPr>
      <w:r>
        <w:rPr/>
        <w:t xml:space="preserve">Tabela </w:t>
      </w:r>
      <w:r>
        <w:rPr/>
        <w:fldChar w:fldCharType="begin"/>
      </w:r>
      <w:r>
        <w:rPr/>
        <w:instrText xml:space="preserve"> SEQ Tabela \* ARABIC </w:instrText>
      </w:r>
      <w:r>
        <w:rPr/>
        <w:fldChar w:fldCharType="separate"/>
      </w:r>
      <w:r>
        <w:rPr/>
        <w:t>17</w:t>
      </w:r>
      <w:r>
        <w:rPr/>
        <w:fldChar w:fldCharType="end"/>
      </w:r>
      <w:r>
        <w:rPr/>
        <w:t xml:space="preserve"> – Consulta do endpoint: tempo de execução (mediana, ms)</w:t>
      </w:r>
    </w:p>
    <w:tbl>
      <w:tblPr>
        <w:tblW w:w="9071" w:type="dxa"/>
        <w:jc w:val="left"/>
        <w:tblInd w:w="85" w:type="dxa"/>
        <w:tblLayout w:type="fixed"/>
        <w:tblCellMar>
          <w:top w:w="40" w:type="dxa"/>
          <w:left w:w="80" w:type="dxa"/>
          <w:bottom w:w="40" w:type="dxa"/>
          <w:right w:w="80" w:type="dxa"/>
        </w:tblCellMar>
      </w:tblPr>
      <w:tblGrid>
        <w:gridCol w:w="1581"/>
        <w:gridCol w:w="1476"/>
        <w:gridCol w:w="1476"/>
        <w:gridCol w:w="1266"/>
        <w:gridCol w:w="3272"/>
      </w:tblGrid>
      <w:tr>
        <w:trPr>
          <w:tblHeader w:val="true"/>
          <w:cantSplit/>
        </w:trPr>
        <w:tc>
          <w:tcPr>
            <w:tcW w:w="158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Registros</w:t>
            </w:r>
          </w:p>
        </w:tc>
        <w:tc>
          <w:tcPr>
            <w:tcW w:w="14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índice</w:t>
            </w:r>
          </w:p>
        </w:tc>
        <w:tc>
          <w:tcPr>
            <w:tcW w:w="14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GiST</w:t>
            </w:r>
          </w:p>
        </w:tc>
        <w:tc>
          <w:tcPr>
            <w:tcW w:w="126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Ganho</w:t>
            </w:r>
          </w:p>
        </w:tc>
        <w:tc>
          <w:tcPr>
            <w:tcW w:w="327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Plano com GiST disponível</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0,159</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0,032</w:t>
            </w:r>
          </w:p>
        </w:tc>
        <w:tc>
          <w:tcPr>
            <w:tcW w:w="126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5,0×</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1,49</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0,067</w:t>
            </w:r>
          </w:p>
        </w:tc>
        <w:tc>
          <w:tcPr>
            <w:tcW w:w="126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22,3×</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8,06</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0,328</w:t>
            </w:r>
          </w:p>
        </w:tc>
        <w:tc>
          <w:tcPr>
            <w:tcW w:w="126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24,6×</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GiST + ordenação</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1.000.000</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10,71</w:t>
            </w:r>
          </w:p>
        </w:tc>
        <w:tc>
          <w:tcPr>
            <w:tcW w:w="147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11,04</w:t>
            </w:r>
          </w:p>
        </w:tc>
        <w:tc>
          <w:tcPr>
            <w:tcW w:w="126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1,0×</w:t>
            </w:r>
          </w:p>
        </w:tc>
        <w:tc>
          <w:tcPr>
            <w:tcW w:w="327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índice de data (GiST não usado)</w:t>
            </w:r>
          </w:p>
        </w:tc>
      </w:tr>
    </w:tbl>
    <w:p>
      <w:pPr>
        <w:pStyle w:val="Fontedalegenda"/>
        <w:rPr/>
      </w:pPr>
      <w:r>
        <w:rPr/>
        <w:t>Fonte: elaborada pelos autores (2026), a partir de backend/benchmark/resultados/ (execução de 03/10/2026).</w:t>
      </w:r>
    </w:p>
    <w:p>
      <w:pPr>
        <w:pStyle w:val="Legendauser"/>
        <w:keepNext w:val="true"/>
        <w:rPr/>
      </w:pPr>
      <w:r>
        <w:rPr/>
        <w:t xml:space="preserve">Figura </w:t>
      </w:r>
      <w:r>
        <w:rPr/>
        <w:fldChar w:fldCharType="begin"/>
      </w:r>
      <w:r>
        <w:rPr/>
        <w:instrText xml:space="preserve"> SEQ Figura \* ARABIC </w:instrText>
      </w:r>
      <w:r>
        <w:rPr/>
        <w:fldChar w:fldCharType="separate"/>
      </w:r>
      <w:r>
        <w:rPr/>
        <w:t>10</w:t>
      </w:r>
      <w:r>
        <w:rPr/>
        <w:fldChar w:fldCharType="end"/>
      </w:r>
      <w:r>
        <w:rPr/>
        <w:t xml:space="preserve"> – Tempo da consulta do endpoint com e sem índice GiST</w:t>
      </w:r>
    </w:p>
    <w:p>
      <w:pPr>
        <w:pStyle w:val="Normal"/>
        <w:keepNext w:val="true"/>
        <w:spacing w:lineRule="auto" w:line="240"/>
        <w:jc w:val="center"/>
        <w:rPr/>
      </w:pPr>
      <w:r>
        <w:rPr/>
        <w:drawing>
          <wp:inline distT="0" distB="0" distL="0" distR="0">
            <wp:extent cx="5038725" cy="3019425"/>
            <wp:effectExtent l="0" t="0" r="0" b="0"/>
            <wp:docPr id="10"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pic:cNvPicPr>
                      <a:picLocks noChangeAspect="1" noChangeArrowheads="1"/>
                    </pic:cNvPicPr>
                  </pic:nvPicPr>
                  <pic:blipFill>
                    <a:blip r:embed="rId11"/>
                    <a:stretch>
                      <a:fillRect/>
                    </a:stretch>
                  </pic:blipFill>
                  <pic:spPr bwMode="auto">
                    <a:xfrm>
                      <a:off x="0" y="0"/>
                      <a:ext cx="5038725" cy="3019425"/>
                    </a:xfrm>
                    <a:prstGeom prst="rect">
                      <a:avLst/>
                    </a:prstGeom>
                    <a:noFill/>
                  </pic:spPr>
                </pic:pic>
              </a:graphicData>
            </a:graphic>
          </wp:inline>
        </w:drawing>
      </w:r>
    </w:p>
    <w:p>
      <w:pPr>
        <w:pStyle w:val="Fontedalegenda"/>
        <w:rPr/>
      </w:pPr>
      <w:r>
        <w:rPr/>
        <w:t>Fonte: elaborada pelos autores (2026), a partir de backend/benchmark/resultados/ (execução de 03/10/2026).</w:t>
      </w:r>
    </w:p>
    <w:p>
      <w:pPr>
        <w:pStyle w:val="Normal"/>
        <w:ind w:firstLine="709"/>
        <w:jc w:val="both"/>
        <w:rPr/>
      </w:pPr>
      <w:r>
        <w:rPr/>
        <w:t>Como otimização, avaliou-se reordenar fisicamente a tabela segundo o índice espacial (</w:t>
      </w:r>
      <w:r>
        <w:rPr>
          <w:rFonts w:eastAsia="Courier New" w:cs="Courier New" w:ascii="Courier New" w:hAnsi="Courier New"/>
          <w:sz w:val="22"/>
          <w:szCs w:val="22"/>
        </w:rPr>
        <w:t>CLUSTER</w:t>
      </w:r>
      <w:r>
        <w:rPr/>
        <w:t xml:space="preserve">), para que pontos próximos no mapa fiquem nas mesmas páginas do disco. No banco de 1 milhão, a consulta espacial caiu de 2,04 para 0,89 ms e a do endpoint, forçando o GiST, de 5,00 para 1,04 ms. Como o </w:t>
      </w:r>
      <w:r>
        <w:rPr>
          <w:rFonts w:eastAsia="Courier New" w:cs="Courier New" w:ascii="Courier New" w:hAnsi="Courier New"/>
          <w:sz w:val="22"/>
          <w:szCs w:val="22"/>
        </w:rPr>
        <w:t>CLUSTER</w:t>
      </w:r>
      <w:r>
        <w:rPr/>
        <w:t xml:space="preserve"> não é mantido automaticamente e bloqueia a tabela enquanto roda, ele foi indicado como manutenção periódica para bases grandes, e não aplicado ao fluxo da aplicação.</w:t>
      </w:r>
    </w:p>
    <w:p>
      <w:pPr>
        <w:pStyle w:val="Normal"/>
        <w:ind w:firstLine="709"/>
        <w:jc w:val="both"/>
        <w:rPr/>
      </w:pPr>
      <w:r>
        <w:rPr>
          <w:b/>
          <w:bCs/>
        </w:rPr>
        <w:t>Ameaças à validade.</w:t>
      </w:r>
      <w:r>
        <w:rPr/>
        <w:t xml:space="preserve"> Os dados sintéticos são uniformes, enquanto ocorrências reais se concentram em pontos recorrentes de alagamento — o que tende a favorecer ainda mais o índice. As medições foram feitas em uma única máquina, com a configuração padrão do PostgreSQL; por isso, as conclusões se apoiam nas tendências entre escalas, não nos valores absolutos. O aquecimento elimina o efeito de cache frio dentro de uma sessão, mas não entre sessões. E o </w:t>
      </w:r>
      <w:r>
        <w:rPr>
          <w:rFonts w:eastAsia="Courier New" w:cs="Courier New" w:ascii="Courier New" w:hAnsi="Courier New"/>
          <w:sz w:val="22"/>
          <w:szCs w:val="22"/>
        </w:rPr>
        <w:t>EXPLAIN ANALYZE</w:t>
      </w:r>
      <w:r>
        <w:rPr/>
        <w:t xml:space="preserve"> mede só o tempo de execução no banco, sem rede nem aplicação — o tempo de ponta a ponta está na seção seguinte.</w:t>
      </w:r>
    </w:p>
    <w:p>
      <w:pPr>
        <w:pStyle w:val="Heading3"/>
        <w:rPr/>
      </w:pPr>
      <w:bookmarkStart w:id="88" w:name="__RefHeading___Toc3695_984269736"/>
      <w:bookmarkStart w:id="89" w:name="_Toc45"/>
      <w:bookmarkEnd w:id="88"/>
      <w:r>
        <w:rPr/>
        <w:t>5.3.4 Latência da API</w:t>
      </w:r>
      <w:bookmarkEnd w:id="89"/>
    </w:p>
    <w:p>
      <w:pPr>
        <w:pStyle w:val="Normal"/>
        <w:ind w:firstLine="709"/>
        <w:jc w:val="both"/>
        <w:rPr/>
      </w:pPr>
      <w:r>
        <w:rPr/>
        <w:t>A latência foi medida com cliente e servidor na mesma máquina, com 5 requisições de aquecimento e 50 medidas por cenário. A Tabela 18 mostra as leituras e o cadastro com nível informado, no banco de demonstração e no banco de 1 milhão de ocorrências.</w:t>
      </w:r>
    </w:p>
    <w:p>
      <w:pPr>
        <w:pStyle w:val="Legendauser"/>
        <w:keepNext w:val="true"/>
        <w:rPr/>
      </w:pPr>
      <w:r>
        <w:rPr/>
        <w:t xml:space="preserve">Tabela </w:t>
      </w:r>
      <w:r>
        <w:rPr/>
        <w:fldChar w:fldCharType="begin"/>
      </w:r>
      <w:r>
        <w:rPr/>
        <w:instrText xml:space="preserve"> SEQ Tabela \* ARABIC </w:instrText>
      </w:r>
      <w:r>
        <w:rPr/>
        <w:fldChar w:fldCharType="separate"/>
      </w:r>
      <w:r>
        <w:rPr/>
        <w:t>18</w:t>
      </w:r>
      <w:r>
        <w:rPr/>
        <w:fldChar w:fldCharType="end"/>
      </w:r>
      <w:r>
        <w:rPr/>
        <w:t xml:space="preserve"> – Latência das leituras e do cadastro com nível informado, no banco de demonstração (demo) e no de 1 milhão de registros (ms)</w:t>
      </w:r>
    </w:p>
    <w:tbl>
      <w:tblPr>
        <w:tblW w:w="9071" w:type="dxa"/>
        <w:jc w:val="left"/>
        <w:tblInd w:w="85" w:type="dxa"/>
        <w:tblLayout w:type="fixed"/>
        <w:tblCellMar>
          <w:top w:w="40" w:type="dxa"/>
          <w:left w:w="80" w:type="dxa"/>
          <w:bottom w:w="40" w:type="dxa"/>
          <w:right w:w="80" w:type="dxa"/>
        </w:tblCellMar>
      </w:tblPr>
      <w:tblGrid>
        <w:gridCol w:w="2957"/>
        <w:gridCol w:w="1280"/>
        <w:gridCol w:w="1281"/>
        <w:gridCol w:w="1183"/>
        <w:gridCol w:w="1184"/>
        <w:gridCol w:w="1186"/>
      </w:tblGrid>
      <w:tr>
        <w:trPr>
          <w:tblHeader w:val="true"/>
          <w:cantSplit/>
        </w:trPr>
        <w:tc>
          <w:tcPr>
            <w:tcW w:w="295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Cenário</w:t>
            </w:r>
          </w:p>
        </w:tc>
        <w:tc>
          <w:tcPr>
            <w:tcW w:w="128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Demo p50</w:t>
            </w:r>
          </w:p>
        </w:tc>
        <w:tc>
          <w:tcPr>
            <w:tcW w:w="128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Demo p95</w:t>
            </w:r>
          </w:p>
        </w:tc>
        <w:tc>
          <w:tcPr>
            <w:tcW w:w="118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1 mi p50</w:t>
            </w:r>
          </w:p>
        </w:tc>
        <w:tc>
          <w:tcPr>
            <w:tcW w:w="118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1 mi p95</w:t>
            </w:r>
          </w:p>
        </w:tc>
        <w:tc>
          <w:tcPr>
            <w:tcW w:w="118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Critério p95</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sem filtro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4,3</w:t>
            </w:r>
          </w:p>
        </w:tc>
        <w:tc>
          <w:tcPr>
            <w:tcW w:w="12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4,8</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7,1</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por região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4,2</w:t>
            </w:r>
          </w:p>
        </w:tc>
        <w:tc>
          <w:tcPr>
            <w:tcW w:w="12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15,4</w:t>
            </w:r>
          </w:p>
        </w:tc>
        <w:tc>
          <w:tcPr>
            <w:tcW w:w="118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16,5</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por região e últimas 24 h</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4,6</w:t>
            </w:r>
          </w:p>
        </w:tc>
        <w:tc>
          <w:tcPr>
            <w:tcW w:w="12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4,7</w:t>
            </w:r>
          </w:p>
        </w:tc>
        <w:tc>
          <w:tcPr>
            <w:tcW w:w="118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5,2</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Obter por identificador</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3,2</w:t>
            </w:r>
          </w:p>
        </w:tc>
        <w:tc>
          <w:tcPr>
            <w:tcW w:w="12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3,8</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3,7</w:t>
            </w:r>
          </w:p>
        </w:tc>
        <w:tc>
          <w:tcPr>
            <w:tcW w:w="118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4,4</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200</w:t>
            </w:r>
          </w:p>
        </w:tc>
      </w:tr>
      <w:tr>
        <w:trPr>
          <w:cantSplit/>
        </w:trPr>
        <w:tc>
          <w:tcPr>
            <w:tcW w:w="295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Cadastrar com nível informado</w:t>
            </w:r>
          </w:p>
        </w:tc>
        <w:tc>
          <w:tcPr>
            <w:tcW w:w="128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67,3</w:t>
            </w:r>
          </w:p>
        </w:tc>
        <w:tc>
          <w:tcPr>
            <w:tcW w:w="1281"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259,1</w:t>
            </w:r>
          </w:p>
        </w:tc>
        <w:tc>
          <w:tcPr>
            <w:tcW w:w="1183"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7,3</w:t>
            </w:r>
          </w:p>
        </w:tc>
        <w:tc>
          <w:tcPr>
            <w:tcW w:w="1184"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9,1</w:t>
            </w:r>
          </w:p>
        </w:tc>
        <w:tc>
          <w:tcPr>
            <w:tcW w:w="1186"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 xml:space="preserve">≤ </w:t>
            </w:r>
            <w:r>
              <w:rPr>
                <w:sz w:val="20"/>
                <w:szCs w:val="20"/>
              </w:rPr>
              <w:t>500</w:t>
            </w:r>
          </w:p>
        </w:tc>
      </w:tr>
    </w:tbl>
    <w:p>
      <w:pPr>
        <w:pStyle w:val="Fontedalegenda"/>
        <w:rPr/>
      </w:pPr>
      <w:r>
        <w:rPr/>
        <w:t>Fonte: elaborada pelos autores (2026), medições de 03/10/2026 (T19).</w:t>
      </w:r>
    </w:p>
    <w:p>
      <w:pPr>
        <w:pStyle w:val="Normal"/>
        <w:ind w:firstLine="709"/>
        <w:jc w:val="both"/>
        <w:rPr/>
      </w:pPr>
      <w:r>
        <w:rPr/>
        <w:t>Todas as leituras ficaram abaixo de 17 ms, mesmo com 1 milhão de registros. O cadastro no banco de demonstração foi mais lento porque essa medição passou pela porta publicada do Docker Desktop no Windows: medido de dentro do contêiner, o mesmo cadastro levou 4,6 ms (p50) e 5,5 ms (p95), de modo que o atraso vem do encaminhamento de porta, e não da aplicação; ainda assim, o RNF-02 foi atendido.</w:t>
      </w:r>
    </w:p>
    <w:p>
      <w:pPr>
        <w:pStyle w:val="Normal"/>
        <w:ind w:firstLine="709"/>
        <w:jc w:val="both"/>
        <w:rPr/>
      </w:pPr>
      <w:r>
        <w:rPr/>
        <w:t>O cadastro com risco automático depende das fontes externas. A Tabela 19 mostra as três medições feitas conforme as fontes mudaram; a última, de 16/10/2026, corresponde à arquitetura final.</w:t>
      </w:r>
    </w:p>
    <w:p>
      <w:pPr>
        <w:pStyle w:val="Legendauser"/>
        <w:keepNext w:val="true"/>
        <w:rPr/>
      </w:pPr>
      <w:r>
        <w:rPr/>
        <w:t xml:space="preserve">Tabela </w:t>
      </w:r>
      <w:r>
        <w:rPr/>
        <w:fldChar w:fldCharType="begin"/>
      </w:r>
      <w:r>
        <w:rPr/>
        <w:instrText xml:space="preserve"> SEQ Tabela \* ARABIC </w:instrText>
      </w:r>
      <w:r>
        <w:rPr/>
        <w:fldChar w:fldCharType="separate"/>
      </w:r>
      <w:r>
        <w:rPr/>
        <w:t>19</w:t>
      </w:r>
      <w:r>
        <w:rPr/>
        <w:fldChar w:fldCharType="end"/>
      </w:r>
      <w:r>
        <w:rPr/>
        <w:t xml:space="preserve"> – Latência do cadastro com risco automático (ms)</w:t>
      </w:r>
    </w:p>
    <w:tbl>
      <w:tblPr>
        <w:tblW w:w="9071" w:type="dxa"/>
        <w:jc w:val="left"/>
        <w:tblInd w:w="85" w:type="dxa"/>
        <w:tblLayout w:type="fixed"/>
        <w:tblCellMar>
          <w:top w:w="40" w:type="dxa"/>
          <w:left w:w="80" w:type="dxa"/>
          <w:bottom w:w="40" w:type="dxa"/>
          <w:right w:w="80" w:type="dxa"/>
        </w:tblCellMar>
      </w:tblPr>
      <w:tblGrid>
        <w:gridCol w:w="1581"/>
        <w:gridCol w:w="3480"/>
        <w:gridCol w:w="1372"/>
        <w:gridCol w:w="1370"/>
        <w:gridCol w:w="1268"/>
      </w:tblGrid>
      <w:tr>
        <w:trPr>
          <w:tblHeader w:val="true"/>
          <w:cantSplit/>
        </w:trPr>
        <w:tc>
          <w:tcPr>
            <w:tcW w:w="158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Medição</w:t>
            </w:r>
          </w:p>
        </w:tc>
        <w:tc>
          <w:tcPr>
            <w:tcW w:w="348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Fontes consultadas</w:t>
            </w:r>
          </w:p>
        </w:tc>
        <w:tc>
          <w:tcPr>
            <w:tcW w:w="137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cache p50</w:t>
            </w:r>
          </w:p>
        </w:tc>
        <w:tc>
          <w:tcPr>
            <w:tcW w:w="137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Sem cache p95</w:t>
            </w:r>
          </w:p>
        </w:tc>
        <w:tc>
          <w:tcPr>
            <w:tcW w:w="1268"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right"/>
              <w:rPr/>
            </w:pPr>
            <w:r>
              <w:rPr>
                <w:b/>
                <w:bCs/>
                <w:sz w:val="20"/>
                <w:szCs w:val="20"/>
              </w:rPr>
              <w:t>Com cache p95</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03/10/2026</w:t>
            </w:r>
          </w:p>
        </w:tc>
        <w:tc>
          <w:tcPr>
            <w:tcW w:w="348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(CPTEC respondia 403)</w:t>
            </w:r>
          </w:p>
        </w:tc>
        <w:tc>
          <w:tcPr>
            <w:tcW w:w="137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505,5</w:t>
            </w:r>
          </w:p>
        </w:tc>
        <w:tc>
          <w:tcPr>
            <w:tcW w:w="137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560,1</w:t>
            </w:r>
          </w:p>
        </w:tc>
        <w:tc>
          <w:tcPr>
            <w:tcW w:w="1268"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56,5</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06/10/2026</w:t>
            </w:r>
          </w:p>
        </w:tc>
        <w:tc>
          <w:tcPr>
            <w:tcW w:w="348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e INMET</w:t>
            </w:r>
          </w:p>
        </w:tc>
        <w:tc>
          <w:tcPr>
            <w:tcW w:w="137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602</w:t>
            </w:r>
          </w:p>
        </w:tc>
        <w:tc>
          <w:tcPr>
            <w:tcW w:w="137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1.628</w:t>
            </w:r>
          </w:p>
        </w:tc>
        <w:tc>
          <w:tcPr>
            <w:tcW w:w="1268"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162,4</w:t>
            </w:r>
          </w:p>
        </w:tc>
      </w:tr>
      <w:tr>
        <w:trPr>
          <w:cantSplit/>
        </w:trPr>
        <w:tc>
          <w:tcPr>
            <w:tcW w:w="158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16/10/2026</w:t>
            </w:r>
          </w:p>
        </w:tc>
        <w:tc>
          <w:tcPr>
            <w:tcW w:w="348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OpenWeather, Open-Meteo e INMET</w:t>
            </w:r>
          </w:p>
        </w:tc>
        <w:tc>
          <w:tcPr>
            <w:tcW w:w="1372"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695</w:t>
            </w:r>
          </w:p>
        </w:tc>
        <w:tc>
          <w:tcPr>
            <w:tcW w:w="1370"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809</w:t>
            </w:r>
          </w:p>
        </w:tc>
        <w:tc>
          <w:tcPr>
            <w:tcW w:w="1268" w:type="dxa"/>
            <w:tcBorders>
              <w:top w:val="single" w:sz="4" w:space="0" w:color="808080"/>
              <w:left w:val="single" w:sz="4" w:space="0" w:color="808080"/>
              <w:bottom w:val="single" w:sz="4" w:space="0" w:color="808080"/>
              <w:right w:val="single" w:sz="4" w:space="0" w:color="808080"/>
            </w:tcBorders>
          </w:tcPr>
          <w:p>
            <w:pPr>
              <w:pStyle w:val="Textodetabela"/>
              <w:jc w:val="right"/>
              <w:rPr/>
            </w:pPr>
            <w:r>
              <w:rPr>
                <w:sz w:val="20"/>
                <w:szCs w:val="20"/>
              </w:rPr>
              <w:t>53,6</w:t>
            </w:r>
          </w:p>
        </w:tc>
      </w:tr>
    </w:tbl>
    <w:p>
      <w:pPr>
        <w:pStyle w:val="Fontedalegenda"/>
        <w:rPr/>
      </w:pPr>
      <w:r>
        <w:rPr/>
        <w:t>Fonte: elaborada pelos autores (2026), a partir de T19.</w:t>
      </w:r>
    </w:p>
    <w:p>
      <w:pPr>
        <w:pStyle w:val="Normal"/>
        <w:ind w:firstLine="709"/>
        <w:jc w:val="both"/>
        <w:rPr/>
      </w:pPr>
      <w:r>
        <w:rPr/>
        <w:t>O RNF-03 (p95 ≤ 10 s sem cache e ≤ 1 s com cache) foi atendido nas três medições. As consultas em paralelo fazem o tempo depender da fonte mais lenta, e não da soma das cinco; o cache reduz o tempo em cerca de 10 vezes. A consulta de risco da aba Previsão, com cache, teve p95 de 5,3 ms. A tolerância a falhas (RNF-05) foi verificada por testes automatizados: limite de tempo e paralelismo, falha de uma das fontes (o cálculo continua com a outra) e falha das duas (HTTP 503). A Tabela 20 resume o atendimento dos requisitos de desempenho.</w:t>
      </w:r>
    </w:p>
    <w:p>
      <w:pPr>
        <w:pStyle w:val="Legendauser"/>
        <w:keepNext w:val="true"/>
        <w:rPr/>
      </w:pPr>
      <w:r>
        <w:rPr/>
        <w:t xml:space="preserve">Tabela </w:t>
      </w:r>
      <w:r>
        <w:rPr/>
        <w:fldChar w:fldCharType="begin"/>
      </w:r>
      <w:r>
        <w:rPr/>
        <w:instrText xml:space="preserve"> SEQ Tabela \* ARABIC </w:instrText>
      </w:r>
      <w:r>
        <w:rPr/>
        <w:fldChar w:fldCharType="separate"/>
      </w:r>
      <w:r>
        <w:rPr/>
        <w:t>20</w:t>
      </w:r>
      <w:r>
        <w:rPr/>
        <w:fldChar w:fldCharType="end"/>
      </w:r>
      <w:r>
        <w:rPr/>
        <w:t xml:space="preserve"> – Atendimento dos requisitos de desempenho</w:t>
      </w:r>
    </w:p>
    <w:tbl>
      <w:tblPr>
        <w:tblW w:w="9071" w:type="dxa"/>
        <w:jc w:val="left"/>
        <w:tblInd w:w="85" w:type="dxa"/>
        <w:tblLayout w:type="fixed"/>
        <w:tblCellMar>
          <w:top w:w="40" w:type="dxa"/>
          <w:left w:w="80" w:type="dxa"/>
          <w:bottom w:w="40" w:type="dxa"/>
          <w:right w:w="80" w:type="dxa"/>
        </w:tblCellMar>
      </w:tblPr>
      <w:tblGrid>
        <w:gridCol w:w="1370"/>
        <w:gridCol w:w="2532"/>
        <w:gridCol w:w="4007"/>
        <w:gridCol w:w="1162"/>
      </w:tblGrid>
      <w:tr>
        <w:trPr>
          <w:tblHeader w:val="true"/>
          <w:cantSplit/>
        </w:trPr>
        <w:tc>
          <w:tcPr>
            <w:tcW w:w="137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Requisito</w:t>
            </w:r>
          </w:p>
        </w:tc>
        <w:tc>
          <w:tcPr>
            <w:tcW w:w="253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Critério</w:t>
            </w:r>
          </w:p>
        </w:tc>
        <w:tc>
          <w:tcPr>
            <w:tcW w:w="400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Resultado</w:t>
            </w:r>
          </w:p>
        </w:tc>
        <w:tc>
          <w:tcPr>
            <w:tcW w:w="116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Atende?</w:t>
            </w:r>
          </w:p>
        </w:tc>
      </w:tr>
      <w:tr>
        <w:trPr>
          <w:cantSplit/>
        </w:trPr>
        <w:tc>
          <w:tcPr>
            <w:tcW w:w="137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RNF-01</w:t>
            </w:r>
          </w:p>
        </w:tc>
        <w:tc>
          <w:tcPr>
            <w:tcW w:w="253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200 ms</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16,5 ms (1 milhão de registros)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7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RNF-02</w:t>
            </w:r>
          </w:p>
        </w:tc>
        <w:tc>
          <w:tcPr>
            <w:tcW w:w="253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500 ms</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de 259,1 ms (porta do Docker); 9,1 ms fora dela</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7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RNF-03</w:t>
            </w:r>
          </w:p>
        </w:tc>
        <w:tc>
          <w:tcPr>
            <w:tcW w:w="253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 10 s; ≤ 1 s com cache</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p95 de 809 ms sem cache; 53,6 ms com cache</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7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RNF-04</w:t>
            </w:r>
          </w:p>
        </w:tc>
        <w:tc>
          <w:tcPr>
            <w:tcW w:w="253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 xml:space="preserve">≤ </w:t>
            </w:r>
            <w:r>
              <w:rPr>
                <w:sz w:val="20"/>
                <w:szCs w:val="20"/>
              </w:rPr>
              <w:t>10 ms com 100 mil; sublinear</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0,18 ms; crescimento de 5,8× para 100× mais dados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r>
        <w:trPr>
          <w:cantSplit/>
        </w:trPr>
        <w:tc>
          <w:tcPr>
            <w:tcW w:w="137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RNF-05</w:t>
            </w:r>
          </w:p>
        </w:tc>
        <w:tc>
          <w:tcPr>
            <w:tcW w:w="253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Paralelo, 10 s por fonte, 503 claro</w:t>
            </w:r>
          </w:p>
        </w:tc>
        <w:tc>
          <w:tcPr>
            <w:tcW w:w="4007"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Verificado por testes automatizados</w:t>
            </w:r>
          </w:p>
        </w:tc>
        <w:tc>
          <w:tcPr>
            <w:tcW w:w="116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Sim</w:t>
            </w:r>
          </w:p>
        </w:tc>
      </w:tr>
    </w:tbl>
    <w:p>
      <w:pPr>
        <w:pStyle w:val="Fontedalegenda"/>
        <w:rPr/>
      </w:pPr>
      <w:r>
        <w:rPr/>
        <w:t>Fonte: elaborada pelos autores (2026).</w:t>
      </w:r>
    </w:p>
    <w:p>
      <w:pPr>
        <w:pStyle w:val="Normal"/>
        <w:ind w:firstLine="709"/>
        <w:jc w:val="both"/>
        <w:rPr/>
      </w:pPr>
      <w:r>
        <w:rPr>
          <w:b/>
          <w:bCs/>
        </w:rPr>
        <w:t>Limitações da medição.</w:t>
      </w:r>
      <w:r>
        <w:rPr/>
        <w:t xml:space="preserve"> Cliente e servidor estavam na mesma máquina: a latência de rede móvel real não foi medida e depende de onde a API for hospedada. A carga foi de um cliente por vez; testes com vários usuários simultâneos não fizeram parte do escopo.</w:t>
      </w:r>
    </w:p>
    <w:p>
      <w:pPr>
        <w:pStyle w:val="Heading3"/>
        <w:rPr/>
      </w:pPr>
      <w:bookmarkStart w:id="90" w:name="__RefHeading___Toc3697_984269736"/>
      <w:bookmarkStart w:id="91" w:name="_Toc46"/>
      <w:bookmarkEnd w:id="90"/>
      <w:r>
        <w:rPr/>
        <w:t>5.3.5 Usabilidade</w:t>
      </w:r>
      <w:bookmarkEnd w:id="91"/>
    </w:p>
    <w:p>
      <w:pPr>
        <w:pStyle w:val="Normal"/>
        <w:ind w:firstLine="709"/>
        <w:jc w:val="both"/>
        <w:rPr/>
      </w:pPr>
      <w:r>
        <w:rPr/>
        <w:t xml:space="preserve">Doze participantes avaliaram as sete telas principais em quatro critérios, na escala de 1 a 5, o que soma 336 notas. A média geral foi </w:t>
      </w:r>
      <w:r>
        <w:rPr>
          <w:b/>
          <w:bCs/>
        </w:rPr>
        <w:t>4,79</w:t>
      </w:r>
      <w:r>
        <w:rPr/>
        <w:t>, e todas as telas ficaram acima do critério de aprovação de 4, como mostra a Tabela 21.</w:t>
      </w:r>
    </w:p>
    <w:p>
      <w:pPr>
        <w:pStyle w:val="Legendauser"/>
        <w:keepNext w:val="true"/>
        <w:rPr/>
      </w:pPr>
      <w:r>
        <w:rPr/>
        <w:t xml:space="preserve">Tabela </w:t>
      </w:r>
      <w:r>
        <w:rPr/>
        <w:fldChar w:fldCharType="begin"/>
      </w:r>
      <w:r>
        <w:rPr/>
        <w:instrText xml:space="preserve"> SEQ Tabela \* ARABIC </w:instrText>
      </w:r>
      <w:r>
        <w:rPr/>
        <w:fldChar w:fldCharType="separate"/>
      </w:r>
      <w:r>
        <w:rPr/>
        <w:t>21</w:t>
      </w:r>
      <w:r>
        <w:rPr/>
        <w:fldChar w:fldCharType="end"/>
      </w:r>
      <w:r>
        <w:rPr/>
        <w:t xml:space="preserve"> – Notas médias por tela e critério (12 participantes, escala de 1 a 5)</w:t>
      </w:r>
    </w:p>
    <w:tbl>
      <w:tblPr>
        <w:tblW w:w="9071" w:type="dxa"/>
        <w:jc w:val="left"/>
        <w:tblInd w:w="85" w:type="dxa"/>
        <w:tblLayout w:type="fixed"/>
        <w:tblCellMar>
          <w:top w:w="40" w:type="dxa"/>
          <w:left w:w="80" w:type="dxa"/>
          <w:bottom w:w="40" w:type="dxa"/>
          <w:right w:w="80" w:type="dxa"/>
        </w:tblCellMar>
      </w:tblPr>
      <w:tblGrid>
        <w:gridCol w:w="2060"/>
        <w:gridCol w:w="1444"/>
        <w:gridCol w:w="1545"/>
        <w:gridCol w:w="1237"/>
        <w:gridCol w:w="1545"/>
        <w:gridCol w:w="1240"/>
      </w:tblGrid>
      <w:tr>
        <w:trPr>
          <w:tblHeader w:val="true"/>
          <w:cantSplit/>
        </w:trPr>
        <w:tc>
          <w:tcPr>
            <w:tcW w:w="206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Tela</w:t>
            </w:r>
          </w:p>
        </w:tc>
        <w:tc>
          <w:tcPr>
            <w:tcW w:w="1444"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Facilidade</w:t>
            </w:r>
          </w:p>
        </w:tc>
        <w:tc>
          <w:tcPr>
            <w:tcW w:w="154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Intuitividade</w:t>
            </w:r>
          </w:p>
        </w:tc>
        <w:tc>
          <w:tcPr>
            <w:tcW w:w="1237"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Design</w:t>
            </w:r>
          </w:p>
        </w:tc>
        <w:tc>
          <w:tcPr>
            <w:tcW w:w="154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Importância</w:t>
            </w:r>
          </w:p>
        </w:tc>
        <w:tc>
          <w:tcPr>
            <w:tcW w:w="1240"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center"/>
              <w:rPr/>
            </w:pPr>
            <w:r>
              <w:rPr>
                <w:b/>
                <w:bCs/>
                <w:sz w:val="20"/>
                <w:szCs w:val="20"/>
              </w:rPr>
              <w:t>Média</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Entrada</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5,00</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4,75</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5,00</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4,90</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4,58</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4,58</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4,92</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4,73</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Alertas</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4,50</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4,58</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4,67</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4,75</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4,62</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4,92</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4,92</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4,92</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4,90</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4,67</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4,67</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4,92</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4,77</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4,75</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4,75</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4,75</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4,77</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Ajustes</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sz w:val="20"/>
                <w:szCs w:val="20"/>
              </w:rPr>
              <w:t>4,83</w:t>
            </w:r>
          </w:p>
        </w:tc>
      </w:tr>
      <w:tr>
        <w:trPr>
          <w:cantSplit/>
        </w:trPr>
        <w:tc>
          <w:tcPr>
            <w:tcW w:w="2060" w:type="dxa"/>
            <w:tcBorders>
              <w:top w:val="single" w:sz="4" w:space="0" w:color="808080"/>
              <w:left w:val="single" w:sz="4" w:space="0" w:color="808080"/>
              <w:bottom w:val="single" w:sz="4" w:space="0" w:color="808080"/>
              <w:right w:val="single" w:sz="4" w:space="0" w:color="808080"/>
            </w:tcBorders>
          </w:tcPr>
          <w:p>
            <w:pPr>
              <w:pStyle w:val="Textodetabela"/>
              <w:jc w:val="left"/>
              <w:rPr/>
            </w:pPr>
            <w:r>
              <w:rPr>
                <w:b/>
                <w:bCs/>
                <w:sz w:val="20"/>
                <w:szCs w:val="20"/>
              </w:rPr>
              <w:t>Todas</w:t>
            </w:r>
          </w:p>
        </w:tc>
        <w:tc>
          <w:tcPr>
            <w:tcW w:w="1444"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4,74</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4,76</w:t>
            </w:r>
          </w:p>
        </w:tc>
        <w:tc>
          <w:tcPr>
            <w:tcW w:w="1237"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4,79</w:t>
            </w:r>
          </w:p>
        </w:tc>
        <w:tc>
          <w:tcPr>
            <w:tcW w:w="1545"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4,87</w:t>
            </w:r>
          </w:p>
        </w:tc>
        <w:tc>
          <w:tcPr>
            <w:tcW w:w="1240" w:type="dxa"/>
            <w:tcBorders>
              <w:top w:val="single" w:sz="4" w:space="0" w:color="808080"/>
              <w:left w:val="single" w:sz="4" w:space="0" w:color="808080"/>
              <w:bottom w:val="single" w:sz="4" w:space="0" w:color="808080"/>
              <w:right w:val="single" w:sz="4" w:space="0" w:color="808080"/>
            </w:tcBorders>
          </w:tcPr>
          <w:p>
            <w:pPr>
              <w:pStyle w:val="Textodetabela"/>
              <w:jc w:val="center"/>
              <w:rPr/>
            </w:pPr>
            <w:r>
              <w:rPr>
                <w:b/>
                <w:bCs/>
                <w:sz w:val="20"/>
                <w:szCs w:val="20"/>
              </w:rPr>
              <w:t>4,79</w:t>
            </w:r>
          </w:p>
        </w:tc>
      </w:tr>
    </w:tbl>
    <w:p>
      <w:pPr>
        <w:pStyle w:val="Fontedalegenda"/>
        <w:rPr/>
      </w:pPr>
      <w:r>
        <w:rPr/>
        <w:t>Fonte: elaborada pelos autores (2026), a partir das respostas do formulário (17 a 21/10/2026).</w:t>
      </w:r>
    </w:p>
    <w:p>
      <w:pPr>
        <w:pStyle w:val="Normal"/>
        <w:ind w:firstLine="709"/>
        <w:jc w:val="both"/>
        <w:rPr/>
      </w:pPr>
      <w:r>
        <w:rPr/>
        <w:t>Das 336 notas, 95% foram 4 ou 5, e apenas 3 foram 2. A menor média foi a da facilidade de uso da aba Alertas (4,50), e a maior, a da importância das telas, o que indica que os participantes reconheceram a utilidade das funções. As perguntas específicas de cada tela revelaram mais do que as notas: elas apontaram os pontos de dúvida que geraram as quatro melhorias da Tabela 22.</w:t>
      </w:r>
    </w:p>
    <w:p>
      <w:pPr>
        <w:pStyle w:val="Legendauser"/>
        <w:keepNext w:val="true"/>
        <w:rPr/>
      </w:pPr>
      <w:r>
        <w:rPr/>
        <w:t xml:space="preserve">Tabela </w:t>
      </w:r>
      <w:r>
        <w:rPr/>
        <w:fldChar w:fldCharType="begin"/>
      </w:r>
      <w:r>
        <w:rPr/>
        <w:instrText xml:space="preserve"> SEQ Tabela \* ARABIC </w:instrText>
      </w:r>
      <w:r>
        <w:rPr/>
        <w:fldChar w:fldCharType="separate"/>
      </w:r>
      <w:r>
        <w:rPr/>
        <w:t>22</w:t>
      </w:r>
      <w:r>
        <w:rPr/>
        <w:fldChar w:fldCharType="end"/>
      </w:r>
      <w:r>
        <w:rPr/>
        <w:t xml:space="preserve"> – Perguntas específicas, respostas e melhorias aplicadas</w:t>
      </w:r>
    </w:p>
    <w:tbl>
      <w:tblPr>
        <w:tblW w:w="9071" w:type="dxa"/>
        <w:jc w:val="left"/>
        <w:tblInd w:w="85" w:type="dxa"/>
        <w:tblLayout w:type="fixed"/>
        <w:tblCellMar>
          <w:top w:w="40" w:type="dxa"/>
          <w:left w:w="80" w:type="dxa"/>
          <w:bottom w:w="40" w:type="dxa"/>
          <w:right w:w="80" w:type="dxa"/>
        </w:tblCellMar>
      </w:tblPr>
      <w:tblGrid>
        <w:gridCol w:w="1355"/>
        <w:gridCol w:w="2709"/>
        <w:gridCol w:w="1876"/>
        <w:gridCol w:w="3131"/>
      </w:tblGrid>
      <w:tr>
        <w:trPr>
          <w:tblHeader w:val="true"/>
          <w:cantSplit/>
        </w:trPr>
        <w:tc>
          <w:tcPr>
            <w:tcW w:w="135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Tela</w:t>
            </w:r>
          </w:p>
        </w:tc>
        <w:tc>
          <w:tcPr>
            <w:tcW w:w="2709"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Pergunta</w:t>
            </w:r>
          </w:p>
        </w:tc>
        <w:tc>
          <w:tcPr>
            <w:tcW w:w="187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Respostas (12)</w:t>
            </w:r>
          </w:p>
        </w:tc>
        <w:tc>
          <w:tcPr>
            <w:tcW w:w="3131"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Melhoria aplicada</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Entrada</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 mensagem "não há verificação de senha" ficou clara?</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10 sim; 2 mais ou menos</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Campo de senha retirado: a entrada não pede cadastro nem senha, e o nome é opcional</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Mapa</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Entendeu as cores e os marcadores mais apagados?</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10 entenderam tudo; 2 só as cores</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resumo da situação atual passou a servir de legenda das cores e a explicar os marcadores esmaecidos</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Alertas</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Os filtros são fáceis de combinar?</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12 sim</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Nenhuma</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Detalhes</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As informações são suficientes?</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9 sim; 3 faltam informações</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Endereço aproximado (rua e bairro) incluído, a partir das coordenadas</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Entendeu a diferença entre "Automático" e escolher o nível?</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9 sim; 2 em parte; 1 não</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Explicação dos dois modos sempre visível (antes, só a do modo selecionado)</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Previsão</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 risco "Baixo" com um aviso de tempestade do INMET ficou claro?</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11 sim; 1 em dúvida</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Nenhuma: a regra do piso já é explicada no cartão de informação</w:t>
            </w:r>
          </w:p>
        </w:tc>
      </w:tr>
      <w:tr>
        <w:trPr>
          <w:cantSplit/>
        </w:trPr>
        <w:tc>
          <w:tcPr>
            <w:tcW w:w="135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Ajustes</w:t>
            </w:r>
          </w:p>
        </w:tc>
        <w:tc>
          <w:tcPr>
            <w:tcW w:w="2709"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Ficou claro o que cada opção de alerta e de fonte de dados faz?</w:t>
            </w:r>
          </w:p>
        </w:tc>
        <w:tc>
          <w:tcPr>
            <w:tcW w:w="187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11 sim; 1 em parte</w:t>
            </w:r>
          </w:p>
        </w:tc>
        <w:tc>
          <w:tcPr>
            <w:tcW w:w="3131"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Nenhuma: o filtro por fonte de dados, citado na pergunta, já tinha sido retirado</w:t>
            </w:r>
          </w:p>
        </w:tc>
      </w:tr>
    </w:tbl>
    <w:p>
      <w:pPr>
        <w:pStyle w:val="Fontedalegenda"/>
        <w:rPr/>
      </w:pPr>
      <w:r>
        <w:rPr/>
        <w:t>Fonte: elaborada pelos autores (2026).</w:t>
      </w:r>
    </w:p>
    <w:p>
      <w:pPr>
        <w:pStyle w:val="Normal"/>
        <w:ind w:firstLine="709"/>
        <w:jc w:val="both"/>
        <w:rPr/>
      </w:pPr>
      <w:r>
        <w:rPr/>
        <w:t>Os comentários abertos foram, em sua maioria, elogios à clareza e à organização das telas. As sugestões concretas foram: mostrar o nome da região onde fica a ocorrência, "numa hora de urgência caso um idoso esteja usando", e uma indicação do endereço no mapa da tela de detalhes; dar mais destaque à descrição do relato; e incluir um "Esqueceu a senha". O endereço foi incluído nos detalhes; a descrição já é o título dessa tela; e o "Esqueceu a senha" deixou de fazer sentido com a retirada da senha. Um mapa dentro da tela de detalhes fica como trabalho futuro.</w:t>
      </w:r>
    </w:p>
    <w:p>
      <w:pPr>
        <w:pStyle w:val="Normal"/>
        <w:ind w:firstLine="709"/>
        <w:jc w:val="both"/>
        <w:rPr/>
      </w:pPr>
      <w:r>
        <w:rPr/>
        <w:t>Ao revisar o cadastro a partir da pergunta específica, a equipe encontrou também um texto desatualizado: a explicação do nível automático ainda citava pluviômetros, retirados do modelo em 16/10/2026. Na captura avaliada, o nível selecionado era Alto, de modo que os participantes viam apenas a explicação do nível escolhido, o que ajuda a explicar a dúvida sobre o "Automático". O texto foi corrigido junto com a melhoria.</w:t>
      </w:r>
    </w:p>
    <w:p>
      <w:pPr>
        <w:pStyle w:val="Normal"/>
        <w:ind w:firstLine="709"/>
        <w:jc w:val="both"/>
        <w:rPr/>
      </w:pPr>
      <w:r>
        <w:rPr/>
        <w:t>As quatro melhorias foram verificadas em emulador, com o aplicativo ligado à API e ao banco reais, e aparecem nas capturas da Seção 4.5.3. Com a avaliação, os oito casos do PT-001 que dependiam dela foram fechados como aprovados. Uma nova rodada de avaliação, com as telas alteradas, não foi feita.</w:t>
      </w:r>
    </w:p>
    <w:p>
      <w:pPr>
        <w:pStyle w:val="Normal"/>
        <w:ind w:firstLine="709"/>
        <w:jc w:val="both"/>
        <w:rPr/>
      </w:pPr>
      <w:r>
        <w:rPr>
          <w:b/>
          <w:bCs/>
        </w:rPr>
        <w:t>Limitações da avaliação.</w:t>
      </w:r>
      <w:r>
        <w:rPr/>
        <w:t xml:space="preserve"> A amostra é de conveniência, formada por familiares e amigos dos integrantes, o que tende a elevar as notas: 8 dos 12 participantes deram nota 5 em todos os itens. A avaliação foi feita sobre capturas das telas, sem tarefas executadas no aplicativo, e por isso mede a compreensão e a percepção da interface, e não a eficácia no uso — não há taxa de conclusão de tarefas nem tempo de execução. Por essas razões, as perguntas específicas e os comentários são a parte mais informativa da avaliação, e as médias devem ser lidas como indício de aceitação, não como medida de usabilidade da população.</w:t>
      </w:r>
    </w:p>
    <w:p>
      <w:pPr>
        <w:pStyle w:val="Heading1"/>
        <w:pageBreakBefore/>
        <w:rPr/>
      </w:pPr>
      <w:bookmarkStart w:id="92" w:name="__RefHeading___Toc3699_984269736"/>
      <w:bookmarkStart w:id="93" w:name="_Toc47"/>
      <w:bookmarkEnd w:id="92"/>
      <w:r>
        <w:rPr/>
        <w:t>6 Conclusão</w:t>
      </w:r>
      <w:bookmarkEnd w:id="93"/>
    </w:p>
    <w:p>
      <w:pPr>
        <w:pStyle w:val="Normal"/>
        <w:ind w:firstLine="709"/>
        <w:jc w:val="both"/>
        <w:rPr/>
      </w:pPr>
      <w:r>
        <w:rPr/>
        <w:t>Este trabalho partiu da questão de como desenvolver e avaliar um sistema computacional capaz de integrar múltiplas fontes meteorológicas e registros colaborativos georreferenciados, produzindo um indicador de risco de alagamento com desempenho adequado nas consultas espaciais de um aplicativo móvel. A resposta, construída e verificada ao longo do trabalho, é uma arquitetura em três camadas — aplicativo Android, API REST e banco PostGIS — cujo núcleo é uma camada própria de processamento: as fontes que medem a mesma variável são fundidas por uma regra explícita, os relatos dos usuários são agregados por proximidade no tempo e no espaço, e os três critérios são combinados por um índice com pesos obtidos pelo AHP e limitados pelos avisos oficiais.</w:t>
      </w:r>
    </w:p>
    <w:p>
      <w:pPr>
        <w:pStyle w:val="Normal"/>
        <w:ind w:firstLine="709"/>
        <w:jc w:val="both"/>
        <w:rPr/>
      </w:pPr>
      <w:r>
        <w:rPr/>
        <w:t>A hipótese de trabalho foi confirmada nos aspectos que puderam ser medidos. A regra de fusão funcionou com dados reais e manteve o cálculo quando uma das fontes faltou; os pesos do índice são consistentes (CR = 0,0079) e a classificação mostrou-se estável a variações de 10% nos pesos; o índice GiST tornou a consulta por região até 81,6 vezes mais rápida, e todos os requisitos de desempenho foram atendidos com folga. Na avaliação da interface, as sete telas tiveram média de 4,79 em 5, e as dúvidas apontadas pelos participantes viraram quatro melhorias no aplicativo. O que não pôde ser verificado — a acurácia do índice diante de alagamentos reais — fica declarado como limitação.</w:t>
      </w:r>
    </w:p>
    <w:p>
      <w:pPr>
        <w:pStyle w:val="Normal"/>
        <w:ind w:firstLine="709"/>
        <w:jc w:val="both"/>
        <w:rPr/>
      </w:pPr>
      <w:r>
        <w:rPr/>
        <w:t>O diferencial do trabalho está justamente nessa camada intermediária. O sistema não repassa ao usuário o que cada API devolve: ele resolve divergências entre fontes de forma reproduzível, trata a ausência de dados sem subestimar o risco, incorpora o relato do cidadão como critério com peso próprio — a única fonte que não depende de nenhum órgão externo — e explica ao usuário de onde vem cada dado do cálculo.</w:t>
      </w:r>
    </w:p>
    <w:p>
      <w:pPr>
        <w:pStyle w:val="Heading2"/>
        <w:rPr/>
      </w:pPr>
      <w:bookmarkStart w:id="94" w:name="__RefHeading___Toc3701_984269736"/>
      <w:bookmarkStart w:id="95" w:name="_Toc48"/>
      <w:bookmarkEnd w:id="94"/>
      <w:r>
        <w:rPr/>
        <w:t>6.1 Objetivos atingidos</w:t>
      </w:r>
      <w:bookmarkEnd w:id="95"/>
    </w:p>
    <w:p>
      <w:pPr>
        <w:pStyle w:val="Normal"/>
        <w:ind w:firstLine="709"/>
        <w:jc w:val="both"/>
        <w:rPr/>
      </w:pPr>
      <w:r>
        <w:rPr/>
        <w:t>A Tabela 23 relaciona os objetivos específicos aos resultados.</w:t>
      </w:r>
    </w:p>
    <w:p>
      <w:pPr>
        <w:pStyle w:val="Legendauser"/>
        <w:keepNext w:val="true"/>
        <w:rPr/>
      </w:pPr>
      <w:r>
        <w:rPr/>
        <w:t xml:space="preserve">Tabela </w:t>
      </w:r>
      <w:r>
        <w:rPr/>
        <w:fldChar w:fldCharType="begin"/>
      </w:r>
      <w:r>
        <w:rPr/>
        <w:instrText xml:space="preserve"> SEQ Tabela \* ARABIC </w:instrText>
      </w:r>
      <w:r>
        <w:rPr/>
        <w:fldChar w:fldCharType="separate"/>
      </w:r>
      <w:r>
        <w:rPr/>
        <w:t>23</w:t>
      </w:r>
      <w:r>
        <w:rPr/>
        <w:fldChar w:fldCharType="end"/>
      </w:r>
      <w:r>
        <w:rPr/>
        <w:t xml:space="preserve"> – Objetivos específicos e resultados</w:t>
      </w:r>
    </w:p>
    <w:tbl>
      <w:tblPr>
        <w:tblW w:w="9071" w:type="dxa"/>
        <w:jc w:val="left"/>
        <w:tblInd w:w="85" w:type="dxa"/>
        <w:tblLayout w:type="fixed"/>
        <w:tblCellMar>
          <w:top w:w="40" w:type="dxa"/>
          <w:left w:w="80" w:type="dxa"/>
          <w:bottom w:w="40" w:type="dxa"/>
          <w:right w:w="80" w:type="dxa"/>
        </w:tblCellMar>
      </w:tblPr>
      <w:tblGrid>
        <w:gridCol w:w="3163"/>
        <w:gridCol w:w="4852"/>
        <w:gridCol w:w="1056"/>
      </w:tblGrid>
      <w:tr>
        <w:trPr>
          <w:tblHeader w:val="true"/>
          <w:cantSplit/>
        </w:trPr>
        <w:tc>
          <w:tcPr>
            <w:tcW w:w="316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Objetivo específico</w:t>
            </w:r>
          </w:p>
        </w:tc>
        <w:tc>
          <w:tcPr>
            <w:tcW w:w="4852"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Resultado</w:t>
            </w:r>
          </w:p>
        </w:tc>
        <w:tc>
          <w:tcPr>
            <w:tcW w:w="1056"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Onde</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Levantar e testar fontes de dados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Oito fontes avaliadas; três em uso, com o motivo de cada decisão registrado</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3.3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Definir a arquitetura em camadas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Aplicativo, API, serviços e banco, em contêineres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Implementar o aplicativo Android</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Kotlin e XML, integrado à API real, com mapa, alertas, previsão, cadastro e perfil</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Implementar a API REST</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FastAPI com documentação OpenAPI</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Modelar os dados espaciais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PostGIS, SRID 4326, gatilho de sincronização e índice GiST</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4.4</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Registro colaborativo</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Cadastro com local, data e hora e origem, restrito ao município</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Regra de fusão</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Maior valor, divergência registrada e tolerância a falhas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4.5.1</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IRA com AHP e sensibilidade</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Pesos do autovetor (CR = 0,0079); estável em 280 cenários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4.5.2 e 5.3.2</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Benchmark com e sem GiST</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 mil a 1 milhão de registros; ganho de até 81,6×</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Medir a latência</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Todos os RNF de desempenho atendidos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5.3.4</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Testes funcionais, de integração e de usabilidade</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114 testes automatizados; 29 de 29 casos aprovados; média de 4,79 na avaliação das telas e quatro melhorias aplicadas</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5.3</w:t>
            </w:r>
          </w:p>
        </w:tc>
      </w:tr>
      <w:tr>
        <w:trPr>
          <w:cantSplit/>
        </w:trPr>
        <w:tc>
          <w:tcPr>
            <w:tcW w:w="316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Documentar limitações</w:t>
            </w:r>
          </w:p>
        </w:tc>
        <w:tc>
          <w:tcPr>
            <w:tcW w:w="4852"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Seção 6.2</w:t>
            </w:r>
          </w:p>
        </w:tc>
        <w:tc>
          <w:tcPr>
            <w:tcW w:w="1056"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6.2</w:t>
            </w:r>
          </w:p>
        </w:tc>
      </w:tr>
    </w:tbl>
    <w:p>
      <w:pPr>
        <w:pStyle w:val="Fontedalegenda"/>
        <w:rPr/>
      </w:pPr>
      <w:r>
        <w:rPr/>
        <w:t>Fonte: elaborada pelos autores (2026).</w:t>
      </w:r>
    </w:p>
    <w:p>
      <w:pPr>
        <w:pStyle w:val="Heading2"/>
        <w:rPr/>
      </w:pPr>
      <w:bookmarkStart w:id="96" w:name="__RefHeading___Toc3703_984269736"/>
      <w:bookmarkStart w:id="97" w:name="_Toc49"/>
      <w:bookmarkEnd w:id="96"/>
      <w:r>
        <w:rPr/>
        <w:t>6.2 Limitações</w:t>
      </w:r>
      <w:bookmarkEnd w:id="97"/>
    </w:p>
    <w:p>
      <w:pPr>
        <w:pStyle w:val="ListParagraph"/>
        <w:numPr>
          <w:ilvl w:val="0"/>
          <w:numId w:val="18"/>
        </w:numPr>
        <w:jc w:val="both"/>
        <w:rPr/>
      </w:pPr>
      <w:r>
        <w:rPr>
          <w:b/>
          <w:bCs/>
        </w:rPr>
        <w:t>Sem pluviômetro físico.</w:t>
      </w:r>
      <w:r>
        <w:rPr/>
        <w:t xml:space="preserve"> A ANA não aprovou o cadastro e a estação da USCS não teve resposta. As duas fontes numéricas são modelos meteorológicos, não medições de chuva em solo.</w:t>
      </w:r>
    </w:p>
    <w:p>
      <w:pPr>
        <w:pStyle w:val="ListParagraph"/>
        <w:numPr>
          <w:ilvl w:val="0"/>
          <w:numId w:val="1"/>
        </w:numPr>
        <w:jc w:val="both"/>
        <w:rPr/>
      </w:pPr>
      <w:r>
        <w:rPr>
          <w:b/>
          <w:bCs/>
        </w:rPr>
        <w:t>Pesos e parâmetros não calibrados.</w:t>
      </w:r>
      <w:r>
        <w:rPr/>
        <w:t xml:space="preserve"> Os julgamentos da matriz AHP foram feitos pela equipe, sem especialistas em hidrologia ou defesa civil, e os parâmetros da agregação colaborativa (1 km, 3 h, mínimo de dois relatos) são escolhas de projeto. A análise de sensibilidade mitiga, mas não substitui, essa calibração.</w:t>
      </w:r>
    </w:p>
    <w:p>
      <w:pPr>
        <w:pStyle w:val="ListParagraph"/>
        <w:numPr>
          <w:ilvl w:val="0"/>
          <w:numId w:val="1"/>
        </w:numPr>
        <w:jc w:val="both"/>
        <w:rPr/>
      </w:pPr>
      <w:r>
        <w:rPr>
          <w:b/>
          <w:bCs/>
        </w:rPr>
        <w:t>Confiabilidade dos relatos.</w:t>
      </w:r>
      <w:r>
        <w:rPr/>
        <w:t xml:space="preserve"> O mínimo de dois relatos conta relatos, não usuários distintos: um mesmo usuário pode enviar dois relatos. Mecanismos como reputação ou confirmação por outros usuários não foram implementados.</w:t>
      </w:r>
    </w:p>
    <w:p>
      <w:pPr>
        <w:pStyle w:val="ListParagraph"/>
        <w:numPr>
          <w:ilvl w:val="0"/>
          <w:numId w:val="1"/>
        </w:numPr>
        <w:jc w:val="both"/>
        <w:rPr/>
      </w:pPr>
      <w:r>
        <w:rPr>
          <w:b/>
          <w:bCs/>
        </w:rPr>
        <w:t>Rastreabilidade parcial do cálculo.</w:t>
      </w:r>
      <w:r>
        <w:rPr/>
        <w:t xml:space="preserve"> A ocorrência guarda o nível, a chuva usada e a origem, e o componente colaborativo é registrado; os demais componentes e a versão dos pesos de cada cálculo não são gravados.</w:t>
      </w:r>
    </w:p>
    <w:p>
      <w:pPr>
        <w:pStyle w:val="ListParagraph"/>
        <w:numPr>
          <w:ilvl w:val="0"/>
          <w:numId w:val="1"/>
        </w:numPr>
        <w:jc w:val="both"/>
        <w:rPr/>
      </w:pPr>
      <w:r>
        <w:rPr>
          <w:b/>
          <w:bCs/>
        </w:rPr>
        <w:t>Fontes públicas instáveis.</w:t>
      </w:r>
      <w:r>
        <w:rPr/>
        <w:t xml:space="preserve"> O CPTEC passou a negar acesso durante o projeto, e a API do INMET em uso não tem documentação oficial nem garantia de disponibilidade.</w:t>
      </w:r>
    </w:p>
    <w:p>
      <w:pPr>
        <w:pStyle w:val="ListParagraph"/>
        <w:numPr>
          <w:ilvl w:val="0"/>
          <w:numId w:val="1"/>
        </w:numPr>
        <w:jc w:val="both"/>
        <w:rPr/>
      </w:pPr>
      <w:r>
        <w:rPr>
          <w:b/>
          <w:bCs/>
        </w:rPr>
        <w:t>Avisos amplos.</w:t>
      </w:r>
      <w:r>
        <w:rPr/>
        <w:t xml:space="preserve"> Os avisos do INMET valem para áreas extensas e para o dia inteiro; o piso é uma regra conservadora, que pode elevar o risco de um ponto onde não chove.</w:t>
      </w:r>
    </w:p>
    <w:p>
      <w:pPr>
        <w:pStyle w:val="ListParagraph"/>
        <w:numPr>
          <w:ilvl w:val="0"/>
          <w:numId w:val="1"/>
        </w:numPr>
        <w:jc w:val="both"/>
        <w:rPr/>
      </w:pPr>
      <w:r>
        <w:rPr>
          <w:b/>
          <w:bCs/>
        </w:rPr>
        <w:t>Avaliação de usabilidade restrita.</w:t>
      </w:r>
      <w:r>
        <w:rPr/>
        <w:t xml:space="preserve"> Amostra de conveniência de 12 pessoas próximas à equipe, avaliação sobre capturas das telas, sem tarefas no aplicativo, e sem nova rodada depois das melhorias.</w:t>
      </w:r>
    </w:p>
    <w:p>
      <w:pPr>
        <w:pStyle w:val="ListParagraph"/>
        <w:numPr>
          <w:ilvl w:val="0"/>
          <w:numId w:val="1"/>
        </w:numPr>
        <w:jc w:val="both"/>
        <w:rPr/>
      </w:pPr>
      <w:r>
        <w:rPr>
          <w:b/>
          <w:bCs/>
        </w:rPr>
        <w:t>Sem eventos reais e sem hospedagem.</w:t>
      </w:r>
      <w:r>
        <w:rPr/>
        <w:t xml:space="preserve"> Os testes usaram ocorrências de demonstração; o ambiente rodou em um notebook da equipe, e a implantação pública, embora preparada, não foi feita. As notificações só funcionam com o aplicativo aberto.</w:t>
      </w:r>
    </w:p>
    <w:p>
      <w:pPr>
        <w:pStyle w:val="Heading2"/>
        <w:rPr/>
      </w:pPr>
      <w:bookmarkStart w:id="98" w:name="__RefHeading___Toc3705_984269736"/>
      <w:bookmarkStart w:id="99" w:name="_Toc50"/>
      <w:bookmarkEnd w:id="98"/>
      <w:r>
        <w:rPr/>
        <w:t>6.3 Trabalhos futuros</w:t>
      </w:r>
      <w:bookmarkEnd w:id="99"/>
    </w:p>
    <w:p>
      <w:pPr>
        <w:pStyle w:val="ListParagraph"/>
        <w:numPr>
          <w:ilvl w:val="0"/>
          <w:numId w:val="19"/>
        </w:numPr>
        <w:jc w:val="both"/>
        <w:rPr/>
      </w:pPr>
      <w:r>
        <w:rPr/>
        <w:t>integrar um pluviômetro físico — a ANA, se o acesso for liberado, ou a estação do campus — como critério adicional;</w:t>
      </w:r>
    </w:p>
    <w:p>
      <w:pPr>
        <w:pStyle w:val="ListParagraph"/>
        <w:numPr>
          <w:ilvl w:val="0"/>
          <w:numId w:val="1"/>
        </w:numPr>
        <w:jc w:val="both"/>
        <w:rPr/>
      </w:pPr>
      <w:r>
        <w:rPr/>
        <w:t>recalibrar pesos e parâmetros com histórico real de ocorrências e com apoio de especialistas, como a Defesa Civil municipal;</w:t>
      </w:r>
    </w:p>
    <w:p>
      <w:pPr>
        <w:pStyle w:val="ListParagraph"/>
        <w:numPr>
          <w:ilvl w:val="0"/>
          <w:numId w:val="1"/>
        </w:numPr>
        <w:jc w:val="both"/>
        <w:rPr/>
      </w:pPr>
      <w:r>
        <w:rPr/>
        <w:t>contar no máximo um relato por usuário e adotar mecanismos de confiabilidade dos relatos;</w:t>
      </w:r>
    </w:p>
    <w:p>
      <w:pPr>
        <w:pStyle w:val="ListParagraph"/>
        <w:numPr>
          <w:ilvl w:val="0"/>
          <w:numId w:val="1"/>
        </w:numPr>
        <w:jc w:val="both"/>
        <w:rPr/>
      </w:pPr>
      <w:r>
        <w:rPr/>
        <w:t>registrar cada cálculo de risco com seus componentes, fontes e versão dos pesos;</w:t>
      </w:r>
    </w:p>
    <w:p>
      <w:pPr>
        <w:pStyle w:val="ListParagraph"/>
        <w:numPr>
          <w:ilvl w:val="0"/>
          <w:numId w:val="1"/>
        </w:numPr>
        <w:jc w:val="both"/>
        <w:rPr/>
      </w:pPr>
      <w:r>
        <w:rPr/>
        <w:t>hospedar a API e o banco em nuvem, de preferência no Brasil (a API do INMET pode bloquear acessos do exterior), e medir a latência com rede móvel real e vários usuários simultâneos;</w:t>
      </w:r>
    </w:p>
    <w:p>
      <w:pPr>
        <w:pStyle w:val="ListParagraph"/>
        <w:numPr>
          <w:ilvl w:val="0"/>
          <w:numId w:val="1"/>
        </w:numPr>
        <w:jc w:val="both"/>
        <w:rPr/>
      </w:pPr>
      <w:r>
        <w:rPr/>
        <w:t>enviar notificações pelo servidor (</w:t>
      </w:r>
      <w:r>
        <w:rPr>
          <w:i/>
          <w:iCs/>
        </w:rPr>
        <w:t>push</w:t>
      </w:r>
      <w:r>
        <w:rPr/>
        <w:t>), para alertar com o aplicativo fechado;</w:t>
      </w:r>
    </w:p>
    <w:p>
      <w:pPr>
        <w:pStyle w:val="ListParagraph"/>
        <w:numPr>
          <w:ilvl w:val="0"/>
          <w:numId w:val="1"/>
        </w:numPr>
        <w:jc w:val="both"/>
        <w:rPr/>
      </w:pPr>
      <w:r>
        <w:rPr/>
        <w:t>repetir a avaliação de usabilidade com tarefas no aplicativo instalado, com moradores fora do círculo da equipe, e incluir um mapa na tela de detalhes, como sugerido pelos participantes.</w:t>
      </w:r>
    </w:p>
    <w:p>
      <w:pPr>
        <w:pStyle w:val="Heading1"/>
        <w:pageBreakBefore/>
        <w:rPr/>
      </w:pPr>
      <w:bookmarkStart w:id="100" w:name="__RefHeading___Toc3707_984269736"/>
      <w:bookmarkStart w:id="101" w:name="_Toc51"/>
      <w:bookmarkEnd w:id="100"/>
      <w:r>
        <w:rPr/>
        <w:t>Referências</w:t>
      </w:r>
      <w:bookmarkEnd w:id="101"/>
    </w:p>
    <w:p>
      <w:pPr>
        <w:pStyle w:val="Normal"/>
        <w:spacing w:lineRule="auto" w:line="240" w:before="0" w:after="240"/>
        <w:jc w:val="left"/>
        <w:rPr/>
      </w:pPr>
      <w:r>
        <w:rPr/>
        <w:t xml:space="preserve">AMERICAN METEOROLOGICAL SOCIETY. Rain. </w:t>
      </w:r>
      <w:r>
        <w:rPr>
          <w:i/>
          <w:iCs/>
        </w:rPr>
        <w:t>In</w:t>
      </w:r>
      <w:r>
        <w:rPr/>
        <w:t xml:space="preserve">: </w:t>
      </w:r>
      <w:r>
        <w:rPr>
          <w:b/>
          <w:bCs/>
        </w:rPr>
        <w:t>Glossary of Meteorology</w:t>
      </w:r>
      <w:r>
        <w:rPr/>
        <w:t>. Boston: AMS, 2026. Disponível em: https://glossary.ametsoc.org/wiki/Rain. Acesso em: 16 out. 2026.</w:t>
      </w:r>
    </w:p>
    <w:p>
      <w:pPr>
        <w:pStyle w:val="Normal"/>
        <w:spacing w:lineRule="auto" w:line="240" w:before="0" w:after="240"/>
        <w:jc w:val="left"/>
        <w:rPr/>
      </w:pPr>
      <w:r>
        <w:rPr/>
        <w:t xml:space="preserve">ANDROID DEVELOPERS. </w:t>
      </w:r>
      <w:r>
        <w:rPr>
          <w:b/>
          <w:bCs/>
        </w:rPr>
        <w:t>Layouts em visualizações</w:t>
      </w:r>
      <w:r>
        <w:rPr/>
        <w:t>. Mountain View: Google, 2026. Disponível em: https://developer.android.com/develop/ui/views/layout/declaring-layout?hl=pt-br. Acesso em: 1 out. 2026.</w:t>
      </w:r>
    </w:p>
    <w:p>
      <w:pPr>
        <w:pStyle w:val="Normal"/>
        <w:spacing w:lineRule="auto" w:line="240" w:before="0" w:after="240"/>
        <w:jc w:val="left"/>
        <w:rPr/>
      </w:pPr>
      <w:r>
        <w:rPr/>
        <w:t xml:space="preserve">AUTORIDADE NACIONAL DE PROTEÇÃO DE DADOS (ANPD). </w:t>
      </w:r>
      <w:r>
        <w:rPr>
          <w:b/>
          <w:bCs/>
        </w:rPr>
        <w:t>Titular de dados</w:t>
      </w:r>
      <w:r>
        <w:rPr/>
        <w:t>: dado pessoal. Brasília, DF: ANPD, 2026. Disponível em: https://www.gov.br/anpd/pt-br/assuntos/titular-de-dados. Acesso em: 1 out. 2026.</w:t>
      </w:r>
    </w:p>
    <w:p>
      <w:pPr>
        <w:pStyle w:val="Normal"/>
        <w:spacing w:lineRule="auto" w:line="240" w:before="0" w:after="240"/>
        <w:jc w:val="left"/>
        <w:rPr/>
      </w:pPr>
      <w:r>
        <w:rPr/>
        <w:t xml:space="preserve">AZIZI, Koorosh </w:t>
      </w:r>
      <w:r>
        <w:rPr>
          <w:i/>
          <w:iCs/>
        </w:rPr>
        <w:t>et al</w:t>
      </w:r>
      <w:r>
        <w:rPr/>
        <w:t xml:space="preserve">. Integrated community-based approaches to urban pluvial flooding research, trends and future directions: a review. </w:t>
      </w:r>
      <w:r>
        <w:rPr>
          <w:b/>
          <w:bCs/>
        </w:rPr>
        <w:t>Urban Climate</w:t>
      </w:r>
      <w:r>
        <w:rPr/>
        <w:t>, v. 44, art. 101237, 2022. DOI: 10.1016/j.uclim.2022.101237.</w:t>
      </w:r>
    </w:p>
    <w:p>
      <w:pPr>
        <w:pStyle w:val="Normal"/>
        <w:spacing w:lineRule="auto" w:line="240" w:before="0" w:after="240"/>
        <w:jc w:val="left"/>
        <w:rPr/>
      </w:pPr>
      <w:r>
        <w:rPr/>
        <w:t xml:space="preserve">BRASIL. Lei nº 13.709, de 14 de agosto de 2018. Lei Geral de Proteção de Dados Pessoais (LGPD). </w:t>
      </w:r>
      <w:r>
        <w:rPr>
          <w:b/>
          <w:bCs/>
        </w:rPr>
        <w:t>Diário Oficial da União</w:t>
      </w:r>
      <w:r>
        <w:rPr/>
        <w:t>, Brasília, DF, 15 ago. 2018.</w:t>
      </w:r>
    </w:p>
    <w:p>
      <w:pPr>
        <w:pStyle w:val="Normal"/>
        <w:spacing w:lineRule="auto" w:line="240" w:before="0" w:after="240"/>
        <w:jc w:val="left"/>
        <w:rPr/>
      </w:pPr>
      <w:r>
        <w:rPr/>
        <w:t xml:space="preserve">CARD, Stuart K.; ROBERTSON, George G.; MACKINLAY, Jock D. The information visualizer, an information workspace. </w:t>
      </w:r>
      <w:r>
        <w:rPr>
          <w:i/>
          <w:iCs/>
        </w:rPr>
        <w:t>In</w:t>
      </w:r>
      <w:r>
        <w:rPr/>
        <w:t xml:space="preserve">: CONFERENCE ON HUMAN FACTORS IN COMPUTING SYSTEMS, 1991, New Orleans. </w:t>
      </w:r>
      <w:r>
        <w:rPr>
          <w:b/>
          <w:bCs/>
        </w:rPr>
        <w:t>Proceedings</w:t>
      </w:r>
      <w:r>
        <w:rPr/>
        <w:t xml:space="preserve"> [...]. New York: ACM, 1991. p. 181-188.</w:t>
      </w:r>
    </w:p>
    <w:p>
      <w:pPr>
        <w:pStyle w:val="Normal"/>
        <w:spacing w:lineRule="auto" w:line="240" w:before="0" w:after="240"/>
        <w:jc w:val="left"/>
        <w:rPr/>
      </w:pPr>
      <w:r>
        <w:rPr/>
        <w:t xml:space="preserve">CENTRO NACIONAL DE MONITORAMENTO E ALERTAS DE DESASTRES NATURAIS (CEMADEN). </w:t>
      </w:r>
      <w:r>
        <w:rPr>
          <w:b/>
          <w:bCs/>
        </w:rPr>
        <w:t>Pluviômetros automáticos</w:t>
      </w:r>
      <w:r>
        <w:rPr/>
        <w:t>. São José dos Campos: CEMADEN, 2026. Disponível em: https://www2.cemaden.gov.br/pluviometros-automatico/. Acesso em: 1 out. 2026.</w:t>
      </w:r>
    </w:p>
    <w:p>
      <w:pPr>
        <w:pStyle w:val="Normal"/>
        <w:spacing w:lineRule="auto" w:line="240" w:before="0" w:after="240"/>
        <w:jc w:val="left"/>
        <w:rPr/>
      </w:pPr>
      <w:r>
        <w:rPr/>
        <w:t xml:space="preserve">DEAN, Jeffrey; BARROSO, Luiz André. The tail at scale. </w:t>
      </w:r>
      <w:r>
        <w:rPr>
          <w:b/>
          <w:bCs/>
        </w:rPr>
        <w:t>Communications of the ACM</w:t>
      </w:r>
      <w:r>
        <w:rPr/>
        <w:t>, New York, v. 56, n. 2, p. 74-80, 2013.</w:t>
      </w:r>
    </w:p>
    <w:p>
      <w:pPr>
        <w:pStyle w:val="Normal"/>
        <w:spacing w:lineRule="auto" w:line="240" w:before="0" w:after="240"/>
        <w:jc w:val="left"/>
        <w:rPr/>
      </w:pPr>
      <w:r>
        <w:rPr/>
        <w:t xml:space="preserve">DRESCH, Aline; LACERDA, Daniel Pacheco; ANTUNES JÚNIOR, José Antonio Valle. </w:t>
      </w:r>
      <w:r>
        <w:rPr>
          <w:b/>
          <w:bCs/>
        </w:rPr>
        <w:t>Design Science Research</w:t>
      </w:r>
      <w:r>
        <w:rPr/>
        <w:t>: método de pesquisa para avanço da ciência e tecnologia. Porto Alegre: Bookman, 2015.</w:t>
      </w:r>
    </w:p>
    <w:p>
      <w:pPr>
        <w:pStyle w:val="Normal"/>
        <w:spacing w:lineRule="auto" w:line="240" w:before="0" w:after="240"/>
        <w:jc w:val="left"/>
        <w:rPr/>
      </w:pPr>
      <w:r>
        <w:rPr/>
        <w:t xml:space="preserve">FASTAPI. </w:t>
      </w:r>
      <w:r>
        <w:rPr>
          <w:b/>
          <w:bCs/>
        </w:rPr>
        <w:t>Features</w:t>
      </w:r>
      <w:r>
        <w:rPr/>
        <w:t>. 2026. Disponível em: https://fastapi.tiangolo.com/features/. Acesso em: 1 out. 2026.</w:t>
      </w:r>
    </w:p>
    <w:p>
      <w:pPr>
        <w:pStyle w:val="Normal"/>
        <w:spacing w:lineRule="auto" w:line="240" w:before="0" w:after="240"/>
        <w:jc w:val="left"/>
        <w:rPr/>
      </w:pPr>
      <w:r>
        <w:rPr/>
        <w:t xml:space="preserve">GOOGLE. </w:t>
      </w:r>
      <w:r>
        <w:rPr>
          <w:b/>
          <w:bCs/>
        </w:rPr>
        <w:t>Maps SDK for Android</w:t>
      </w:r>
      <w:r>
        <w:rPr/>
        <w:t>. Mountain View: Google, 2026. Disponível em: https://developers.google.com/maps/documentation/android-sdk. Acesso em: 3 out. 2026.</w:t>
      </w:r>
    </w:p>
    <w:p>
      <w:pPr>
        <w:pStyle w:val="Normal"/>
        <w:spacing w:lineRule="auto" w:line="240" w:before="0" w:after="240"/>
        <w:jc w:val="left"/>
        <w:rPr/>
      </w:pPr>
      <w:r>
        <w:rPr/>
        <w:t xml:space="preserve">GUTTMAN, Antonin. R-trees: a dynamic index structure for spatial searching. </w:t>
      </w:r>
      <w:r>
        <w:rPr>
          <w:i/>
          <w:iCs/>
        </w:rPr>
        <w:t>In</w:t>
      </w:r>
      <w:r>
        <w:rPr/>
        <w:t xml:space="preserve">: ACM SIGMOD INTERNATIONAL CONFERENCE ON MANAGEMENT OF DATA, 1984, Boston. </w:t>
      </w:r>
      <w:r>
        <w:rPr>
          <w:b/>
          <w:bCs/>
        </w:rPr>
        <w:t>Proceedings</w:t>
      </w:r>
      <w:r>
        <w:rPr/>
        <w:t xml:space="preserve"> [...]. New York: ACM, 1984. p. 47-57.</w:t>
      </w:r>
    </w:p>
    <w:p>
      <w:pPr>
        <w:pStyle w:val="Normal"/>
        <w:spacing w:lineRule="auto" w:line="240" w:before="0" w:after="240"/>
        <w:jc w:val="left"/>
        <w:rPr/>
      </w:pPr>
      <w:r>
        <w:rPr/>
        <w:t xml:space="preserve">HELLERSTEIN, Joseph M.; NAUGHTON, Jeffrey F.; PFEFFER, Avi. Generalized search trees for database systems. </w:t>
      </w:r>
      <w:r>
        <w:rPr>
          <w:i/>
          <w:iCs/>
        </w:rPr>
        <w:t>In</w:t>
      </w:r>
      <w:r>
        <w:rPr/>
        <w:t xml:space="preserve">: INTERNATIONAL CONFERENCE ON VERY LARGE DATA BASES, 21., 1995, Zurich. </w:t>
      </w:r>
      <w:r>
        <w:rPr>
          <w:b/>
          <w:bCs/>
        </w:rPr>
        <w:t>Proceedings</w:t>
      </w:r>
      <w:r>
        <w:rPr/>
        <w:t xml:space="preserve"> [...]. San Francisco: Morgan Kaufmann, 1995. p. 562-573.</w:t>
      </w:r>
    </w:p>
    <w:p>
      <w:pPr>
        <w:pStyle w:val="Normal"/>
        <w:spacing w:lineRule="auto" w:line="240" w:before="0" w:after="240"/>
        <w:jc w:val="left"/>
        <w:rPr/>
      </w:pPr>
      <w:r>
        <w:rPr/>
        <w:t xml:space="preserve">HELMRICH, Alysha M. </w:t>
      </w:r>
      <w:r>
        <w:rPr>
          <w:i/>
          <w:iCs/>
        </w:rPr>
        <w:t>et al</w:t>
      </w:r>
      <w:r>
        <w:rPr/>
        <w:t xml:space="preserve">. Opportunities for crowdsourcing in urban flood monitoring. </w:t>
      </w:r>
      <w:r>
        <w:rPr>
          <w:b/>
          <w:bCs/>
        </w:rPr>
        <w:t>Environmental Modelling &amp; Software</w:t>
      </w:r>
      <w:r>
        <w:rPr/>
        <w:t>, v. 143, art. 105124, 2021. DOI: 10.1016/j.envsoft.2021.105124.</w:t>
      </w:r>
    </w:p>
    <w:p>
      <w:pPr>
        <w:pStyle w:val="Normal"/>
        <w:spacing w:lineRule="auto" w:line="240" w:before="0" w:after="240"/>
        <w:jc w:val="left"/>
        <w:rPr/>
      </w:pPr>
      <w:r>
        <w:rPr/>
        <w:t xml:space="preserve">HEVNER, Alan R. </w:t>
      </w:r>
      <w:r>
        <w:rPr>
          <w:i/>
          <w:iCs/>
        </w:rPr>
        <w:t>et al</w:t>
      </w:r>
      <w:r>
        <w:rPr/>
        <w:t xml:space="preserve">. Design science in information systems research. </w:t>
      </w:r>
      <w:r>
        <w:rPr>
          <w:b/>
          <w:bCs/>
        </w:rPr>
        <w:t>MIS Quarterly</w:t>
      </w:r>
      <w:r>
        <w:rPr/>
        <w:t>, v. 28, n. 1, p. 75-105, 2004.</w:t>
      </w:r>
    </w:p>
    <w:p>
      <w:pPr>
        <w:pStyle w:val="Normal"/>
        <w:spacing w:lineRule="auto" w:line="240" w:before="0" w:after="240"/>
        <w:jc w:val="left"/>
        <w:rPr/>
      </w:pPr>
      <w:r>
        <w:rPr/>
        <w:t xml:space="preserve">IBGE. </w:t>
      </w:r>
      <w:r>
        <w:rPr>
          <w:b/>
          <w:bCs/>
        </w:rPr>
        <w:t>Cidades e Estados</w:t>
      </w:r>
      <w:r>
        <w:rPr/>
        <w:t>: São Caetano do Sul. Rio de Janeiro: IBGE, 2026. Disponível em: https://www.ibge.gov.br/cidades-e-estados/sp/sao-caetano-do-sul.html. Acesso em: 29 out. 2026.</w:t>
      </w:r>
    </w:p>
    <w:p>
      <w:pPr>
        <w:pStyle w:val="Normal"/>
        <w:spacing w:lineRule="auto" w:line="240" w:before="0" w:after="240"/>
        <w:jc w:val="left"/>
        <w:rPr/>
      </w:pPr>
      <w:r>
        <w:rPr/>
        <w:t xml:space="preserve">IBGE. </w:t>
      </w:r>
      <w:r>
        <w:rPr>
          <w:b/>
          <w:bCs/>
        </w:rPr>
        <w:t>Censo Demográfico 2022</w:t>
      </w:r>
      <w:r>
        <w:rPr/>
        <w:t>: população residente segundo a situação urbana ou rural dos domicílios. Rio de Janeiro: IBGE, 2024.</w:t>
      </w:r>
    </w:p>
    <w:p>
      <w:pPr>
        <w:pStyle w:val="Normal"/>
        <w:spacing w:lineRule="auto" w:line="240" w:before="0" w:after="240"/>
        <w:jc w:val="left"/>
        <w:rPr/>
      </w:pPr>
      <w:r>
        <w:rPr/>
        <w:t xml:space="preserve">INSTITUTO NACIONAL DE METEOROLOGIA (INMET). </w:t>
      </w:r>
      <w:r>
        <w:rPr>
          <w:b/>
          <w:bCs/>
        </w:rPr>
        <w:t>Previsão do tempo e avisos meteorológicos</w:t>
      </w:r>
      <w:r>
        <w:rPr/>
        <w:t>. Brasília, DF: INMET, 2026. Disponível em: https://portal.inmet.gov.br. Acesso em: 16 out. 2026. API de previsão e avisos por município: https://apiprevmet3.inmet.gov.br (rotas /previsao/{código IBGE} e /avisos/ativos). Acesso em: 29 out. 2026.</w:t>
      </w:r>
    </w:p>
    <w:p>
      <w:pPr>
        <w:pStyle w:val="Normal"/>
        <w:spacing w:lineRule="auto" w:line="240" w:before="0" w:after="240"/>
        <w:jc w:val="left"/>
        <w:rPr/>
      </w:pPr>
      <w:r>
        <w:rPr/>
        <w:t xml:space="preserve">INTERNATIONAL ORGANIZATION FOR STANDARDIZATION. </w:t>
      </w:r>
      <w:r>
        <w:rPr>
          <w:b/>
          <w:bCs/>
        </w:rPr>
        <w:t>ISO/IEC 25010:2011</w:t>
      </w:r>
      <w:r>
        <w:rPr/>
        <w:t>: systems and software engineering — systems and software quality requirements and evaluation (SQuaRE) — system and software quality models. Geneva: ISO, 2011.</w:t>
      </w:r>
    </w:p>
    <w:p>
      <w:pPr>
        <w:pStyle w:val="Normal"/>
        <w:spacing w:lineRule="auto" w:line="240" w:before="0" w:after="240"/>
        <w:jc w:val="left"/>
        <w:rPr/>
      </w:pPr>
      <w:r>
        <w:rPr/>
        <w:t xml:space="preserve">IPCC. </w:t>
      </w:r>
      <w:r>
        <w:rPr>
          <w:b/>
          <w:bCs/>
        </w:rPr>
        <w:t>Climate Change 2023</w:t>
      </w:r>
      <w:r>
        <w:rPr/>
        <w:t>: synthesis report. Geneva: Intergovernmental Panel on Climate Change, 2023.</w:t>
      </w:r>
    </w:p>
    <w:p>
      <w:pPr>
        <w:pStyle w:val="Normal"/>
        <w:spacing w:lineRule="auto" w:line="240" w:before="0" w:after="240"/>
        <w:jc w:val="left"/>
        <w:rPr/>
      </w:pPr>
      <w:r>
        <w:rPr/>
        <w:t xml:space="preserve">MARCHEZINI, Victor </w:t>
      </w:r>
      <w:r>
        <w:rPr>
          <w:i/>
          <w:iCs/>
        </w:rPr>
        <w:t>et al</w:t>
      </w:r>
      <w:r>
        <w:rPr/>
        <w:t xml:space="preserve">. Flood risk governance in Brazil and the UK: facilitating knowledge exchange through research gaps and the potential of citizen-generated data. </w:t>
      </w:r>
      <w:r>
        <w:rPr>
          <w:b/>
          <w:bCs/>
        </w:rPr>
        <w:t>Disaster Prevention and Management</w:t>
      </w:r>
      <w:r>
        <w:rPr/>
        <w:t>, v. 31, n. 6, p. 30-44, 2022.</w:t>
      </w:r>
    </w:p>
    <w:p>
      <w:pPr>
        <w:pStyle w:val="Normal"/>
        <w:spacing w:lineRule="auto" w:line="240" w:before="0" w:after="240"/>
        <w:jc w:val="left"/>
        <w:rPr/>
      </w:pPr>
      <w:r>
        <w:rPr/>
        <w:t xml:space="preserve">MILLER, Robert B. Response time in man-computer conversational transactions. </w:t>
      </w:r>
      <w:r>
        <w:rPr>
          <w:i/>
          <w:iCs/>
        </w:rPr>
        <w:t>In</w:t>
      </w:r>
      <w:r>
        <w:rPr/>
        <w:t xml:space="preserve">: AFIPS FALL JOINT COMPUTER CONFERENCE, 1968, San Francisco. </w:t>
      </w:r>
      <w:r>
        <w:rPr>
          <w:b/>
          <w:bCs/>
        </w:rPr>
        <w:t>Proceedings</w:t>
      </w:r>
      <w:r>
        <w:rPr/>
        <w:t xml:space="preserve"> [...]. Washington: Thompson, 1968. v. 33, p. 267-277.</w:t>
      </w:r>
    </w:p>
    <w:p>
      <w:pPr>
        <w:pStyle w:val="Normal"/>
        <w:spacing w:lineRule="auto" w:line="240" w:before="0" w:after="240"/>
        <w:jc w:val="left"/>
        <w:rPr/>
      </w:pPr>
      <w:r>
        <w:rPr/>
        <w:t xml:space="preserve">NIELSEN, Jakob. </w:t>
      </w:r>
      <w:r>
        <w:rPr>
          <w:b/>
          <w:bCs/>
        </w:rPr>
        <w:t>Usability engineering</w:t>
      </w:r>
      <w:r>
        <w:rPr/>
        <w:t>. San Francisco: Morgan Kaufmann, 1993.</w:t>
      </w:r>
    </w:p>
    <w:p>
      <w:pPr>
        <w:pStyle w:val="Normal"/>
        <w:spacing w:lineRule="auto" w:line="240" w:before="0" w:after="240"/>
        <w:jc w:val="left"/>
        <w:rPr/>
      </w:pPr>
      <w:r>
        <w:rPr/>
        <w:t xml:space="preserve">OBE, Regina O.; HSU, Leo S. </w:t>
      </w:r>
      <w:r>
        <w:rPr>
          <w:b/>
          <w:bCs/>
        </w:rPr>
        <w:t>PostGIS in action</w:t>
      </w:r>
      <w:r>
        <w:rPr/>
        <w:t>. 3. ed. Shelter Island: Manning, 2021.</w:t>
      </w:r>
    </w:p>
    <w:p>
      <w:pPr>
        <w:pStyle w:val="Normal"/>
        <w:spacing w:lineRule="auto" w:line="240" w:before="0" w:after="240"/>
        <w:jc w:val="left"/>
        <w:rPr/>
      </w:pPr>
      <w:r>
        <w:rPr/>
        <w:t xml:space="preserve">OPEN-METEO. </w:t>
      </w:r>
      <w:r>
        <w:rPr>
          <w:b/>
          <w:bCs/>
        </w:rPr>
        <w:t>Weather Forecast API</w:t>
      </w:r>
      <w:r>
        <w:rPr/>
        <w:t>: documentação. 2026. Disponível em: https://open-meteo.com/en/docs. Acesso em: 16 out. 2026.</w:t>
      </w:r>
    </w:p>
    <w:p>
      <w:pPr>
        <w:pStyle w:val="Normal"/>
        <w:spacing w:lineRule="auto" w:line="240" w:before="0" w:after="240"/>
        <w:jc w:val="left"/>
        <w:rPr/>
      </w:pPr>
      <w:r>
        <w:rPr/>
        <w:t xml:space="preserve">OPENWEATHER. </w:t>
      </w:r>
      <w:r>
        <w:rPr>
          <w:b/>
          <w:bCs/>
        </w:rPr>
        <w:t>Current weather data</w:t>
      </w:r>
      <w:r>
        <w:rPr/>
        <w:t xml:space="preserve"> e </w:t>
      </w:r>
      <w:r>
        <w:rPr>
          <w:b/>
          <w:bCs/>
        </w:rPr>
        <w:t>5 day / 3 hour forecast</w:t>
      </w:r>
      <w:r>
        <w:rPr/>
        <w:t>: API documentation. 2026. Disponível em: https://openweathermap.org/api. Acesso em: 3 out. 2026.</w:t>
      </w:r>
    </w:p>
    <w:p>
      <w:pPr>
        <w:pStyle w:val="Normal"/>
        <w:spacing w:lineRule="auto" w:line="240" w:before="0" w:after="240"/>
        <w:jc w:val="left"/>
        <w:rPr/>
      </w:pPr>
      <w:r>
        <w:rPr/>
        <w:t xml:space="preserve">PEFFERS, Ken </w:t>
      </w:r>
      <w:r>
        <w:rPr>
          <w:i/>
          <w:iCs/>
        </w:rPr>
        <w:t>et al</w:t>
      </w:r>
      <w:r>
        <w:rPr/>
        <w:t xml:space="preserve">. A design science research methodology for information systems research. </w:t>
      </w:r>
      <w:r>
        <w:rPr>
          <w:b/>
          <w:bCs/>
        </w:rPr>
        <w:t>Journal of Management Information Systems</w:t>
      </w:r>
      <w:r>
        <w:rPr/>
        <w:t>, v. 24, n. 3, p. 45-77, 2007.</w:t>
      </w:r>
    </w:p>
    <w:p>
      <w:pPr>
        <w:pStyle w:val="Normal"/>
        <w:spacing w:lineRule="auto" w:line="240" w:before="0" w:after="240"/>
        <w:jc w:val="left"/>
        <w:rPr/>
      </w:pPr>
      <w:r>
        <w:rPr/>
        <w:t xml:space="preserve">POSTGIS PROJECT. </w:t>
      </w:r>
      <w:r>
        <w:rPr>
          <w:b/>
          <w:bCs/>
        </w:rPr>
        <w:t>PostGIS documentation</w:t>
      </w:r>
      <w:r>
        <w:rPr/>
        <w:t>: spatial indexes and spatial queries. 2026. Disponível em: https://postgis.net/docs/. Acesso em: 1 out. 2026.</w:t>
      </w:r>
    </w:p>
    <w:p>
      <w:pPr>
        <w:pStyle w:val="Normal"/>
        <w:spacing w:lineRule="auto" w:line="240" w:before="0" w:after="240"/>
        <w:jc w:val="left"/>
        <w:rPr/>
      </w:pPr>
      <w:r>
        <w:rPr/>
        <w:t xml:space="preserve">POSTGRESQL GLOBAL DEVELOPMENT GROUP. </w:t>
      </w:r>
      <w:r>
        <w:rPr>
          <w:b/>
          <w:bCs/>
        </w:rPr>
        <w:t>PostgreSQL 16 documentation</w:t>
      </w:r>
      <w:r>
        <w:rPr/>
        <w:t>: indexes; using EXPLAIN; CLUSTER. 2026. Disponível em: https://www.postgresql.org/docs/16/. Acesso em: 3 out. 2026.</w:t>
      </w:r>
    </w:p>
    <w:p>
      <w:pPr>
        <w:pStyle w:val="Normal"/>
        <w:spacing w:lineRule="auto" w:line="240" w:before="0" w:after="240"/>
        <w:jc w:val="left"/>
        <w:rPr/>
      </w:pPr>
      <w:r>
        <w:rPr/>
        <w:t xml:space="preserve">RIO GRANDE DO SUL. Governo do Estado. </w:t>
      </w:r>
      <w:r>
        <w:rPr>
          <w:b/>
          <w:bCs/>
        </w:rPr>
        <w:t>Como se cadastrar para receber avisos e alertas da Defesa Civil no celular</w:t>
      </w:r>
      <w:r>
        <w:rPr/>
        <w:t>. Porto Alegre, 17 jul. 2026. Disponível em: https://estado.rs.gov.br/como-se-cadastrar-para-receber-avisos-e-alertas-da-defesa-civil-no-celular. Acesso em: 29 out. 2026.</w:t>
      </w:r>
    </w:p>
    <w:p>
      <w:pPr>
        <w:pStyle w:val="Normal"/>
        <w:spacing w:lineRule="auto" w:line="240" w:before="0" w:after="240"/>
        <w:jc w:val="left"/>
        <w:rPr/>
      </w:pPr>
      <w:r>
        <w:rPr/>
        <w:t xml:space="preserve">SAATY, Thomas L. </w:t>
      </w:r>
      <w:r>
        <w:rPr>
          <w:b/>
          <w:bCs/>
        </w:rPr>
        <w:t>The analytic hierarchy process</w:t>
      </w:r>
      <w:r>
        <w:rPr/>
        <w:t>: planning, priority setting, resource allocation. New York: McGraw-Hill, 1980.</w:t>
      </w:r>
    </w:p>
    <w:p>
      <w:pPr>
        <w:pStyle w:val="Normal"/>
        <w:spacing w:lineRule="auto" w:line="240" w:before="0" w:after="240"/>
        <w:jc w:val="left"/>
        <w:rPr/>
      </w:pPr>
      <w:r>
        <w:rPr/>
        <w:t xml:space="preserve">SAATY, Thomas L. Decision making with the analytic hierarchy process. </w:t>
      </w:r>
      <w:r>
        <w:rPr>
          <w:b/>
          <w:bCs/>
        </w:rPr>
        <w:t>International Journal of Services Sciences</w:t>
      </w:r>
      <w:r>
        <w:rPr/>
        <w:t>, v. 1, n. 1, p. 83-98, 2008.</w:t>
      </w:r>
    </w:p>
    <w:p>
      <w:pPr>
        <w:pStyle w:val="Normal"/>
        <w:spacing w:lineRule="auto" w:line="240" w:before="0" w:after="240"/>
        <w:jc w:val="left"/>
        <w:rPr/>
      </w:pPr>
      <w:r>
        <w:rPr/>
        <w:t xml:space="preserve">SÃO PAULO (SP). Câmara Municipal. </w:t>
      </w:r>
      <w:r>
        <w:rPr>
          <w:b/>
          <w:bCs/>
        </w:rPr>
        <w:t>Conheça o CGE, órgão responsável pelos alertas de tempestade</w:t>
      </w:r>
      <w:r>
        <w:rPr/>
        <w:t>. São Paulo, 26 ago. 2013. Disponível em: https://www.saopaulo.sp.leg.br/blog/galeria-de-audios/conheca-o-cge-orgao-responsavel-pelos-alertas-de-tempestade/. Acesso em: 29 out. 2026.</w:t>
      </w:r>
    </w:p>
    <w:p>
      <w:pPr>
        <w:pStyle w:val="Normal"/>
        <w:spacing w:lineRule="auto" w:line="240" w:before="0" w:after="240"/>
        <w:jc w:val="left"/>
        <w:rPr/>
      </w:pPr>
      <w:r>
        <w:rPr/>
        <w:t xml:space="preserve">SONGCHON, Chanin; WRIGHT, Grant; BEEVERS, Lindsay. Quality assessment of crowdsourced social media data for urban flood management. </w:t>
      </w:r>
      <w:r>
        <w:rPr>
          <w:b/>
          <w:bCs/>
        </w:rPr>
        <w:t>Computers, Environment and Urban Systems</w:t>
      </w:r>
      <w:r>
        <w:rPr/>
        <w:t>, v. 90, art. 101690, 2021. DOI: 10.1016/j.compenvurbsys.2021.101690.</w:t>
      </w:r>
    </w:p>
    <w:p>
      <w:pPr>
        <w:pStyle w:val="Heading1"/>
        <w:pageBreakBefore/>
        <w:rPr/>
      </w:pPr>
      <w:bookmarkStart w:id="102" w:name="__RefHeading___Toc3709_984269736"/>
      <w:bookmarkStart w:id="103" w:name="_Toc52"/>
      <w:bookmarkEnd w:id="102"/>
      <w:r>
        <w:rPr/>
        <w:t>Apêndices</w:t>
      </w:r>
      <w:bookmarkEnd w:id="103"/>
    </w:p>
    <w:p>
      <w:pPr>
        <w:pStyle w:val="Normal"/>
        <w:jc w:val="both"/>
        <w:rPr/>
      </w:pPr>
      <w:r>
        <w:rPr/>
        <w:t>Apêndice A – Casos de teste do plano PT-001</w:t>
      </w:r>
    </w:p>
    <w:p>
      <w:pPr>
        <w:pStyle w:val="Normal"/>
        <w:jc w:val="both"/>
        <w:rPr/>
      </w:pPr>
      <w:r>
        <w:rPr/>
        <w:t>Apêndice B – Questionário da avaliação de usabilidade</w:t>
      </w:r>
    </w:p>
    <w:p>
      <w:pPr>
        <w:pStyle w:val="Heading2"/>
        <w:pageBreakBefore/>
        <w:rPr/>
      </w:pPr>
      <w:bookmarkStart w:id="104" w:name="__RefHeading___Toc3711_984269736"/>
      <w:bookmarkStart w:id="105" w:name="_Toc53"/>
      <w:bookmarkEnd w:id="104"/>
      <w:r>
        <w:rPr/>
        <w:t>APÊNDICE A – Casos de teste do plano PT-001</w:t>
      </w:r>
      <w:bookmarkEnd w:id="105"/>
    </w:p>
    <w:p>
      <w:pPr>
        <w:pStyle w:val="Legendauser"/>
        <w:keepNext w:val="true"/>
        <w:rPr/>
      </w:pPr>
      <w:r>
        <w:rPr/>
        <w:t xml:space="preserve">Tabela </w:t>
      </w:r>
      <w:r>
        <w:rPr/>
        <w:fldChar w:fldCharType="begin"/>
      </w:r>
      <w:r>
        <w:rPr/>
        <w:instrText xml:space="preserve"> SEQ Tabela \* ARABIC </w:instrText>
      </w:r>
      <w:r>
        <w:rPr/>
        <w:fldChar w:fldCharType="separate"/>
      </w:r>
      <w:r>
        <w:rPr/>
        <w:t>24</w:t>
      </w:r>
      <w:r>
        <w:rPr/>
        <w:fldChar w:fldCharType="end"/>
      </w:r>
      <w:r>
        <w:rPr/>
        <w:t xml:space="preserve"> – Casos de teste do plano PT-001 (versão 1.5)</w:t>
      </w:r>
    </w:p>
    <w:tbl>
      <w:tblPr>
        <w:tblW w:w="9071" w:type="dxa"/>
        <w:jc w:val="left"/>
        <w:tblInd w:w="85" w:type="dxa"/>
        <w:tblLayout w:type="fixed"/>
        <w:tblCellMar>
          <w:top w:w="40" w:type="dxa"/>
          <w:left w:w="80" w:type="dxa"/>
          <w:bottom w:w="40" w:type="dxa"/>
          <w:right w:w="80" w:type="dxa"/>
        </w:tblCellMar>
      </w:tblPr>
      <w:tblGrid>
        <w:gridCol w:w="1475"/>
        <w:gridCol w:w="5273"/>
        <w:gridCol w:w="2323"/>
      </w:tblGrid>
      <w:tr>
        <w:trPr>
          <w:tblHeader w:val="true"/>
          <w:cantSplit/>
        </w:trPr>
        <w:tc>
          <w:tcPr>
            <w:tcW w:w="1475"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Caso</w:t>
            </w:r>
          </w:p>
        </w:tc>
        <w:tc>
          <w:tcPr>
            <w:tcW w:w="527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Cenário</w:t>
            </w:r>
          </w:p>
        </w:tc>
        <w:tc>
          <w:tcPr>
            <w:tcW w:w="2323" w:type="dxa"/>
            <w:tcBorders>
              <w:top w:val="single" w:sz="4" w:space="0" w:color="808080"/>
              <w:left w:val="single" w:sz="4" w:space="0" w:color="808080"/>
              <w:bottom w:val="single" w:sz="4" w:space="0" w:color="808080"/>
              <w:right w:val="single" w:sz="4" w:space="0" w:color="808080"/>
            </w:tcBorders>
            <w:shd w:color="auto" w:fill="E7E6E6" w:val="clear"/>
          </w:tcPr>
          <w:p>
            <w:pPr>
              <w:pStyle w:val="Textodetabela"/>
              <w:jc w:val="left"/>
              <w:rPr/>
            </w:pPr>
            <w:r>
              <w:rPr>
                <w:b/>
                <w:bCs/>
                <w:sz w:val="20"/>
                <w:szCs w:val="20"/>
              </w:rPr>
              <w:t>Situação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ocorrência sem nível de risco (cálculo automático)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Listar com filtro de região incompleto (422)</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Filtrar por fonte ou nível com valor inválido (422)</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Criar sem nível com as fontes climáticas indisponíveis (503)</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CT-API-005</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Latência das leituras e do cadastro (RNF-01 e RNF-02)</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CT-API-006</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Recusar ocorrência fora de São Caetano do Sul (422)</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Classificar o risco com as fontes disponíveis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Classificar com a ANA indisponível</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 (obsoleto desde 16/10)</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Componente colaborativo a partir de relatos vizinhos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CT-AHP-004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Fundir OpenWeather e Open-Meteo e classificar com três critérios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Preencher e enviar o cadastro com dados válidos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Enviar com campo obrigatório vazio (local)</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Nível automático indisponível (mensagem orientando o usuário)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CT-CAD-004</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Nível automático com as fontes disponíveis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CT-CAD-005</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Marcar o local digitando o endereço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CT-CAD-006</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Impedir local fora de São Caetano do Sul</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CT-CAD-007</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Arrastar o mapa do cadastro sem rolar a tela</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 lista de ocorrências</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CT-LST-002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Filtrar por região e período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as ocorrências no mapa</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Ir do mapa para os detalhes de uma ocorrência</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CT-MAP-003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Mostrar só as ocorrências ativas (24 h) e esmaecer as de mais de 3 h</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CT-DET-001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Visualizar os detalhes de uma ocorrência</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CT-NOT-001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Notificação local de ocorrência de risco alto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CT-CFG-001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Abrir configurações e perfil e editar um dado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CT-LOG-001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Acessar a entrada, sem cadastro nem senha, e avançar para a área principal</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CT-PRV-001</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o risco atual na aba Previsão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CT-PRV-002</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Exibir os avisos do INMET e aplicar o piso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r>
        <w:trPr>
          <w:cantSplit/>
        </w:trPr>
        <w:tc>
          <w:tcPr>
            <w:tcW w:w="1475"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CT-PRV-003</w:t>
            </w:r>
          </w:p>
        </w:tc>
        <w:tc>
          <w:tcPr>
            <w:tcW w:w="527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Consultar a origem de cada dado pelos ícones de informação</w:t>
            </w:r>
          </w:p>
        </w:tc>
        <w:tc>
          <w:tcPr>
            <w:tcW w:w="2323" w:type="dxa"/>
            <w:tcBorders>
              <w:top w:val="single" w:sz="4" w:space="0" w:color="808080"/>
              <w:left w:val="single" w:sz="4" w:space="0" w:color="808080"/>
              <w:bottom w:val="single" w:sz="4" w:space="0" w:color="808080"/>
              <w:right w:val="single" w:sz="4" w:space="0" w:color="808080"/>
            </w:tcBorders>
          </w:tcPr>
          <w:p>
            <w:pPr>
              <w:pStyle w:val="Textodetabela"/>
              <w:jc w:val="left"/>
              <w:rPr/>
            </w:pPr>
            <w:r>
              <w:rPr>
                <w:sz w:val="20"/>
                <w:szCs w:val="20"/>
              </w:rPr>
              <w:t>Aprovado</w:t>
            </w:r>
          </w:p>
        </w:tc>
      </w:tr>
    </w:tbl>
    <w:p>
      <w:pPr>
        <w:pStyle w:val="Fontedalegenda"/>
        <w:rPr/>
      </w:pPr>
      <w:r>
        <w:rPr/>
        <w:t>Fonte: elaborada pelos autores (2026). Passos, dados, resultados obtidos e evidências de cada caso estão na planilha do plano, no repositório.</w:t>
      </w:r>
    </w:p>
    <w:p>
      <w:pPr>
        <w:pStyle w:val="Heading2"/>
        <w:pageBreakBefore/>
        <w:rPr/>
      </w:pPr>
      <w:bookmarkStart w:id="106" w:name="__RefHeading___Toc3713_984269736"/>
      <w:bookmarkStart w:id="107" w:name="_Toc54"/>
      <w:bookmarkEnd w:id="106"/>
      <w:r>
        <w:rPr/>
        <w:t>APÊNDICE B – Questionário da avaliação de usabilidade</w:t>
      </w:r>
      <w:bookmarkEnd w:id="107"/>
    </w:p>
    <w:p>
      <w:pPr>
        <w:pStyle w:val="Normal"/>
        <w:ind w:firstLine="709"/>
        <w:jc w:val="both"/>
        <w:rPr/>
      </w:pPr>
      <w:r>
        <w:rPr/>
        <w:t xml:space="preserve">O formulário foi aplicado pelo Google Forms. O roteiro de tarefas planejado inicialmente está em </w:t>
      </w:r>
      <w:r>
        <w:rPr>
          <w:rFonts w:eastAsia="Courier New" w:cs="Courier New" w:ascii="Courier New" w:hAnsi="Courier New"/>
          <w:sz w:val="22"/>
          <w:szCs w:val="22"/>
        </w:rPr>
        <w:t>docs/questionario_teste_usabilidade.md</w:t>
      </w:r>
      <w:r>
        <w:rPr/>
        <w:t xml:space="preserve">, no repositório, e o termo de consentimento, em </w:t>
      </w:r>
      <w:r>
        <w:rPr>
          <w:rFonts w:eastAsia="Courier New" w:cs="Courier New" w:ascii="Courier New" w:hAnsi="Courier New"/>
          <w:sz w:val="22"/>
          <w:szCs w:val="22"/>
        </w:rPr>
        <w:t>docs/tcle_teste_usabilidade.md</w:t>
      </w:r>
      <w:r>
        <w:rPr/>
        <w:t>. O formulário efetivamente aplicado teve a estrutura a seguir.</w:t>
      </w:r>
    </w:p>
    <w:p>
      <w:pPr>
        <w:pStyle w:val="Normal"/>
        <w:jc w:val="both"/>
        <w:rPr/>
      </w:pPr>
      <w:r>
        <w:rPr>
          <w:b/>
          <w:bCs/>
        </w:rPr>
        <w:t>Termo de consentimento:</w:t>
      </w:r>
      <w:r>
        <w:rPr/>
        <w:t xml:space="preserve"> "Declaro que li e/ou ouvi a explicação sobre a pesquisa acima descrita, e que compreendi os objetivos, procedimentos, riscos, benefícios e a garantia de confidencialidade e de liberdade de desistência a qualquer momento, sem qualquer penalidade. Declaro ainda que concordo em participar voluntariamente do estudo."</w:t>
      </w:r>
    </w:p>
    <w:p>
      <w:pPr>
        <w:pStyle w:val="Normal"/>
        <w:jc w:val="both"/>
        <w:rPr/>
      </w:pPr>
      <w:r>
        <w:rPr>
          <w:b/>
          <w:bCs/>
        </w:rPr>
        <w:t>Para cada uma das sete telas</w:t>
      </w:r>
      <w:r>
        <w:rPr/>
        <w:t xml:space="preserve"> (entrada, mapa, alertas, detalhes, cadastro, previsão e ajustes), exibida por uma captura, quatro afirmações em escala de 1 a 5:</w:t>
      </w:r>
    </w:p>
    <w:p>
      <w:pPr>
        <w:pStyle w:val="ListParagraph"/>
        <w:numPr>
          <w:ilvl w:val="0"/>
          <w:numId w:val="20"/>
        </w:numPr>
        <w:jc w:val="both"/>
        <w:rPr/>
      </w:pPr>
      <w:r>
        <w:rPr/>
        <w:t>Facilidade de uso;</w:t>
      </w:r>
    </w:p>
    <w:p>
      <w:pPr>
        <w:pStyle w:val="ListParagraph"/>
        <w:numPr>
          <w:ilvl w:val="0"/>
          <w:numId w:val="1"/>
        </w:numPr>
        <w:jc w:val="both"/>
        <w:rPr/>
      </w:pPr>
      <w:r>
        <w:rPr/>
        <w:t>Intuitividade: entendi o que fazer sem precisar de explicação;</w:t>
      </w:r>
    </w:p>
    <w:p>
      <w:pPr>
        <w:pStyle w:val="ListParagraph"/>
        <w:numPr>
          <w:ilvl w:val="0"/>
          <w:numId w:val="1"/>
        </w:numPr>
        <w:jc w:val="both"/>
        <w:rPr/>
      </w:pPr>
      <w:r>
        <w:rPr/>
        <w:t>Design: o visual é agradável e fácil de ler;</w:t>
      </w:r>
    </w:p>
    <w:p>
      <w:pPr>
        <w:pStyle w:val="ListParagraph"/>
        <w:numPr>
          <w:ilvl w:val="0"/>
          <w:numId w:val="1"/>
        </w:numPr>
        <w:jc w:val="both"/>
        <w:rPr/>
      </w:pPr>
      <w:r>
        <w:rPr/>
        <w:t>Importância desta tela para o app.</w:t>
      </w:r>
    </w:p>
    <w:p>
      <w:pPr>
        <w:pStyle w:val="Normal"/>
        <w:jc w:val="both"/>
        <w:rPr/>
      </w:pPr>
      <w:r>
        <w:rPr>
          <w:b/>
          <w:bCs/>
        </w:rPr>
        <w:t>Uma pergunta específica por tela</w:t>
      </w:r>
      <w:r>
        <w:rPr/>
        <w:t>, de múltipla escolha:</w:t>
      </w:r>
    </w:p>
    <w:p>
      <w:pPr>
        <w:pStyle w:val="ListParagraph"/>
        <w:numPr>
          <w:ilvl w:val="0"/>
          <w:numId w:val="21"/>
        </w:numPr>
        <w:jc w:val="both"/>
        <w:rPr/>
      </w:pPr>
      <w:r>
        <w:rPr/>
        <w:t>Entrada: a mensagem no rodapé ("não há verificação de senha") ficou clara?</w:t>
      </w:r>
    </w:p>
    <w:p>
      <w:pPr>
        <w:pStyle w:val="ListParagraph"/>
        <w:numPr>
          <w:ilvl w:val="0"/>
          <w:numId w:val="1"/>
        </w:numPr>
        <w:jc w:val="both"/>
        <w:rPr/>
      </w:pPr>
      <w:r>
        <w:rPr/>
        <w:t>Mapa: você entendeu o que significam as cores dos marcadores e os marcadores mais apagados?</w:t>
      </w:r>
    </w:p>
    <w:p>
      <w:pPr>
        <w:pStyle w:val="ListParagraph"/>
        <w:numPr>
          <w:ilvl w:val="0"/>
          <w:numId w:val="1"/>
        </w:numPr>
        <w:jc w:val="both"/>
        <w:rPr/>
      </w:pPr>
      <w:r>
        <w:rPr/>
        <w:t>Alertas: os filtros são fáceis de combinar para achar o que você procura?</w:t>
      </w:r>
    </w:p>
    <w:p>
      <w:pPr>
        <w:pStyle w:val="ListParagraph"/>
        <w:numPr>
          <w:ilvl w:val="0"/>
          <w:numId w:val="1"/>
        </w:numPr>
        <w:jc w:val="both"/>
        <w:rPr/>
      </w:pPr>
      <w:r>
        <w:rPr/>
        <w:t>Detalhes: as informações mostradas são suficientes?</w:t>
      </w:r>
    </w:p>
    <w:p>
      <w:pPr>
        <w:pStyle w:val="ListParagraph"/>
        <w:numPr>
          <w:ilvl w:val="0"/>
          <w:numId w:val="1"/>
        </w:numPr>
        <w:jc w:val="both"/>
        <w:rPr/>
      </w:pPr>
      <w:r>
        <w:rPr/>
        <w:t>Cadastro: você entendeu a diferença entre "Automático" e escolher o nível de risco por conta própria?</w:t>
      </w:r>
    </w:p>
    <w:p>
      <w:pPr>
        <w:pStyle w:val="ListParagraph"/>
        <w:numPr>
          <w:ilvl w:val="0"/>
          <w:numId w:val="1"/>
        </w:numPr>
        <w:jc w:val="both"/>
        <w:rPr/>
      </w:pPr>
      <w:r>
        <w:rPr/>
        <w:t>Previsão: o risco aparece como "Baixo" mesmo com um aviso de tempestade do INMET. Isso ficou claro?</w:t>
      </w:r>
    </w:p>
    <w:p>
      <w:pPr>
        <w:pStyle w:val="ListParagraph"/>
        <w:numPr>
          <w:ilvl w:val="0"/>
          <w:numId w:val="1"/>
        </w:numPr>
        <w:jc w:val="both"/>
        <w:rPr/>
      </w:pPr>
      <w:r>
        <w:rPr/>
        <w:t>Ajustes: ficou claro o que cada opção de alerta e de fonte de dados faz?</w:t>
      </w:r>
    </w:p>
    <w:p>
      <w:pPr>
        <w:pStyle w:val="Normal"/>
        <w:spacing w:before="0" w:after="120"/>
        <w:jc w:val="both"/>
        <w:rPr/>
      </w:pPr>
      <w:r>
        <w:rPr>
          <w:b/>
          <w:bCs/>
        </w:rPr>
        <w:t>E um campo aberto por tela:</w:t>
      </w:r>
      <w:r>
        <w:rPr/>
        <w:t xml:space="preserve"> "Quer comentar algo sobre esta tela?"</w:t>
      </w:r>
    </w:p>
    <w:sectPr>
      <w:headerReference w:type="even" r:id="rId12"/>
      <w:headerReference w:type="default" r:id="rId13"/>
      <w:headerReference w:type="first" r:id="rId14"/>
      <w:type w:val="nextPage"/>
      <w:pgSz w:w="11906" w:h="16838"/>
      <w:pgMar w:left="1701" w:right="1134" w:gutter="0" w:header="709"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sz w:val="20"/>
        <w:szCs w:val="20"/>
      </w:rPr>
      <w:fldChar w:fldCharType="begin"/>
    </w:r>
    <w:r>
      <w:rPr>
        <w:sz w:val="20"/>
        <w:szCs w:val="20"/>
      </w:rPr>
      <w:instrText xml:space="preserve"> PAGE </w:instrText>
    </w:r>
    <w:r>
      <w:rPr>
        <w:sz w:val="20"/>
        <w:szCs w:val="20"/>
      </w:rPr>
      <w:fldChar w:fldCharType="separate"/>
    </w:r>
    <w:r>
      <w:rPr>
        <w:sz w:val="20"/>
        <w:szCs w:val="20"/>
      </w:rPr>
      <w:t>67</w:t>
    </w:r>
    <w:r>
      <w:rPr>
        <w:sz w:val="20"/>
        <w:szCs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sz w:val="20"/>
        <w:szCs w:val="20"/>
      </w:rPr>
      <w:fldChar w:fldCharType="begin"/>
    </w:r>
    <w:r>
      <w:rPr>
        <w:sz w:val="20"/>
        <w:szCs w:val="20"/>
      </w:rPr>
      <w:instrText xml:space="preserve"> PAGE </w:instrText>
    </w:r>
    <w:r>
      <w:rPr>
        <w:sz w:val="20"/>
        <w:szCs w:val="20"/>
      </w:rPr>
      <w:fldChar w:fldCharType="separate"/>
    </w:r>
    <w:r>
      <w:rPr>
        <w:sz w:val="20"/>
        <w:szCs w:val="20"/>
      </w:rPr>
      <w:t>67</w:t>
    </w:r>
    <w:r>
      <w:rPr>
        <w:sz w:val="20"/>
        <w:szCs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5"/>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default="1">
    <w:name w:val="Normal"/>
    <w:qFormat/>
    <w:pPr>
      <w:widowControl/>
      <w:bidi w:val="0"/>
      <w:spacing w:lineRule="auto" w:line="360" w:before="0" w:after="120"/>
      <w:jc w:val="left"/>
    </w:pPr>
    <w:rPr>
      <w:rFonts w:ascii="Arial" w:hAnsi="Arial" w:eastAsia="Arial" w:cs="Arial"/>
      <w:color w:val="auto"/>
      <w:kern w:val="0"/>
      <w:sz w:val="24"/>
      <w:szCs w:val="24"/>
      <w:lang w:val="pt-BR" w:eastAsia="zh-CN" w:bidi="hi-IN"/>
    </w:rPr>
  </w:style>
  <w:style w:type="paragraph" w:styleId="Heading1">
    <w:name w:val="heading 1"/>
    <w:basedOn w:val="Normal"/>
    <w:next w:val="Normal"/>
    <w:qFormat/>
    <w:pPr>
      <w:keepNext w:val="true"/>
      <w:keepLines/>
      <w:spacing w:lineRule="auto" w:line="360" w:before="0" w:after="360"/>
      <w:outlineLvl w:val="0"/>
    </w:pPr>
    <w:rPr>
      <w:rFonts w:ascii="Arial" w:hAnsi="Arial" w:eastAsia="Arial" w:cs="Arial"/>
      <w:b/>
      <w:bCs/>
      <w:sz w:val="32"/>
      <w:szCs w:val="32"/>
    </w:rPr>
  </w:style>
  <w:style w:type="paragraph" w:styleId="Heading2">
    <w:name w:val="heading 2"/>
    <w:basedOn w:val="Normal"/>
    <w:next w:val="Normal"/>
    <w:qFormat/>
    <w:pPr>
      <w:keepNext w:val="true"/>
      <w:keepLines/>
      <w:spacing w:lineRule="auto" w:line="360" w:before="360" w:after="240"/>
      <w:outlineLvl w:val="1"/>
    </w:pPr>
    <w:rPr>
      <w:rFonts w:ascii="Arial" w:hAnsi="Arial" w:eastAsia="Arial" w:cs="Arial"/>
      <w:b/>
      <w:bCs/>
      <w:sz w:val="28"/>
      <w:szCs w:val="28"/>
    </w:rPr>
  </w:style>
  <w:style w:type="paragraph" w:styleId="Heading3">
    <w:name w:val="heading 3"/>
    <w:basedOn w:val="Normal"/>
    <w:next w:val="Normal"/>
    <w:qFormat/>
    <w:pPr>
      <w:keepNext w:val="true"/>
      <w:keepLines/>
      <w:spacing w:lineRule="auto" w:line="360" w:before="240" w:after="120"/>
      <w:outlineLvl w:val="2"/>
    </w:pPr>
    <w:rPr>
      <w:rFonts w:ascii="Arial" w:hAnsi="Arial" w:eastAsia="Arial" w:cs="Arial"/>
      <w:b/>
      <w:b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defim">
    <w:name w:val="Caracteres de nota de fim"/>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LineNumber">
    <w:name w:val="line number"/>
    <w:uiPriority w:val="99"/>
    <w:semiHidden/>
    <w:unhideWhenUsed/>
    <w:rPr/>
  </w:style>
  <w:style w:type="character" w:styleId="Vnculodendice">
    <w:name w:val="Vínculo de índice"/>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ndice">
    <w:name w:val="Índice"/>
    <w:basedOn w:val="Normal"/>
    <w:pPr>
      <w:suppressLineNumbers/>
    </w:pPr>
    <w:rPr>
      <w:rFonts w:cs="Arial"/>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40"/>
    </w:pPr>
    <w:rPr/>
  </w:style>
  <w:style w:type="paragraph" w:styleId="TOC3">
    <w:name w:val="toc 3"/>
    <w:basedOn w:val="Normal"/>
    <w:next w:val="Normal"/>
    <w:uiPriority w:val="39"/>
    <w:semiHidden/>
    <w:unhideWhenUsed/>
    <w:pPr>
      <w:spacing w:before="0" w:after="100"/>
      <w:ind w:left="480"/>
    </w:pPr>
    <w:rPr/>
  </w:style>
  <w:style w:type="paragraph" w:styleId="TOC4">
    <w:name w:val="toc 4"/>
    <w:basedOn w:val="Normal"/>
    <w:next w:val="Normal"/>
    <w:uiPriority w:val="39"/>
    <w:semiHidden/>
    <w:unhideWhenUsed/>
    <w:pPr>
      <w:spacing w:before="0" w:after="100"/>
      <w:ind w:left="720"/>
    </w:pPr>
    <w:rPr/>
  </w:style>
  <w:style w:type="paragraph" w:styleId="TOC5">
    <w:name w:val="toc 5"/>
    <w:basedOn w:val="Normal"/>
    <w:next w:val="Normal"/>
    <w:uiPriority w:val="39"/>
    <w:semiHidden/>
    <w:unhideWhenUsed/>
    <w:pPr>
      <w:spacing w:before="0" w:after="100"/>
      <w:ind w:left="960"/>
    </w:pPr>
    <w:rPr/>
  </w:style>
  <w:style w:type="paragraph" w:styleId="TOC6">
    <w:name w:val="toc 6"/>
    <w:basedOn w:val="Normal"/>
    <w:next w:val="Normal"/>
    <w:uiPriority w:val="39"/>
    <w:semiHidden/>
    <w:unhideWhenUsed/>
    <w:pPr>
      <w:spacing w:before="0" w:after="100"/>
      <w:ind w:left="1200"/>
    </w:pPr>
    <w:rPr/>
  </w:style>
  <w:style w:type="paragraph" w:styleId="TOC7">
    <w:name w:val="toc 7"/>
    <w:basedOn w:val="Normal"/>
    <w:next w:val="Normal"/>
    <w:uiPriority w:val="39"/>
    <w:semiHidden/>
    <w:unhideWhenUsed/>
    <w:pPr>
      <w:spacing w:before="0" w:after="100"/>
      <w:ind w:left="1440"/>
    </w:pPr>
    <w:rPr/>
  </w:style>
  <w:style w:type="paragraph" w:styleId="TOC8">
    <w:name w:val="toc 8"/>
    <w:basedOn w:val="Normal"/>
    <w:next w:val="Normal"/>
    <w:uiPriority w:val="39"/>
    <w:semiHidden/>
    <w:unhideWhenUsed/>
    <w:pPr>
      <w:spacing w:before="0" w:after="100"/>
      <w:ind w:left="1680"/>
    </w:pPr>
    <w:rPr/>
  </w:style>
  <w:style w:type="paragraph" w:styleId="TOC9">
    <w:name w:val="toc 9"/>
    <w:basedOn w:val="Normal"/>
    <w:next w:val="Normal"/>
    <w:uiPriority w:val="39"/>
    <w:semiHidden/>
    <w:unhideWhenUsed/>
    <w:pPr>
      <w:spacing w:before="0" w:after="100"/>
      <w:ind w:left="192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ulosemnumero">
    <w:name w:val="Titulo sem numero"/>
    <w:basedOn w:val="Normal"/>
    <w:next w:val="Normal"/>
    <w:qFormat/>
    <w:pPr>
      <w:keepNext w:val="true"/>
      <w:keepLines/>
      <w:spacing w:lineRule="auto" w:line="360" w:before="0" w:after="360"/>
      <w:jc w:val="center"/>
    </w:pPr>
    <w:rPr>
      <w:rFonts w:ascii="Arial" w:hAnsi="Arial" w:eastAsia="Arial" w:cs="Arial"/>
      <w:b/>
      <w:bCs/>
      <w:sz w:val="32"/>
      <w:szCs w:val="32"/>
    </w:rPr>
  </w:style>
  <w:style w:type="paragraph" w:styleId="Legendauser">
    <w:name w:val="Legenda (user)"/>
    <w:basedOn w:val="Normal"/>
    <w:pPr>
      <w:spacing w:lineRule="auto" w:line="240" w:before="240" w:after="80"/>
      <w:jc w:val="center"/>
    </w:pPr>
    <w:rPr>
      <w:rFonts w:ascii="Arial" w:hAnsi="Arial" w:eastAsia="Arial" w:cs="Arial"/>
      <w:sz w:val="20"/>
      <w:szCs w:val="20"/>
    </w:rPr>
  </w:style>
  <w:style w:type="paragraph" w:styleId="Fontedalegenda">
    <w:name w:val="Fonte da legenda"/>
    <w:basedOn w:val="Normal"/>
    <w:pPr>
      <w:spacing w:lineRule="auto" w:line="240" w:before="60" w:after="240"/>
      <w:jc w:val="center"/>
    </w:pPr>
    <w:rPr>
      <w:rFonts w:ascii="Arial" w:hAnsi="Arial" w:eastAsia="Arial" w:cs="Arial"/>
      <w:sz w:val="20"/>
      <w:szCs w:val="20"/>
    </w:rPr>
  </w:style>
  <w:style w:type="paragraph" w:styleId="Textodetabela">
    <w:name w:val="Texto de tabela"/>
    <w:basedOn w:val="Normal"/>
    <w:pPr>
      <w:spacing w:lineRule="auto" w:line="240" w:before="0" w:after="0"/>
    </w:pPr>
    <w:rPr>
      <w:rFonts w:ascii="Arial" w:hAnsi="Arial" w:eastAsia="Arial" w:cs="Arial"/>
      <w:sz w:val="20"/>
      <w:szCs w:val="20"/>
    </w:rPr>
  </w:style>
  <w:style w:type="paragraph" w:styleId="Cabealhoerodap">
    <w:name w:val="Cabeçalho e rodapé"/>
    <w:basedOn w:val="Normal"/>
    <w:pPr/>
    <w:rPr/>
  </w:style>
  <w:style w:type="paragraph" w:styleId="Header">
    <w:name w:val="header"/>
    <w:basedOn w:val="Cabealhoerodap"/>
    <w:pPr/>
    <w:rPr/>
  </w:style>
  <w:style w:type="paragraph" w:styleId="TableofFigures">
    <w:name w:val="table of figures"/>
    <w:basedOn w:val="ndice"/>
    <w:pPr>
      <w:tabs>
        <w:tab w:val="clear" w:pos="720"/>
        <w:tab w:val="right" w:pos="9071" w:leader="dot"/>
      </w:tabs>
      <w:ind w:hanging="0" w:left="0"/>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66</Pages>
  <Words>15493</Words>
  <Characters>82162</Characters>
  <CharactersWithSpaces>96560</CharactersWithSpaces>
  <Paragraphs>1235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2026-10-29T16:52:11Z</dcterms:created>
  <dc:creator>Grupo do TCC</dc:creator>
  <dc:description>Rascunho do documento teórico do TCC</dc:description>
  <dc:language>pt-BR</dc:language>
  <cp:lastModifiedBy/>
  <dcterms:modified xsi:type="dcterms:W3CDTF">2026-10-29T13:52:18Z</dcterms:modified>
  <cp:revision>2</cp:revision>
  <dc:subject/>
  <dc:title>Risco de alagamento urbano</dc:title>
</cp:coreProperties>
</file>