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val="0"/>
          <w:sz w:val="24"/>
        </w:rPr>
      </w:r>
    </w:p>
    <w:p>
      <w:pPr>
        <w:ind w:firstLine="0"/>
        <w:jc w:val="center"/>
      </w:pPr>
      <w:r>
        <w:rPr>
          <w:rFonts w:ascii="Times New Roman" w:hAnsi="Times New Roman"/>
          <w:b w:val="0"/>
          <w:sz w:val="24"/>
        </w:rPr>
      </w:r>
    </w:p>
    <w:p>
      <w:pPr>
        <w:ind w:firstLine="0"/>
        <w:jc w:val="center"/>
      </w:pPr>
      <w:r>
        <w:rPr>
          <w:rFonts w:ascii="Times New Roman" w:hAnsi="Times New Roman"/>
          <w:b/>
          <w:sz w:val="24"/>
        </w:rPr>
        <w:t>UNIVERSIDADE MUNICIPAL DE SÃO CAETANO DO SUL – USCS</w:t>
      </w:r>
    </w:p>
    <w:p>
      <w:pPr>
        <w:ind w:firstLine="0"/>
        <w:jc w:val="center"/>
      </w:pPr>
      <w:r>
        <w:rPr>
          <w:rFonts w:ascii="Times New Roman" w:hAnsi="Times New Roman"/>
          <w:b/>
          <w:sz w:val="24"/>
        </w:rPr>
        <w:t>CURSO DE CIÊNCIA DA COMPUTAÇÃO</w:t>
      </w:r>
    </w:p>
    <w:p>
      <w:pPr>
        <w:ind w:firstLine="0"/>
        <w:jc w:val="center"/>
      </w:pPr>
      <w:r>
        <w:rPr>
          <w:rFonts w:ascii="Times New Roman" w:hAnsi="Times New Roman"/>
          <w:b w:val="0"/>
          <w:sz w:val="24"/>
        </w:rPr>
      </w:r>
    </w:p>
    <w:p>
      <w:pPr>
        <w:ind w:firstLine="0"/>
        <w:jc w:val="center"/>
      </w:pPr>
      <w:r>
        <w:rPr>
          <w:rFonts w:ascii="Times New Roman" w:hAnsi="Times New Roman"/>
          <w:b w:val="0"/>
          <w:sz w:val="24"/>
        </w:rPr>
      </w:r>
    </w:p>
    <w:p>
      <w:pPr>
        <w:ind w:firstLine="0"/>
        <w:jc w:val="center"/>
      </w:pPr>
      <w:r>
        <w:rPr>
          <w:rFonts w:ascii="Times New Roman" w:hAnsi="Times New Roman"/>
          <w:b w:val="0"/>
          <w:sz w:val="24"/>
        </w:rPr>
      </w:r>
    </w:p>
    <w:p>
      <w:pPr>
        <w:ind w:firstLine="0"/>
        <w:jc w:val="center"/>
      </w:pPr>
      <w:r>
        <w:rPr>
          <w:rFonts w:ascii="Times New Roman" w:hAnsi="Times New Roman"/>
          <w:b w:val="0"/>
          <w:sz w:val="24"/>
        </w:rPr>
        <w:t>GUILHERME AYRES CAMARINI</w:t>
      </w:r>
    </w:p>
    <w:p>
      <w:pPr>
        <w:ind w:firstLine="0"/>
        <w:jc w:val="center"/>
      </w:pPr>
      <w:r>
        <w:rPr>
          <w:rFonts w:ascii="Times New Roman" w:hAnsi="Times New Roman"/>
          <w:b w:val="0"/>
          <w:sz w:val="24"/>
        </w:rPr>
        <w:t>HENRIQUE MARTINS DA LUZ</w:t>
      </w:r>
    </w:p>
    <w:p>
      <w:pPr>
        <w:ind w:firstLine="0"/>
        <w:jc w:val="center"/>
      </w:pPr>
      <w:r>
        <w:rPr>
          <w:rFonts w:ascii="Times New Roman" w:hAnsi="Times New Roman"/>
          <w:b w:val="0"/>
          <w:sz w:val="24"/>
        </w:rPr>
        <w:t>JOÃO PEDRO LOUREIRO LOURENÇO</w:t>
      </w:r>
    </w:p>
    <w:p>
      <w:pPr>
        <w:ind w:firstLine="0"/>
        <w:jc w:val="center"/>
      </w:pPr>
      <w:r>
        <w:rPr>
          <w:rFonts w:ascii="Times New Roman" w:hAnsi="Times New Roman"/>
          <w:b w:val="0"/>
          <w:sz w:val="24"/>
        </w:rPr>
        <w:t>MARLON ALVES FERREIRA</w:t>
      </w:r>
    </w:p>
    <w:p>
      <w:pPr>
        <w:ind w:firstLine="0"/>
        <w:jc w:val="center"/>
      </w:pPr>
      <w:r>
        <w:rPr>
          <w:rFonts w:ascii="Times New Roman" w:hAnsi="Times New Roman"/>
          <w:b w:val="0"/>
          <w:sz w:val="24"/>
        </w:rPr>
      </w:r>
    </w:p>
    <w:p>
      <w:pPr>
        <w:ind w:firstLine="0"/>
        <w:jc w:val="center"/>
      </w:pPr>
      <w:r>
        <w:rPr>
          <w:rFonts w:ascii="Times New Roman" w:hAnsi="Times New Roman"/>
          <w:b w:val="0"/>
          <w:sz w:val="24"/>
        </w:rPr>
      </w:r>
    </w:p>
    <w:p>
      <w:pPr>
        <w:ind w:firstLine="0"/>
        <w:jc w:val="center"/>
      </w:pPr>
      <w:r>
        <w:rPr>
          <w:rFonts w:ascii="Times New Roman" w:hAnsi="Times New Roman"/>
          <w:b w:val="0"/>
          <w:sz w:val="24"/>
        </w:rPr>
      </w:r>
    </w:p>
    <w:p>
      <w:pPr>
        <w:ind w:firstLine="0"/>
        <w:jc w:val="center"/>
      </w:pPr>
      <w:r>
        <w:rPr>
          <w:rFonts w:ascii="Times New Roman" w:hAnsi="Times New Roman"/>
          <w:b/>
          <w:sz w:val="24"/>
        </w:rPr>
        <w:t>SISTEMA COLABORATIVO PARA CLASSIFICAÇÃO DE RISCO DE ALAGAMENTOS URBANOS POR MEIO DE FUSÃO DE DADOS METEOROLÓGICOS E GEORREFERENCIAMENTO</w:t>
      </w:r>
    </w:p>
    <w:p>
      <w:pPr>
        <w:ind w:firstLine="0"/>
        <w:jc w:val="center"/>
      </w:pPr>
      <w:r>
        <w:rPr>
          <w:rFonts w:ascii="Times New Roman" w:hAnsi="Times New Roman"/>
          <w:b w:val="0"/>
          <w:sz w:val="24"/>
        </w:rPr>
      </w:r>
    </w:p>
    <w:p>
      <w:pPr>
        <w:ind w:firstLine="0"/>
        <w:jc w:val="center"/>
      </w:pPr>
      <w:r>
        <w:rPr>
          <w:rFonts w:ascii="Times New Roman" w:hAnsi="Times New Roman"/>
          <w:b w:val="0"/>
          <w:sz w:val="24"/>
        </w:rPr>
      </w:r>
    </w:p>
    <w:p>
      <w:pPr>
        <w:ind w:firstLine="0"/>
        <w:jc w:val="center"/>
      </w:pPr>
      <w:r>
        <w:rPr>
          <w:rFonts w:ascii="Times New Roman" w:hAnsi="Times New Roman"/>
          <w:b w:val="0"/>
          <w:sz w:val="24"/>
        </w:rPr>
      </w:r>
    </w:p>
    <w:p>
      <w:pPr>
        <w:ind w:firstLine="0"/>
        <w:jc w:val="center"/>
      </w:pPr>
      <w:r>
        <w:rPr>
          <w:rFonts w:ascii="Times New Roman" w:hAnsi="Times New Roman"/>
          <w:b w:val="0"/>
          <w:sz w:val="24"/>
        </w:rPr>
      </w:r>
    </w:p>
    <w:p>
      <w:pPr>
        <w:ind w:firstLine="0"/>
        <w:jc w:val="center"/>
      </w:pPr>
      <w:r>
        <w:rPr>
          <w:rFonts w:ascii="Times New Roman" w:hAnsi="Times New Roman"/>
          <w:b w:val="0"/>
          <w:sz w:val="24"/>
        </w:rPr>
        <w:t>São Caetano do Sul</w:t>
      </w:r>
    </w:p>
    <w:p>
      <w:pPr>
        <w:ind w:firstLine="0"/>
        <w:jc w:val="center"/>
      </w:pPr>
      <w:r>
        <w:rPr>
          <w:rFonts w:ascii="Times New Roman" w:hAnsi="Times New Roman"/>
          <w:b w:val="0"/>
          <w:sz w:val="24"/>
        </w:rPr>
        <w:t>2026</w:t>
      </w:r>
    </w:p>
    <w:p>
      <w:r>
        <w:br w:type="page"/>
      </w:r>
    </w:p>
    <w:p>
      <w:pPr>
        <w:ind w:firstLine="0"/>
        <w:jc w:val="center"/>
      </w:pPr>
      <w:r>
        <w:rPr>
          <w:rFonts w:ascii="Times New Roman" w:hAnsi="Times New Roman"/>
          <w:b w:val="0"/>
          <w:sz w:val="24"/>
        </w:rPr>
        <w:t>GUILHERME AYRES CAMARINI</w:t>
      </w:r>
    </w:p>
    <w:p>
      <w:pPr>
        <w:ind w:firstLine="0"/>
        <w:jc w:val="center"/>
      </w:pPr>
      <w:r>
        <w:rPr>
          <w:rFonts w:ascii="Times New Roman" w:hAnsi="Times New Roman"/>
          <w:b w:val="0"/>
          <w:sz w:val="24"/>
        </w:rPr>
        <w:t>HENRIQUE MARTINS DA LUZ</w:t>
      </w:r>
    </w:p>
    <w:p>
      <w:pPr>
        <w:ind w:firstLine="0"/>
        <w:jc w:val="center"/>
      </w:pPr>
      <w:r>
        <w:rPr>
          <w:rFonts w:ascii="Times New Roman" w:hAnsi="Times New Roman"/>
          <w:b w:val="0"/>
          <w:sz w:val="24"/>
        </w:rPr>
        <w:t>JOÃO PEDRO LOUREIRO LOURENÇO</w:t>
      </w:r>
    </w:p>
    <w:p>
      <w:pPr>
        <w:ind w:firstLine="0"/>
        <w:jc w:val="center"/>
      </w:pPr>
      <w:r>
        <w:rPr>
          <w:rFonts w:ascii="Times New Roman" w:hAnsi="Times New Roman"/>
          <w:b w:val="0"/>
          <w:sz w:val="24"/>
        </w:rPr>
        <w:t>MARLON ALVES FERREIRA</w:t>
      </w:r>
    </w:p>
    <w:p>
      <w:pPr>
        <w:ind w:firstLine="0"/>
        <w:jc w:val="both"/>
      </w:pPr>
      <w:r>
        <w:rPr>
          <w:rFonts w:ascii="Times New Roman" w:hAnsi="Times New Roman"/>
          <w:b w:val="0"/>
          <w:sz w:val="24"/>
        </w:rPr>
      </w:r>
    </w:p>
    <w:p>
      <w:pPr>
        <w:ind w:firstLine="0"/>
        <w:jc w:val="both"/>
      </w:pPr>
      <w:r>
        <w:rPr>
          <w:rFonts w:ascii="Times New Roman" w:hAnsi="Times New Roman"/>
          <w:b w:val="0"/>
          <w:sz w:val="24"/>
        </w:rPr>
      </w:r>
    </w:p>
    <w:p>
      <w:pPr>
        <w:ind w:firstLine="0"/>
        <w:jc w:val="center"/>
      </w:pPr>
      <w:r>
        <w:rPr>
          <w:rFonts w:ascii="Times New Roman" w:hAnsi="Times New Roman"/>
          <w:b/>
          <w:sz w:val="24"/>
        </w:rPr>
        <w:t>SISTEMA COLABORATIVO PARA CLASSIFICAÇÃO DE RISCO DE ALAGAMENTOS URBANOS POR MEIO DE FUSÃO DE DADOS METEOROLÓGICOS E GEORREFERENCIAMENTO</w:t>
      </w:r>
    </w:p>
    <w:p>
      <w:pPr>
        <w:ind w:firstLine="0"/>
        <w:jc w:val="both"/>
      </w:pPr>
      <w:r>
        <w:rPr>
          <w:rFonts w:ascii="Times New Roman" w:hAnsi="Times New Roman"/>
          <w:b w:val="0"/>
          <w:sz w:val="24"/>
        </w:rPr>
      </w:r>
    </w:p>
    <w:p>
      <w:pPr>
        <w:ind w:firstLine="0"/>
        <w:jc w:val="both"/>
      </w:pPr>
      <w:r>
        <w:rPr>
          <w:rFonts w:ascii="Times New Roman" w:hAnsi="Times New Roman"/>
          <w:b w:val="0"/>
          <w:sz w:val="24"/>
        </w:rPr>
      </w:r>
    </w:p>
    <w:p>
      <w:pPr>
        <w:ind w:firstLine="0" w:left="3969"/>
        <w:jc w:val="both"/>
      </w:pPr>
      <w:r>
        <w:rPr>
          <w:rFonts w:ascii="Times New Roman" w:hAnsi="Times New Roman"/>
          <w:b w:val="0"/>
          <w:sz w:val="24"/>
        </w:rPr>
        <w:t>Trabalho de Conclusão de Curso apresentado ao Curso de Ciência da Computação da Universidade Municipal de São Caetano do Sul como requisito acadêmico, sob orientação do Prof. Dr. Marcos Alberto Bussab.</w:t>
      </w:r>
    </w:p>
    <w:p>
      <w:pPr>
        <w:ind w:firstLine="0" w:left="3969"/>
        <w:jc w:val="both"/>
      </w:pPr>
      <w:r>
        <w:rPr>
          <w:rFonts w:ascii="Times New Roman" w:hAnsi="Times New Roman"/>
          <w:b w:val="0"/>
          <w:sz w:val="24"/>
        </w:rPr>
        <w:t>Orientador: Prof. Dr. Marcos Alberto Bussab</w:t>
      </w:r>
    </w:p>
    <w:p>
      <w:pPr>
        <w:ind w:firstLine="0"/>
        <w:jc w:val="both"/>
      </w:pPr>
      <w:r>
        <w:rPr>
          <w:rFonts w:ascii="Times New Roman" w:hAnsi="Times New Roman"/>
          <w:b w:val="0"/>
          <w:sz w:val="24"/>
        </w:rPr>
      </w:r>
    </w:p>
    <w:p>
      <w:pPr>
        <w:ind w:firstLine="0"/>
        <w:jc w:val="both"/>
      </w:pPr>
      <w:r>
        <w:rPr>
          <w:rFonts w:ascii="Times New Roman" w:hAnsi="Times New Roman"/>
          <w:b w:val="0"/>
          <w:sz w:val="24"/>
        </w:rPr>
      </w:r>
    </w:p>
    <w:p>
      <w:pPr>
        <w:ind w:firstLine="0"/>
        <w:jc w:val="both"/>
      </w:pPr>
      <w:r>
        <w:rPr>
          <w:rFonts w:ascii="Times New Roman" w:hAnsi="Times New Roman"/>
          <w:b w:val="0"/>
          <w:sz w:val="24"/>
        </w:rPr>
      </w:r>
    </w:p>
    <w:p>
      <w:pPr>
        <w:ind w:firstLine="0"/>
        <w:jc w:val="both"/>
      </w:pPr>
      <w:r>
        <w:rPr>
          <w:rFonts w:ascii="Times New Roman" w:hAnsi="Times New Roman"/>
          <w:b w:val="0"/>
          <w:sz w:val="24"/>
        </w:rPr>
      </w:r>
    </w:p>
    <w:p>
      <w:pPr>
        <w:ind w:firstLine="0"/>
        <w:jc w:val="center"/>
      </w:pPr>
      <w:r>
        <w:rPr>
          <w:rFonts w:ascii="Times New Roman" w:hAnsi="Times New Roman"/>
          <w:b w:val="0"/>
          <w:sz w:val="24"/>
        </w:rPr>
        <w:t>São Caetano do Sul</w:t>
      </w:r>
    </w:p>
    <w:p>
      <w:pPr>
        <w:ind w:firstLine="0"/>
        <w:jc w:val="center"/>
      </w:pPr>
      <w:r>
        <w:rPr>
          <w:rFonts w:ascii="Times New Roman" w:hAnsi="Times New Roman"/>
          <w:b w:val="0"/>
          <w:sz w:val="24"/>
        </w:rPr>
        <w:t>2026</w:t>
      </w:r>
    </w:p>
    <w:p>
      <w:r>
        <w:br w:type="page"/>
      </w:r>
    </w:p>
    <w:p>
      <w:pPr>
        <w:pStyle w:val="Heading1"/>
      </w:pPr>
      <w:r>
        <w:t>NOTA DE CONSOLIDAÇÃO E PREMISSAS ADOTADAS</w:t>
      </w:r>
    </w:p>
    <w:p>
      <w:pPr>
        <w:jc w:val="both"/>
      </w:pPr>
      <w:r>
        <w:rPr>
          <w:rFonts w:ascii="Times New Roman" w:hAnsi="Times New Roman"/>
          <w:b w:val="0"/>
          <w:sz w:val="24"/>
        </w:rPr>
        <w:t>Esta versão consolida o escopo assinado do TCC I, as versões intermediárias do texto, o levantamento bibliográfico e tecnológico, o cronograma de implementação do TCC II e as críticas de orientação registradas ao longo do projeto. Ela deve ser entendida como versão-base de orientação: descreve integralmente o problema, a fundamentação, a metodologia e a solução planejada, mas não antecipa resultados de implementação ou de experimentos que ainda não tenham sido executados.</w:t>
      </w:r>
    </w:p>
    <w:p>
      <w:pPr>
        <w:pStyle w:val="ListBullet"/>
        <w:spacing w:line="360" w:lineRule="auto"/>
        <w:ind w:firstLine="0" w:left="567"/>
      </w:pPr>
      <w:r>
        <w:t>O artefato será um MVP acadêmico, não um sistema oficial de alerta, previsão hidrológica ou defesa civil.</w:t>
      </w:r>
    </w:p>
    <w:p>
      <w:pPr>
        <w:pStyle w:val="ListBullet"/>
        <w:spacing w:line="360" w:lineRule="auto"/>
        <w:ind w:firstLine="0" w:left="567"/>
      </w:pPr>
      <w:r>
        <w:t>O piloto será delimitado inicialmente a São Caetano do Sul e/ou a uma área urbana controlada compatível com a disponibilidade das fontes de dados; eventual mudança de área deverá ser documentada como decisão metodológica.</w:t>
      </w:r>
    </w:p>
    <w:p>
      <w:pPr>
        <w:pStyle w:val="ListBullet"/>
        <w:spacing w:line="360" w:lineRule="auto"/>
        <w:ind w:firstLine="0" w:left="567"/>
      </w:pPr>
      <w:r>
        <w:t>A aplicação móvel será Android nativo em Kotlin com interfaces XML/Views; Jetpack Compose foi retirado para reduzir risco tecnológico e concentrar o esforço no problema científico-computacional.</w:t>
      </w:r>
    </w:p>
    <w:p>
      <w:pPr>
        <w:pStyle w:val="ListBullet"/>
        <w:spacing w:line="360" w:lineRule="auto"/>
        <w:ind w:firstLine="0" w:left="567"/>
      </w:pPr>
      <w:r>
        <w:t>O backend será implementado em Python/FastAPI e a persistência em PostgreSQL/PostGIS.</w:t>
      </w:r>
    </w:p>
    <w:p>
      <w:pPr>
        <w:pStyle w:val="ListBullet"/>
        <w:spacing w:line="360" w:lineRule="auto"/>
        <w:ind w:firstLine="0" w:left="567"/>
      </w:pPr>
      <w:r>
        <w:t>A solução deverá consultar mais de uma fonte meteorológica. OpenWeather e Open-Meteo são fontes candidatas de integração direta; INMET, CEMADEN e CPTEC/INPE serão utilizados conforme disponibilidade técnica, formato e condições de acesso, sem pressupor que todos ofereçam APIs equivalentes.</w:t>
      </w:r>
    </w:p>
    <w:p>
      <w:pPr>
        <w:pStyle w:val="ListBullet"/>
        <w:spacing w:line="360" w:lineRule="auto"/>
        <w:ind w:firstLine="0" w:left="567"/>
      </w:pPr>
      <w:r>
        <w:t>O Índice de Risco de Alagamento (IRA) é um indicador computacional experimental de apoio, não uma probabilidade hidrológica oficial. Seus pesos e regras deverão ser justificados por literatura, critérios explícitos e análise de sensibilidade; não serão apresentados como verdade física.</w:t>
      </w:r>
    </w:p>
    <w:p>
      <w:pPr>
        <w:pStyle w:val="ListBullet"/>
        <w:spacing w:line="360" w:lineRule="auto"/>
        <w:ind w:firstLine="0" w:left="567"/>
      </w:pPr>
      <w:r>
        <w:t>Não se assumirá a priori complexidade O(log n) para consultas espaciais. O ganho de indexação será verificado empiricamente com planos de execução e medições controladas.</w:t>
      </w:r>
    </w:p>
    <w:p>
      <w:pPr>
        <w:pStyle w:val="ListBullet"/>
        <w:spacing w:line="360" w:lineRule="auto"/>
        <w:ind w:firstLine="0" w:left="567"/>
      </w:pPr>
      <w:r>
        <w:t>Resultados de latência, usabilidade, desempenho ou qualidade do IRA somente serão apresentados após medição. Metas de desempenho são requisitos de projeto, não resultados.</w:t>
      </w:r>
    </w:p>
    <w:p>
      <w:pPr>
        <w:pStyle w:val="ListBullet"/>
        <w:spacing w:line="360" w:lineRule="auto"/>
        <w:ind w:firstLine="0" w:left="567"/>
      </w:pPr>
      <w:r>
        <w:t>Dados colaborativos serão tratados como evidência complementar e sujeitos a problemas de qualidade, duplicidade e confiabilidade; a solução deverá registrar origem, data/hora e localização e aplicar regras mínimas de validação.</w:t>
      </w:r>
    </w:p>
    <w:p>
      <w:pPr>
        <w:pStyle w:val="ListBullet"/>
        <w:spacing w:line="360" w:lineRule="auto"/>
        <w:ind w:firstLine="0" w:left="567"/>
      </w:pPr>
      <w:r>
        <w:t>Como dados de geolocalização podem constituir dados pessoais, o MVP deverá adotar minimização, finalidade explícita e evitar coleta desnecessária de identificadores pessoais, em consonância com a LGPD.</w:t>
      </w:r>
    </w:p>
    <w:p>
      <w:pPr>
        <w:pStyle w:val="Heading1"/>
      </w:pPr>
      <w:r>
        <w:t>RESUMO</w:t>
      </w:r>
    </w:p>
    <w:p>
      <w:pPr>
        <w:jc w:val="both"/>
      </w:pPr>
      <w:r>
        <w:rPr>
          <w:rFonts w:ascii="Times New Roman" w:hAnsi="Times New Roman"/>
          <w:b w:val="0"/>
          <w:sz w:val="24"/>
        </w:rPr>
        <w:t>Alagamentos urbanos afetam mobilidade, segurança e continuidade de atividades em cidades densamente urbanizadas. Embora existam dados meteorológicos, geográficos e registros produzidos por cidadãos, essas informações são heterogêneas, distribuídas e nem sempre transformadas em informação operacional para o usuário. Este trabalho propõe o desenvolvimento de um sistema colaborativo para monitoramento e classificação de áreas com indícios de risco de alagamento, combinando múltiplas fontes meteorológicas, registros georreferenciados e processamento espacial. O artefato será composto por aplicativo Android nativo em Kotlin/XML, camada de serviços em FastAPI e banco PostgreSQL/PostGIS. A contribuição computacional concentra-se em três elementos: uma camada de normalização e fusão de dados heterogêneos; um Índice de Risco de Alagamento (IRA) baseado em regras e pesos explicitamente documentados; e uma avaliação experimental do desempenho das consultas geoespaciais, especialmente do efeito da indexação GiST. A pesquisa seguirá Design Science Research, com construção, demonstração e avaliação do artefato. O MVP não pretende substituir alertas oficiais nem produzir previsão hidrológica. A avaliação incluirá testes funcionais, integração, usabilidade controlada e benchmark com massas de dados de diferentes tamanhos. Espera-se demonstrar a viabilidade técnica da arquitetura e identificar limites, ganhos de desempenho e condições de uso do mecanismo de classificação.</w:t>
      </w:r>
    </w:p>
    <w:p>
      <w:pPr>
        <w:ind w:firstLine="0"/>
        <w:jc w:val="both"/>
      </w:pPr>
      <w:r>
        <w:rPr>
          <w:rFonts w:ascii="Times New Roman" w:hAnsi="Times New Roman"/>
          <w:b w:val="0"/>
          <w:sz w:val="24"/>
        </w:rPr>
        <w:t>Palavras-chave: alagamentos urbanos; georreferenciamento; PostGIS; fusão de dados; crowdsourcing; Design Science Research.</w:t>
      </w:r>
    </w:p>
    <w:p>
      <w:pPr>
        <w:pStyle w:val="Heading1"/>
      </w:pPr>
      <w:r>
        <w:t>ABSTRACT</w:t>
      </w:r>
    </w:p>
    <w:p>
      <w:pPr>
        <w:jc w:val="both"/>
      </w:pPr>
      <w:r>
        <w:rPr>
          <w:rFonts w:ascii="Times New Roman" w:hAnsi="Times New Roman"/>
          <w:b w:val="0"/>
          <w:sz w:val="24"/>
        </w:rPr>
        <w:t>Urban flooding affects mobility, safety, and the continuity of activities in densely urbanized cities. Although meteorological, geographic, and citizen-generated data are increasingly available, these data are heterogeneous, distributed, and not always transformed into actionable information for end users. This study proposes the development of a collaborative system for monitoring and classifying areas with indications of urban flooding risk by combining multiple meteorological sources, georeferenced reports, and spatial processing. The artifact will comprise a native Android application developed with Kotlin/XML, a FastAPI service layer, and a PostgreSQL/PostGIS spatial database. The computational contribution focuses on three elements: a normalization and heterogeneous-data fusion layer; a rule- and weight-based Flood Risk Index (IRA) whose criteria are explicitly documented; and an experimental assessment of spatial-query performance, especially the effect of GiST indexing. The research follows Design Science Research, including artifact construction, demonstration, and evaluation. The MVP is not intended to replace official warning systems or hydrological forecasting. Evaluation will include functional and integration tests, controlled usability assessment, and benchmarks with datasets of different sizes. The expected outcome is evidence regarding the technical feasibility of the architecture, its performance limits, and the conditions under which the proposed classification mechanism can support urban decision-making.</w:t>
      </w:r>
    </w:p>
    <w:p>
      <w:pPr>
        <w:ind w:firstLine="0"/>
        <w:jc w:val="both"/>
      </w:pPr>
      <w:r>
        <w:rPr>
          <w:rFonts w:ascii="Times New Roman" w:hAnsi="Times New Roman"/>
          <w:b w:val="0"/>
          <w:sz w:val="24"/>
        </w:rPr>
        <w:t>Keywords: urban flooding; georeferencing; PostGIS; data fusion; crowdsourcing; Design Science Research.</w:t>
      </w:r>
    </w:p>
    <w:p>
      <w:pPr>
        <w:pStyle w:val="Heading1"/>
      </w:pPr>
      <w:r>
        <w:t>1 INTRODUÇÃO</w:t>
      </w:r>
    </w:p>
    <w:p>
      <w:pPr>
        <w:pStyle w:val="Heading2"/>
      </w:pPr>
      <w:r>
        <w:t>1.1 Contextualização</w:t>
      </w:r>
    </w:p>
    <w:p>
      <w:pPr>
        <w:jc w:val="both"/>
      </w:pPr>
      <w:r>
        <w:rPr>
          <w:rFonts w:ascii="Times New Roman" w:hAnsi="Times New Roman"/>
          <w:b w:val="0"/>
          <w:sz w:val="24"/>
        </w:rPr>
        <w:t>A urbanização brasileira é elevada: o Censo Demográfico 2022 registrou 87,41% da população vivendo em áreas urbanas (IBGE, 2024). A concentração populacional, a impermeabilização do solo e a pressão sobre sistemas de drenagem tornam eventos de precipitação intensa especialmente relevantes para mobilidade e segurança. Em paralelo, o IPCC (2023) registra que mudanças climáticas já afetam extremos meteorológicos e hidrológicos, ampliando a necessidade de adaptação e de sistemas de informação capazes de apoiar decisões locais.</w:t>
      </w:r>
    </w:p>
    <w:p>
      <w:pPr>
        <w:jc w:val="both"/>
      </w:pPr>
      <w:r>
        <w:rPr>
          <w:rFonts w:ascii="Times New Roman" w:hAnsi="Times New Roman"/>
          <w:b w:val="0"/>
          <w:sz w:val="24"/>
        </w:rPr>
        <w:t>Alagamentos urbanos são fenômenos espacialmente localizados e temporalmente dinâmicos. Sua observação pode depender de pluviômetros, radares, previsões meteorológicas, registros institucionais e relatos de cidadãos. A literatura recente mostra que dados colaborativos podem aumentar a resolução espacial do monitoramento, mas também introduzem desafios de qualidade, consistência e validação (HELMRICH et al., 2021; SONGCHON; WRIGHT; BEEVERS, 2021; AZIZI et al., 2022).</w:t>
      </w:r>
    </w:p>
    <w:p>
      <w:pPr>
        <w:jc w:val="both"/>
      </w:pPr>
      <w:r>
        <w:rPr>
          <w:rFonts w:ascii="Times New Roman" w:hAnsi="Times New Roman"/>
          <w:b w:val="0"/>
          <w:sz w:val="24"/>
        </w:rPr>
        <w:t>O problema computacional, portanto, não é simplesmente exibir uma API em um mapa. É necessário integrar fontes heterogêneas, normalizar unidades e instantes de referência, representar objetos espaciais, executar consultas de proximidade de forma eficiente, registrar proveniência e produzir uma síntese interpretável. Essa necessidade motiva o uso de banco geoespacial e de uma camada própria de processamento. PostGIS oferece tipos e predicados espaciais e suporta índices GiST, BRIN e SP-GiST; sua documentação destaca que, sem indexação, buscas espaciais podem exigir varredura sequencial dos registros, enquanto índices reduzem o conjunto candidato a ser examinado (POSTGIS, 2026).</w:t>
      </w:r>
    </w:p>
    <w:p>
      <w:pPr>
        <w:jc w:val="both"/>
      </w:pPr>
      <w:r>
        <w:rPr>
          <w:rFonts w:ascii="Times New Roman" w:hAnsi="Times New Roman"/>
          <w:b w:val="0"/>
          <w:sz w:val="24"/>
        </w:rPr>
        <w:t>A proposta deste TCC é um sistema colaborativo que combine dados meteorológicos de mais de uma fonte, ocorrências georreferenciadas e processamento espacial para gerar um Índice de Risco de Alagamento (IRA). O IRA será um indicador computacional experimental, baseado em regras e pesos transparentes, e não um modelo hidrológico oficial. O projeto também avaliará experimentalmente o desempenho das consultas espaciais, evitando afirmações teóricas simplificadas sobre complexidade sem validação empírica.</w:t>
      </w:r>
    </w:p>
    <w:p>
      <w:pPr>
        <w:pStyle w:val="Heading2"/>
      </w:pPr>
      <w:r>
        <w:t>1.2 Problema de Pesquisa</w:t>
      </w:r>
    </w:p>
    <w:p>
      <w:pPr>
        <w:jc w:val="both"/>
      </w:pPr>
      <w:r>
        <w:rPr>
          <w:rFonts w:ascii="Times New Roman" w:hAnsi="Times New Roman"/>
          <w:b w:val="0"/>
          <w:sz w:val="24"/>
        </w:rPr>
        <w:t>Dados relevantes para compreender condições associadas a alagamentos estão distribuídos em diferentes serviços e apresentam diferenças de cobertura, atualização, formato e granularidade. O usuário, por sua vez, precisa de uma representação espacial simples e atualizada, enquanto o sistema precisa lidar com inconsistências, indisponibilidade de fontes e crescimento da base de ocorrências.</w:t>
      </w:r>
    </w:p>
    <w:p>
      <w:pPr>
        <w:jc w:val="both"/>
      </w:pPr>
      <w:r>
        <w:rPr>
          <w:rFonts w:ascii="Times New Roman" w:hAnsi="Times New Roman"/>
          <w:b w:val="0"/>
          <w:sz w:val="24"/>
        </w:rPr>
        <w:t>A questão central é: como desenvolver e avaliar um sistema computacional capaz de integrar, normalizar e correlacionar múltiplas fontes meteorológicas e registros colaborativos georreferenciados, produzindo um indicador computacional de risco de alagamento e mantendo desempenho adequado nas consultas espaciais de um aplicativo móvel?</w:t>
      </w:r>
    </w:p>
    <w:p>
      <w:pPr>
        <w:jc w:val="both"/>
      </w:pPr>
      <w:r>
        <w:rPr>
          <w:rFonts w:ascii="Times New Roman" w:hAnsi="Times New Roman"/>
          <w:b w:val="0"/>
          <w:sz w:val="24"/>
        </w:rPr>
        <w:t>A hipótese de trabalho é que uma arquitetura com fusão de dados, armazenamento geoespacial indexado e regras explícitas de classificação pode produzir uma síntese mais útil do que a simples apresentação isolada de cada fonte, desde que os limites de qualidade dos dados e do próprio índice sejam explicitados e avaliados.</w:t>
      </w:r>
    </w:p>
    <w:p>
      <w:pPr>
        <w:pStyle w:val="Heading2"/>
      </w:pPr>
      <w:r>
        <w:t>1.3 Justificativa</w:t>
      </w:r>
    </w:p>
    <w:p>
      <w:pPr>
        <w:jc w:val="both"/>
      </w:pPr>
      <w:r>
        <w:rPr>
          <w:rFonts w:ascii="Times New Roman" w:hAnsi="Times New Roman"/>
          <w:b w:val="0"/>
          <w:sz w:val="24"/>
        </w:rPr>
        <w:t>A relevância social decorre do impacto dos alagamentos sobre deslocamentos urbanos. A relevância computacional decorre da necessidade de integrar sistemas distribuídos, representar dados espaciais, tratar qualidade e proveniência, desenvolver regras de classificação e medir desempenho. Trabalhos recentes apontam potencial do crowdsourcing para monitoramento de inundações urbanas, mas ressaltam limitações de confiabilidade e consistência, o que justifica uma arquitetura que não trate relatos colaborativos como verdade absoluta (HELMRICH et al., 2021; MARCHEZINI et al., 2022).</w:t>
      </w:r>
    </w:p>
    <w:p>
      <w:pPr>
        <w:jc w:val="both"/>
      </w:pPr>
      <w:r>
        <w:rPr>
          <w:rFonts w:ascii="Times New Roman" w:hAnsi="Times New Roman"/>
          <w:b w:val="0"/>
          <w:sz w:val="24"/>
        </w:rPr>
        <w:t>A adoção de múltiplas fontes meteorológicas reduz dependência de um único provedor e permite estudar divergências entre dados. OpenWeather disponibiliza dados meteorológicos por coordenadas e Open-Meteo oferece variáveis horárias como precipitação e probabilidade de precipitação. Fontes nacionais, como CEMADEN, INMET e CPTEC/INPE, agregam valor institucional e contextual, porém sua forma de acesso deverá ser validada tecnicamente durante a implementação. O CEMADEN, por exemplo, mantém rede de pluviômetros automáticos para acompanhamento de chuva e apoio a cenários de risco, e alerta que dados brutos podem conter inconsistências (CEMADEN, 2024; CEMADEN, 2026).</w:t>
      </w:r>
    </w:p>
    <w:p>
      <w:pPr>
        <w:jc w:val="both"/>
      </w:pPr>
      <w:r>
        <w:rPr>
          <w:rFonts w:ascii="Times New Roman" w:hAnsi="Times New Roman"/>
          <w:b w:val="0"/>
          <w:sz w:val="24"/>
        </w:rPr>
        <w:t>A relevância acadêmica é reforçada pela avaliação experimental. Em vez de afirmar que determinado índice espacial garante uma complexidade assintótica fixa, o trabalho medirá planos e tempos de execução em cenários controlados, comparando consultas com e sem GiST e diferentes volumes de dados. A documentação do PostGIS recomenda índices espaciais para tabelas que ultrapassam poucos milhares de registros e explica seu papel de filtro primário em consultas espaciais (POSTGIS, 2026).</w:t>
      </w:r>
    </w:p>
    <w:p>
      <w:pPr>
        <w:pStyle w:val="Heading2"/>
      </w:pPr>
      <w:r>
        <w:t>1.4 Objetivos</w:t>
      </w:r>
    </w:p>
    <w:p>
      <w:pPr>
        <w:pStyle w:val="Heading3"/>
      </w:pPr>
      <w:r>
        <w:t>1.4.1 Objetivo Geral</w:t>
      </w:r>
    </w:p>
    <w:p>
      <w:pPr>
        <w:jc w:val="both"/>
      </w:pPr>
      <w:r>
        <w:rPr>
          <w:rFonts w:ascii="Times New Roman" w:hAnsi="Times New Roman"/>
          <w:b w:val="0"/>
          <w:sz w:val="24"/>
        </w:rPr>
        <w:t>Desenvolver e avaliar um sistema computacional colaborativo para monitoramento e classificação de áreas com indícios de risco de alagamento, integrando múltiplas fontes meteorológicas, registros georreferenciados e processamento espacial, com geração de um Índice de Risco de Alagamento baseado em regras e pesos e avaliação experimental do desempenho das consultas geoespaciais.</w:t>
      </w:r>
    </w:p>
    <w:p>
      <w:pPr>
        <w:pStyle w:val="Heading3"/>
      </w:pPr>
      <w:r>
        <w:t>1.4.2 Objetivos Específicos</w:t>
      </w:r>
    </w:p>
    <w:p>
      <w:pPr>
        <w:pStyle w:val="ListBullet"/>
        <w:spacing w:line="360" w:lineRule="auto"/>
        <w:ind w:firstLine="0" w:left="567"/>
      </w:pPr>
      <w:r>
        <w:t>levantar literatura recente sobre alagamentos urbanos, crowdsourcing, georreferenciamento, bancos espaciais, fusão de dados e avaliação de sistemas;</w:t>
      </w:r>
    </w:p>
    <w:p>
      <w:pPr>
        <w:pStyle w:val="ListBullet"/>
        <w:spacing w:line="360" w:lineRule="auto"/>
        <w:ind w:firstLine="0" w:left="567"/>
      </w:pPr>
      <w:r>
        <w:t>comparar fontes meteorológicas quanto a cobertura, variáveis, atualização, acesso, formato e restrições de uso;</w:t>
      </w:r>
    </w:p>
    <w:p>
      <w:pPr>
        <w:pStyle w:val="ListBullet"/>
        <w:spacing w:line="360" w:lineRule="auto"/>
        <w:ind w:firstLine="0" w:left="567"/>
      </w:pPr>
      <w:r>
        <w:t>definir arquitetura em camadas para aplicativo Android, serviços e persistência geoespacial;</w:t>
      </w:r>
    </w:p>
    <w:p>
      <w:pPr>
        <w:pStyle w:val="ListBullet"/>
        <w:spacing w:line="360" w:lineRule="auto"/>
        <w:ind w:firstLine="0" w:left="567"/>
      </w:pPr>
      <w:r>
        <w:t>implementar o aplicativo Android em Kotlin com Views/XML e mapa interativo;</w:t>
      </w:r>
    </w:p>
    <w:p>
      <w:pPr>
        <w:pStyle w:val="ListBullet"/>
        <w:spacing w:line="360" w:lineRule="auto"/>
        <w:ind w:firstLine="0" w:left="567"/>
      </w:pPr>
      <w:r>
        <w:t>implementar backend REST em FastAPI e contratos de dados documentados por OpenAPI;</w:t>
      </w:r>
    </w:p>
    <w:p>
      <w:pPr>
        <w:pStyle w:val="ListBullet"/>
        <w:spacing w:line="360" w:lineRule="auto"/>
        <w:ind w:firstLine="0" w:left="567"/>
      </w:pPr>
      <w:r>
        <w:t>modelar dados espaciais em PostgreSQL/PostGIS, com sistema de referência explicitado e índices adequados;</w:t>
      </w:r>
    </w:p>
    <w:p>
      <w:pPr>
        <w:pStyle w:val="ListBullet"/>
        <w:spacing w:line="360" w:lineRule="auto"/>
        <w:ind w:firstLine="0" w:left="567"/>
      </w:pPr>
      <w:r>
        <w:t>implementar registro colaborativo com proveniência, data/hora e coordenadas;</w:t>
      </w:r>
    </w:p>
    <w:p>
      <w:pPr>
        <w:pStyle w:val="ListBullet"/>
        <w:spacing w:line="360" w:lineRule="auto"/>
        <w:ind w:firstLine="0" w:left="567"/>
      </w:pPr>
      <w:r>
        <w:t>propor, justificar e implementar o IRA como índice computacional experimental, com regras, pesos e faixas documentadas;</w:t>
      </w:r>
    </w:p>
    <w:p>
      <w:pPr>
        <w:pStyle w:val="ListBullet"/>
        <w:spacing w:line="360" w:lineRule="auto"/>
        <w:ind w:firstLine="0" w:left="567"/>
      </w:pPr>
      <w:r>
        <w:t>comparar consultas espaciais com e sem indexação GiST em massas de dados controladas;</w:t>
      </w:r>
    </w:p>
    <w:p>
      <w:pPr>
        <w:pStyle w:val="ListBullet"/>
        <w:spacing w:line="360" w:lineRule="auto"/>
        <w:ind w:firstLine="0" w:left="567"/>
      </w:pPr>
      <w:r>
        <w:t>medir latência das operações críticas e registrar ambiente, repetição, mediana e dispersão;</w:t>
      </w:r>
    </w:p>
    <w:p>
      <w:pPr>
        <w:pStyle w:val="ListBullet"/>
        <w:spacing w:line="360" w:lineRule="auto"/>
        <w:ind w:firstLine="0" w:left="567"/>
      </w:pPr>
      <w:r>
        <w:t>realizar testes funcionais, integração e usabilidade controlada;</w:t>
      </w:r>
    </w:p>
    <w:p>
      <w:pPr>
        <w:pStyle w:val="ListBullet"/>
        <w:spacing w:line="360" w:lineRule="auto"/>
        <w:ind w:firstLine="0" w:left="567"/>
      </w:pPr>
      <w:r>
        <w:t>documentar limitações e condições de validade do protótipo.</w:t>
      </w:r>
    </w:p>
    <w:p>
      <w:pPr>
        <w:pStyle w:val="Heading2"/>
      </w:pPr>
      <w:r>
        <w:t>1.5 Delimitação do Trabalho</w:t>
      </w:r>
    </w:p>
    <w:p>
      <w:pPr>
        <w:jc w:val="both"/>
      </w:pPr>
      <w:r>
        <w:rPr>
          <w:rFonts w:ascii="Times New Roman" w:hAnsi="Times New Roman"/>
          <w:b w:val="0"/>
          <w:sz w:val="24"/>
        </w:rPr>
        <w:t>O trabalho está delimitado a um MVP acadêmico. Não serão instalados sensores físicos, desenvolvidos modelos hidrológicos/hidráulicos, realizadas previsões oficiais de enchentes, implementados modelos de aprendizado de máquina, nem promovida integração institucional oficial com Defesa Civil ou prefeituras. O sistema não deverá ser apresentado como mecanismo de segurança crítica.</w:t>
      </w:r>
    </w:p>
    <w:p>
      <w:pPr>
        <w:jc w:val="both"/>
      </w:pPr>
      <w:r>
        <w:rPr>
          <w:rFonts w:ascii="Times New Roman" w:hAnsi="Times New Roman"/>
          <w:b w:val="0"/>
          <w:sz w:val="24"/>
        </w:rPr>
        <w:t>A aplicação será Android nativa. A interface utilizará XML/Views, escolha deliberada para reduzir curva de aprendizagem e risco de implementação, mantendo a equipe concentrada nos componentes centrais do TCC. A documentação oficial do Android confirma que layouts XML permitem separar apresentação do código de comportamento e adaptar recursos a diferentes configurações (ANDROID DEVELOPERS, 2026).</w:t>
      </w:r>
    </w:p>
    <w:p>
      <w:pPr>
        <w:jc w:val="both"/>
      </w:pPr>
      <w:r>
        <w:rPr>
          <w:rFonts w:ascii="Times New Roman" w:hAnsi="Times New Roman"/>
          <w:b w:val="0"/>
          <w:sz w:val="24"/>
        </w:rPr>
        <w:t>O piloto será inicialmente associado a São Caetano do Sul, conforme a definição inicial do grupo, mas a avaliação computacional poderá empregar dados simulados e áreas controladas quando necessário. Essa separação é importante: dados simulados são adequados para benchmark de banco, mas não comprovam acurácia hidrológica do IRA.</w:t>
      </w:r>
    </w:p>
    <w:p>
      <w:pPr>
        <w:jc w:val="both"/>
      </w:pPr>
      <w:r>
        <w:rPr>
          <w:rFonts w:ascii="Times New Roman" w:hAnsi="Times New Roman"/>
          <w:b w:val="0"/>
          <w:sz w:val="24"/>
        </w:rPr>
        <w:t>A geolocalização do usuário será minimizada. A ANPD inclui dados de geolocalização de telefone celular entre exemplos de dados pessoais; portanto, o protótipo deverá coletar apenas o necessário, explicitar finalidade e evitar armazenamento persistente de trajetórias ou identificadores desnecessários (ANPD, 2026).</w:t>
      </w:r>
    </w:p>
    <w:p>
      <w:pPr>
        <w:pStyle w:val="Heading2"/>
      </w:pPr>
      <w:r>
        <w:t>1.6 Organização do Trabalho</w:t>
      </w:r>
    </w:p>
    <w:p>
      <w:pPr>
        <w:jc w:val="both"/>
      </w:pPr>
      <w:r>
        <w:rPr>
          <w:rFonts w:ascii="Times New Roman" w:hAnsi="Times New Roman"/>
          <w:b w:val="0"/>
          <w:sz w:val="24"/>
        </w:rPr>
        <w:t>O trabalho está organizado em cinco seções primárias. A Seção 1 apresenta problema, justificativa, objetivos e delimitação. A Seção 2 reúne a fundamentação teórica sobre alagamentos urbanos, cidades inteligentes, georreferenciamento, bancos espaciais, desempenho, integração de sistemas, fusão de dados, regras de classificação, Android e trabalhos correlatos. A Seção 3 descreve a metodologia baseada em Design Science Research e o protocolo de avaliação. A Seção 4 apresenta o levantamento tecnológico e as decisões de arquitetura e fontes de dados. A Seção 5 especifica a solução, requisitos, modelo de dados, IRA, estratégia de benchmark, MVP e limitações. Resultados medidos deverão ser incorporados posteriormente, sem antecipação nesta versão.</w:t>
      </w:r>
    </w:p>
    <w:p>
      <w:pPr>
        <w:pStyle w:val="Heading1"/>
      </w:pPr>
      <w:r>
        <w:t>2 FUNDAMENTAÇÃO TEÓRICA</w:t>
      </w:r>
    </w:p>
    <w:p>
      <w:pPr>
        <w:pStyle w:val="Heading2"/>
      </w:pPr>
      <w:r>
        <w:t>2.1 Considerações Iniciais</w:t>
      </w:r>
    </w:p>
    <w:p>
      <w:pPr>
        <w:jc w:val="both"/>
      </w:pPr>
      <w:r>
        <w:rPr>
          <w:rFonts w:ascii="Times New Roman" w:hAnsi="Times New Roman"/>
          <w:b w:val="0"/>
          <w:sz w:val="24"/>
        </w:rPr>
        <w:t>A fundamentação conecta o problema urbano aos elementos computacionais que serão projetados e avaliados. O objetivo não é acumular definições, mas demonstrar por que cada decisão técnica decorre de um requisito do problema. Assim, dados colaborativos exigem discussão de qualidade; localização exige modelagem geoespacial; múltiplas fontes exigem normalização e fusão; classificação exige regras justificáveis; e desempenho exige experimento controlado.</w:t>
      </w:r>
    </w:p>
    <w:p>
      <w:pPr>
        <w:pStyle w:val="Heading2"/>
      </w:pPr>
      <w:r>
        <w:t>2.2 Alagamentos Urbanos</w:t>
      </w:r>
    </w:p>
    <w:p>
      <w:pPr>
        <w:pStyle w:val="Heading3"/>
      </w:pPr>
      <w:r>
        <w:t>2.2.1 Caracterização dos Alagamentos Urbanos</w:t>
      </w:r>
    </w:p>
    <w:p>
      <w:pPr>
        <w:jc w:val="both"/>
      </w:pPr>
      <w:r>
        <w:rPr>
          <w:rFonts w:ascii="Times New Roman" w:hAnsi="Times New Roman"/>
          <w:b w:val="0"/>
          <w:sz w:val="24"/>
        </w:rPr>
        <w:t>No contexto deste trabalho, alagamento é tratado como acúmulo temporário de água em superfície urbana associado à precipitação e à capacidade insuficiente de infiltração ou drenagem local. O termo não será utilizado como sinônimo irrestrito de inundação fluvial ou enxurrada. Essa distinção é necessária porque o artefato não modelará vazão de rios nem dinâmica hidráulica; ele trabalhará com indícios meteorológicos e ocorrências urbanas georreferenciadas.</w:t>
      </w:r>
    </w:p>
    <w:p>
      <w:pPr>
        <w:jc w:val="both"/>
      </w:pPr>
      <w:r>
        <w:rPr>
          <w:rFonts w:ascii="Times New Roman" w:hAnsi="Times New Roman"/>
          <w:b w:val="0"/>
          <w:sz w:val="24"/>
        </w:rPr>
        <w:t>A urbanização modifica o ciclo hidrológico ao aumentar superfícies impermeáveis e escoamento superficial. Em cidades, episódios de chuva intensa podem produzir efeitos localizados e rápidos, o que dificulta a observação por redes de baixa densidade espacial. O IPCC (2023) reforça a importância de adaptação a extremos climáticos, enquanto estudos de monitoramento urbano destacam a utilidade potencial de fontes cidadãs para complementar observações formais (HELMRICH et al., 2021).</w:t>
      </w:r>
    </w:p>
    <w:p>
      <w:pPr>
        <w:pStyle w:val="Heading3"/>
      </w:pPr>
      <w:r>
        <w:t>2.2.2 Sistemas de Monitoramento</w:t>
      </w:r>
    </w:p>
    <w:p>
      <w:pPr>
        <w:jc w:val="both"/>
      </w:pPr>
      <w:r>
        <w:rPr>
          <w:rFonts w:ascii="Times New Roman" w:hAnsi="Times New Roman"/>
          <w:b w:val="0"/>
          <w:sz w:val="24"/>
        </w:rPr>
        <w:t>Monitoramento hidrológico e meteorológico emprega instrumentos, estações, radares, modelos e redes de observação. O CEMADEN informa que sua rede de pluviômetros automáticos mede quantidade e intensidade de chuva para apoiar análise de cenários de risco e emissão de alertas. Esses dados, contudo, não eliminam a necessidade de controle de qualidade e contextualização (CEMADEN, 2026).</w:t>
      </w:r>
    </w:p>
    <w:p>
      <w:pPr>
        <w:jc w:val="both"/>
      </w:pPr>
      <w:r>
        <w:rPr>
          <w:rFonts w:ascii="Times New Roman" w:hAnsi="Times New Roman"/>
          <w:b w:val="0"/>
          <w:sz w:val="24"/>
        </w:rPr>
        <w:t>O monitoramento colaborativo complementa fontes institucionais com observações locais. Helmrich et al. (2021) mostram que crowdsourcing pode fornecer dados em escalas espaciais finas, mas qualidade, consistência e continuidade de participação permanecem desafios. Songchon, Wright e Beevers (2021) também demonstram a necessidade de avaliar qualidade de dados colaborativos com atributos espaço-temporais. Logo, o sistema proposto armazenará proveniência e tratará contribuições como evidências, não como medições instrumentais equivalentes.</w:t>
      </w:r>
    </w:p>
    <w:p>
      <w:pPr>
        <w:pStyle w:val="Heading2"/>
      </w:pPr>
      <w:r>
        <w:t>2.3 Cidades Inteligentes e Dados Urbanos</w:t>
      </w:r>
    </w:p>
    <w:p>
      <w:pPr>
        <w:jc w:val="both"/>
      </w:pPr>
      <w:r>
        <w:rPr>
          <w:rFonts w:ascii="Times New Roman" w:hAnsi="Times New Roman"/>
          <w:b w:val="0"/>
          <w:sz w:val="24"/>
        </w:rPr>
        <w:t>A ISO 37106:2022 associa modelos de cidades inteligentes à integração de sistemas e dados para produzir serviços mais coordenados e orientados às necessidades da população. Para este TCC, o conceito é usado de forma restrita: o artefato é um serviço digital urbano experimental, não uma plataforma de cidade inteligente completa. Essa delimitação evita ampliar indevidamente o escopo.</w:t>
      </w:r>
    </w:p>
    <w:p>
      <w:pPr>
        <w:pStyle w:val="Heading2"/>
      </w:pPr>
      <w:r>
        <w:t>2.4 Georreferenciamento e Sistemas de Informação Geográfica</w:t>
      </w:r>
    </w:p>
    <w:p>
      <w:pPr>
        <w:jc w:val="both"/>
      </w:pPr>
      <w:r>
        <w:rPr>
          <w:rFonts w:ascii="Times New Roman" w:hAnsi="Times New Roman"/>
          <w:b w:val="0"/>
          <w:sz w:val="24"/>
        </w:rPr>
        <w:t>Georreferenciamento associa entidades a posições em um sistema de referência espacial. Em aplicações urbanas, ocorrências podem ser representadas como pontos; áreas de interesse, como polígonos; e vias, como linhas. A escolha entre tipos geometry e geography no PostGIS deve considerar sistema de referência, extensão da área e tipo de cálculo. Para um piloto municipal, geometry com SRID apropriado pode favorecer desempenho; para distâncias geodésicas, geography pode ser utilizada conforme a operação (OBE; HSU, 2021).</w:t>
      </w:r>
    </w:p>
    <w:p>
      <w:pPr>
        <w:jc w:val="both"/>
      </w:pPr>
      <w:r>
        <w:rPr>
          <w:rFonts w:ascii="Times New Roman" w:hAnsi="Times New Roman"/>
          <w:b w:val="0"/>
          <w:sz w:val="24"/>
        </w:rPr>
        <w:t>Consultas relevantes incluem proximidade, contenção, interseção e vizinhança. Funções como ST_Intersects, ST_Within e ST_DWithin são index-aware em condições apropriadas, permitindo que o banco utilize filtro por bounding box antes da verificação espacial exata (POSTGIS, 2026).</w:t>
      </w:r>
    </w:p>
    <w:p>
      <w:pPr>
        <w:pStyle w:val="Heading2"/>
      </w:pPr>
      <w:r>
        <w:t>2.5 Bancos de Dados Geoespaciais</w:t>
      </w:r>
    </w:p>
    <w:p>
      <w:pPr>
        <w:jc w:val="both"/>
      </w:pPr>
      <w:r>
        <w:rPr>
          <w:rFonts w:ascii="Times New Roman" w:hAnsi="Times New Roman"/>
          <w:b w:val="0"/>
          <w:sz w:val="24"/>
        </w:rPr>
        <w:t>Um banco espacial estende o modelo relacional com tipos, operadores, sistemas de referência e índices adequados a objetos multidimensionais. O PostGIS amplia PostgreSQL para tarefas de geodados e oferece operações de proximidade, relações espaciais e transformação de coordenadas (OBE; HSU, 2021).</w:t>
      </w:r>
    </w:p>
    <w:p>
      <w:pPr>
        <w:jc w:val="both"/>
      </w:pPr>
      <w:r>
        <w:rPr>
          <w:rFonts w:ascii="Times New Roman" w:hAnsi="Times New Roman"/>
          <w:b w:val="0"/>
          <w:sz w:val="24"/>
        </w:rPr>
        <w:t>GiST é a estratégia principal prevista para o MVP. A documentação do PostGIS informa que GiST implementa indexação espacial baseada em R-tree e é o método espacial mais comum e versátil. SP-GiST e BRIN existem como alternativas para distribuições e cargas específicas, mas não serão adotados automaticamente; poderão ser discutidos ou testados apenas se houver tempo e justificativa experimental (POSTGIS, 2026).</w:t>
      </w:r>
    </w:p>
    <w:p>
      <w:pPr>
        <w:pStyle w:val="Heading2"/>
      </w:pPr>
      <w:r>
        <w:t>2.6 Desempenho, Latência e Avaliação de Consultas Espaciais</w:t>
      </w:r>
    </w:p>
    <w:p>
      <w:pPr>
        <w:jc w:val="both"/>
      </w:pPr>
      <w:r>
        <w:rPr>
          <w:rFonts w:ascii="Times New Roman" w:hAnsi="Times New Roman"/>
          <w:b w:val="0"/>
          <w:sz w:val="24"/>
        </w:rPr>
        <w:t>Índices podem reduzir o trabalho de busca, mas introduzem custo de armazenamento e manutenção. O PostgreSQL recomenda uso criterioso de índices e fornece mecanismos para examinar planos de execução. Por isso, este trabalho não atribuirá uma complexidade assintótica universal às consultas espaciais. O desempenho será observado empiricamente, pois depende de seletividade, distribuição dos dados, cache, hardware, predicados e plano escolhido pelo otimizador (POSTGRESQL, 2026).</w:t>
      </w:r>
    </w:p>
    <w:p>
      <w:pPr>
        <w:jc w:val="both"/>
      </w:pPr>
      <w:r>
        <w:rPr>
          <w:rFonts w:ascii="Times New Roman" w:hAnsi="Times New Roman"/>
          <w:b w:val="0"/>
          <w:sz w:val="24"/>
        </w:rPr>
        <w:t>O benchmark utilizará consultas representativas do sistema, como “ocorrências em um raio”, “ocorrências dentro de área” e “vizinhos mais próximos”. Serão comparadas versões com e sem índice, mantendo consulta, ambiente e dados constantes. Cada cenário terá aquecimento, repetições e registro de mediana e dispersão. `EXPLAIN (ANALYZE, BUFFERS)` será utilizado para documentar plano e custo observado.</w:t>
      </w:r>
    </w:p>
    <w:p>
      <w:pPr>
        <w:pStyle w:val="Heading2"/>
      </w:pPr>
      <w:r>
        <w:t>2.7 Integração de Sistemas e APIs REST</w:t>
      </w:r>
    </w:p>
    <w:p>
      <w:pPr>
        <w:jc w:val="both"/>
      </w:pPr>
      <w:r>
        <w:rPr>
          <w:rFonts w:ascii="Times New Roman" w:hAnsi="Times New Roman"/>
          <w:b w:val="0"/>
          <w:sz w:val="24"/>
        </w:rPr>
        <w:t>A arquitetura empregará HTTP/JSON e serviços REST para desacoplar aplicativo, backend e fontes externas. FastAPI foi escolhido porque utiliza padrões OpenAPI e JSON Schema e gera documentação interativa automaticamente, facilitando contratos e testes entre integrantes da equipe (FASTAPI, 2026).</w:t>
      </w:r>
    </w:p>
    <w:p>
      <w:pPr>
        <w:jc w:val="both"/>
      </w:pPr>
      <w:r>
        <w:rPr>
          <w:rFonts w:ascii="Times New Roman" w:hAnsi="Times New Roman"/>
          <w:b w:val="0"/>
          <w:sz w:val="24"/>
        </w:rPr>
        <w:t>Integração não significa apenas repassar respostas externas. O backend deverá converter formatos, unidades, fusos horários, códigos de condição e metadados para um modelo interno canônico, permitindo substituir provedores sem alterar a lógica do aplicativo.</w:t>
      </w:r>
    </w:p>
    <w:p>
      <w:pPr>
        <w:pStyle w:val="Heading2"/>
      </w:pPr>
      <w:r>
        <w:t>2.8 Fusão e Qualidade de Dados</w:t>
      </w:r>
    </w:p>
    <w:p>
      <w:pPr>
        <w:jc w:val="both"/>
      </w:pPr>
      <w:r>
        <w:rPr>
          <w:rFonts w:ascii="Times New Roman" w:hAnsi="Times New Roman"/>
          <w:b w:val="0"/>
          <w:sz w:val="24"/>
        </w:rPr>
        <w:t>Fusão de dados, neste TCC, significa combinar evidências heterogêneas preservando origem e incerteza. Não se pressupõe que duas fontes meteorológicas sejam independentes nem igualmente precisas. O sistema deverá registrar provedor, instante de referência, instante de coleta, coordenadas, unidade e valor original, e somente depois gerar valores normalizados.</w:t>
      </w:r>
    </w:p>
    <w:p>
      <w:pPr>
        <w:jc w:val="both"/>
      </w:pPr>
      <w:r>
        <w:rPr>
          <w:rFonts w:ascii="Times New Roman" w:hAnsi="Times New Roman"/>
          <w:b w:val="0"/>
          <w:sz w:val="24"/>
        </w:rPr>
        <w:t>Divergências não serão “resolvidas” por média automática sem justificativa. A regra poderá selecionar fonte prioritária por disponibilidade e proximidade temporal, usar agregação robusta quando variáveis forem comparáveis ou marcar inconsistência quando a diferença exceder limiar definido. O procedimento escolhido deverá ser reproduzível e documentado.</w:t>
      </w:r>
    </w:p>
    <w:p>
      <w:pPr>
        <w:pStyle w:val="Heading2"/>
      </w:pPr>
      <w:r>
        <w:t>2.9 Sistemas Baseados em Regras e Índices Compostos</w:t>
      </w:r>
    </w:p>
    <w:p>
      <w:pPr>
        <w:jc w:val="both"/>
      </w:pPr>
      <w:r>
        <w:rPr>
          <w:rFonts w:ascii="Times New Roman" w:hAnsi="Times New Roman"/>
          <w:b w:val="0"/>
          <w:sz w:val="24"/>
        </w:rPr>
        <w:t>O IRA será implementado como índice composto baseado em regras e pesos, opção compatível com um MVP por oferecer transparência e rastreabilidade. Cada componente deverá ser normalizado para escala comum e ter justificativa. O índice não será denominado “probabilidade” de alagamento, pois não haverá calibração probabilística nem modelo hidrológico capaz de sustentar tal interpretação.</w:t>
      </w:r>
    </w:p>
    <w:p>
      <w:pPr>
        <w:jc w:val="both"/>
      </w:pPr>
      <w:r>
        <w:rPr>
          <w:rFonts w:ascii="Times New Roman" w:hAnsi="Times New Roman"/>
          <w:b w:val="0"/>
          <w:sz w:val="24"/>
        </w:rPr>
        <w:t>Caso seja utilizado AHP para apoiar a definição de pesos, sua aplicação deverá seguir comparação pareada, cálculo de prioridades e verificação de consistência. AHP não será usado apenas para “dar aparência científica” a pesos escolhidos pelos próprios autores; se não houver base suficiente ou especialistas, será preferível adotar pesos provisórios derivados da literatura e realizar análise de sensibilidade, deixando explícita a limitação.</w:t>
      </w:r>
    </w:p>
    <w:p>
      <w:pPr>
        <w:pStyle w:val="Heading2"/>
      </w:pPr>
      <w:r>
        <w:t>2.10 Desenvolvimento Android com Kotlin e XML</w:t>
      </w:r>
    </w:p>
    <w:p>
      <w:pPr>
        <w:jc w:val="both"/>
      </w:pPr>
      <w:r>
        <w:rPr>
          <w:rFonts w:ascii="Times New Roman" w:hAnsi="Times New Roman"/>
          <w:b w:val="0"/>
          <w:sz w:val="24"/>
        </w:rPr>
        <w:t>A interface móvel será desenvolvida com Android Views e XML. A documentação oficial informa que layouts XML separam apresentação do código de comportamento e permitem recursos alternativos para tamanhos e orientações de tela. View Binding poderá ser utilizado para acesso tipado às Views, reduzindo dependência de `findViewById` (ANDROID DEVELOPERS, 2026).</w:t>
      </w:r>
    </w:p>
    <w:p>
      <w:pPr>
        <w:jc w:val="both"/>
      </w:pPr>
      <w:r>
        <w:rPr>
          <w:rFonts w:ascii="Times New Roman" w:hAnsi="Times New Roman"/>
          <w:b w:val="0"/>
          <w:sz w:val="24"/>
        </w:rPr>
        <w:t>A retirada do Jetpack Compose não representa juízo de inferioridade tecnológica. Trata-se de decisão de gestão de risco do projeto: a equipe deve concentrar esforço em integração, geodados, IRA e avaliação, evitando ampliar a superfície de aprendizagem da camada visual.</w:t>
      </w:r>
    </w:p>
    <w:p>
      <w:pPr>
        <w:pStyle w:val="Heading2"/>
      </w:pPr>
      <w:r>
        <w:t>2.11 Engenharia de Software e Arquitetura em Camadas</w:t>
      </w:r>
    </w:p>
    <w:p>
      <w:pPr>
        <w:jc w:val="both"/>
      </w:pPr>
      <w:r>
        <w:rPr>
          <w:rFonts w:ascii="Times New Roman" w:hAnsi="Times New Roman"/>
          <w:b w:val="0"/>
          <w:sz w:val="24"/>
        </w:rPr>
        <w:t>A solução será organizada em apresentação, serviços/domínio, integração e persistência. Essa separação busca reduzir acoplamento, facilitar testes e permitir substituição de provedores. O backend concentrará normalização, regras do IRA e acesso ao banco; o aplicativo não deverá duplicar regras de negócio críticas.</w:t>
      </w:r>
    </w:p>
    <w:p>
      <w:pPr>
        <w:pStyle w:val="Heading2"/>
      </w:pPr>
      <w:r>
        <w:t>2.12 Privacidade e Proteção de Dados</w:t>
      </w:r>
    </w:p>
    <w:p>
      <w:pPr>
        <w:jc w:val="both"/>
      </w:pPr>
      <w:r>
        <w:rPr>
          <w:rFonts w:ascii="Times New Roman" w:hAnsi="Times New Roman"/>
          <w:b w:val="0"/>
          <w:sz w:val="24"/>
        </w:rPr>
        <w:t>Geolocalização pode identificar ou tornar identificável uma pessoa. A ANPD inclui dados de geolocalização de telefone celular como exemplo de dado pessoal. Por isso, o MVP adotará minimização: a localização será utilizada para contexto da ocorrência e consultas, evitando armazenamento contínuo de trajetórias. Identificadores de usuário, se necessários, serão pseudonimizados e separados dos dados de ocorrência (ANPD, 2026).</w:t>
      </w:r>
    </w:p>
    <w:p>
      <w:pPr>
        <w:pStyle w:val="Heading2"/>
      </w:pPr>
      <w:r>
        <w:t>2.13 Trabalhos e Soluções Correlatas</w:t>
      </w:r>
    </w:p>
    <w:p>
      <w:pPr>
        <w:jc w:val="both"/>
      </w:pPr>
      <w:r>
        <w:rPr>
          <w:rFonts w:ascii="Times New Roman" w:hAnsi="Times New Roman"/>
          <w:b w:val="0"/>
          <w:sz w:val="24"/>
        </w:rPr>
        <w:t>Soluções comerciais de mapas e navegação oferecem trânsito, rotas e informações contextuais; órgãos como CEMADEN oferecem monitoramento e alertas institucionais; estudos acadêmicos exploram crowdsourcing e dados cidadãos para enchentes. O diferencial pretendido neste TCC não é competir com essas plataformas em cobertura, mas combinar, em um artefato acadêmico reprodutível, múltiplas fontes meteorológicas, registros colaborativos, processamento geoespacial e um índice transparente, acompanhado de avaliação experimental de desempenho.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rFonts w:ascii="Times New Roman" w:hAnsi="Times New Roman"/>
                <w:b/>
                <w:sz w:val="20"/>
              </w:rPr>
              <w:t>Aspecto</w:t>
            </w:r>
          </w:p>
        </w:tc>
        <w:tc>
          <w:tcPr>
            <w:tcW w:type="dxa" w:w="2351"/>
            <w:vAlign w:val="center"/>
          </w:tcPr>
          <w:p>
            <w:r>
              <w:rPr>
                <w:rFonts w:ascii="Times New Roman" w:hAnsi="Times New Roman"/>
                <w:b/>
                <w:sz w:val="20"/>
              </w:rPr>
              <w:t>Soluções de navegação</w:t>
            </w:r>
          </w:p>
        </w:tc>
        <w:tc>
          <w:tcPr>
            <w:tcW w:type="dxa" w:w="2351"/>
            <w:vAlign w:val="center"/>
          </w:tcPr>
          <w:p>
            <w:r>
              <w:rPr>
                <w:rFonts w:ascii="Times New Roman" w:hAnsi="Times New Roman"/>
                <w:b/>
                <w:sz w:val="20"/>
              </w:rPr>
              <w:t>Monitoramento institucional</w:t>
            </w:r>
          </w:p>
        </w:tc>
        <w:tc>
          <w:tcPr>
            <w:tcW w:type="dxa" w:w="2351"/>
            <w:vAlign w:val="center"/>
          </w:tcPr>
          <w:p>
            <w:r>
              <w:rPr>
                <w:rFonts w:ascii="Times New Roman" w:hAnsi="Times New Roman"/>
                <w:b/>
                <w:sz w:val="20"/>
              </w:rPr>
              <w:t>Sistema proposto</w:t>
            </w:r>
          </w:p>
        </w:tc>
      </w:tr>
      <w:tr>
        <w:tc>
          <w:tcPr>
            <w:tcW w:type="dxa" w:w="2351"/>
            <w:vAlign w:val="center"/>
          </w:tcPr>
          <w:p>
            <w:pPr>
              <w:spacing w:line="240" w:lineRule="auto"/>
              <w:ind w:firstLine="0"/>
            </w:pPr>
            <w:r>
              <w:rPr>
                <w:rFonts w:ascii="Times New Roman" w:hAnsi="Times New Roman"/>
                <w:sz w:val="18"/>
              </w:rPr>
              <w:t>Objetivo principal</w:t>
            </w:r>
          </w:p>
        </w:tc>
        <w:tc>
          <w:tcPr>
            <w:tcW w:type="dxa" w:w="2351"/>
            <w:vAlign w:val="center"/>
          </w:tcPr>
          <w:p>
            <w:pPr>
              <w:spacing w:line="240" w:lineRule="auto"/>
              <w:ind w:firstLine="0"/>
            </w:pPr>
            <w:r>
              <w:rPr>
                <w:rFonts w:ascii="Times New Roman" w:hAnsi="Times New Roman"/>
                <w:sz w:val="18"/>
              </w:rPr>
              <w:t>Mobilidade/rotas</w:t>
            </w:r>
          </w:p>
        </w:tc>
        <w:tc>
          <w:tcPr>
            <w:tcW w:type="dxa" w:w="2351"/>
            <w:vAlign w:val="center"/>
          </w:tcPr>
          <w:p>
            <w:pPr>
              <w:spacing w:line="240" w:lineRule="auto"/>
              <w:ind w:firstLine="0"/>
            </w:pPr>
            <w:r>
              <w:rPr>
                <w:rFonts w:ascii="Times New Roman" w:hAnsi="Times New Roman"/>
                <w:sz w:val="18"/>
              </w:rPr>
              <w:t>Monitoramento e alerta oficial</w:t>
            </w:r>
          </w:p>
        </w:tc>
        <w:tc>
          <w:tcPr>
            <w:tcW w:type="dxa" w:w="2351"/>
            <w:vAlign w:val="center"/>
          </w:tcPr>
          <w:p>
            <w:pPr>
              <w:spacing w:line="240" w:lineRule="auto"/>
              <w:ind w:firstLine="0"/>
            </w:pPr>
            <w:r>
              <w:rPr>
                <w:rFonts w:ascii="Times New Roman" w:hAnsi="Times New Roman"/>
                <w:sz w:val="18"/>
              </w:rPr>
              <w:t>MVP acadêmico de integração e classificação</w:t>
            </w:r>
          </w:p>
        </w:tc>
      </w:tr>
      <w:tr>
        <w:tc>
          <w:tcPr>
            <w:tcW w:type="dxa" w:w="2351"/>
            <w:vAlign w:val="center"/>
          </w:tcPr>
          <w:p>
            <w:pPr>
              <w:spacing w:line="240" w:lineRule="auto"/>
              <w:ind w:firstLine="0"/>
            </w:pPr>
            <w:r>
              <w:rPr>
                <w:rFonts w:ascii="Times New Roman" w:hAnsi="Times New Roman"/>
                <w:sz w:val="18"/>
              </w:rPr>
              <w:t>Dados colaborativos</w:t>
            </w:r>
          </w:p>
        </w:tc>
        <w:tc>
          <w:tcPr>
            <w:tcW w:type="dxa" w:w="2351"/>
            <w:vAlign w:val="center"/>
          </w:tcPr>
          <w:p>
            <w:pPr>
              <w:spacing w:line="240" w:lineRule="auto"/>
              <w:ind w:firstLine="0"/>
            </w:pPr>
            <w:r>
              <w:rPr>
                <w:rFonts w:ascii="Times New Roman" w:hAnsi="Times New Roman"/>
                <w:sz w:val="18"/>
              </w:rPr>
              <w:t>Podem existir</w:t>
            </w:r>
          </w:p>
        </w:tc>
        <w:tc>
          <w:tcPr>
            <w:tcW w:type="dxa" w:w="2351"/>
            <w:vAlign w:val="center"/>
          </w:tcPr>
          <w:p>
            <w:pPr>
              <w:spacing w:line="240" w:lineRule="auto"/>
              <w:ind w:firstLine="0"/>
            </w:pPr>
            <w:r>
              <w:rPr>
                <w:rFonts w:ascii="Times New Roman" w:hAnsi="Times New Roman"/>
                <w:sz w:val="18"/>
              </w:rPr>
              <w:t>Não são necessariamente centrais</w:t>
            </w:r>
          </w:p>
        </w:tc>
        <w:tc>
          <w:tcPr>
            <w:tcW w:type="dxa" w:w="2351"/>
            <w:vAlign w:val="center"/>
          </w:tcPr>
          <w:p>
            <w:pPr>
              <w:spacing w:line="240" w:lineRule="auto"/>
              <w:ind w:firstLine="0"/>
            </w:pPr>
            <w:r>
              <w:rPr>
                <w:rFonts w:ascii="Times New Roman" w:hAnsi="Times New Roman"/>
                <w:sz w:val="18"/>
              </w:rPr>
              <w:t>Sim, com proveniência e validação mínima</w:t>
            </w:r>
          </w:p>
        </w:tc>
      </w:tr>
      <w:tr>
        <w:tc>
          <w:tcPr>
            <w:tcW w:type="dxa" w:w="2351"/>
            <w:vAlign w:val="center"/>
          </w:tcPr>
          <w:p>
            <w:pPr>
              <w:spacing w:line="240" w:lineRule="auto"/>
              <w:ind w:firstLine="0"/>
            </w:pPr>
            <w:r>
              <w:rPr>
                <w:rFonts w:ascii="Times New Roman" w:hAnsi="Times New Roman"/>
                <w:sz w:val="18"/>
              </w:rPr>
              <w:t>Múltiplas fontes meteorológicas</w:t>
            </w:r>
          </w:p>
        </w:tc>
        <w:tc>
          <w:tcPr>
            <w:tcW w:type="dxa" w:w="2351"/>
            <w:vAlign w:val="center"/>
          </w:tcPr>
          <w:p>
            <w:pPr>
              <w:spacing w:line="240" w:lineRule="auto"/>
              <w:ind w:firstLine="0"/>
            </w:pPr>
            <w:r>
              <w:rPr>
                <w:rFonts w:ascii="Times New Roman" w:hAnsi="Times New Roman"/>
                <w:sz w:val="18"/>
              </w:rPr>
              <w:t>Não é transparente ao usuário</w:t>
            </w:r>
          </w:p>
        </w:tc>
        <w:tc>
          <w:tcPr>
            <w:tcW w:type="dxa" w:w="2351"/>
            <w:vAlign w:val="center"/>
          </w:tcPr>
          <w:p>
            <w:pPr>
              <w:spacing w:line="240" w:lineRule="auto"/>
              <w:ind w:firstLine="0"/>
            </w:pPr>
            <w:r>
              <w:rPr>
                <w:rFonts w:ascii="Times New Roman" w:hAnsi="Times New Roman"/>
                <w:sz w:val="18"/>
              </w:rPr>
              <w:t>Pode integrar redes próprias</w:t>
            </w:r>
          </w:p>
        </w:tc>
        <w:tc>
          <w:tcPr>
            <w:tcW w:type="dxa" w:w="2351"/>
            <w:vAlign w:val="center"/>
          </w:tcPr>
          <w:p>
            <w:pPr>
              <w:spacing w:line="240" w:lineRule="auto"/>
              <w:ind w:firstLine="0"/>
            </w:pPr>
            <w:r>
              <w:rPr>
                <w:rFonts w:ascii="Times New Roman" w:hAnsi="Times New Roman"/>
                <w:sz w:val="18"/>
              </w:rPr>
              <w:t>Integração explícita e documentada</w:t>
            </w:r>
          </w:p>
        </w:tc>
      </w:tr>
      <w:tr>
        <w:tc>
          <w:tcPr>
            <w:tcW w:type="dxa" w:w="2351"/>
            <w:vAlign w:val="center"/>
          </w:tcPr>
          <w:p>
            <w:pPr>
              <w:spacing w:line="240" w:lineRule="auto"/>
              <w:ind w:firstLine="0"/>
            </w:pPr>
            <w:r>
              <w:rPr>
                <w:rFonts w:ascii="Times New Roman" w:hAnsi="Times New Roman"/>
                <w:sz w:val="18"/>
              </w:rPr>
              <w:t>Índice próprio transparente</w:t>
            </w:r>
          </w:p>
        </w:tc>
        <w:tc>
          <w:tcPr>
            <w:tcW w:type="dxa" w:w="2351"/>
            <w:vAlign w:val="center"/>
          </w:tcPr>
          <w:p>
            <w:pPr>
              <w:spacing w:line="240" w:lineRule="auto"/>
              <w:ind w:firstLine="0"/>
            </w:pPr>
            <w:r>
              <w:rPr>
                <w:rFonts w:ascii="Times New Roman" w:hAnsi="Times New Roman"/>
                <w:sz w:val="18"/>
              </w:rPr>
              <w:t>Não aplicável/fechado</w:t>
            </w:r>
          </w:p>
        </w:tc>
        <w:tc>
          <w:tcPr>
            <w:tcW w:type="dxa" w:w="2351"/>
            <w:vAlign w:val="center"/>
          </w:tcPr>
          <w:p>
            <w:pPr>
              <w:spacing w:line="240" w:lineRule="auto"/>
              <w:ind w:firstLine="0"/>
            </w:pPr>
            <w:r>
              <w:rPr>
                <w:rFonts w:ascii="Times New Roman" w:hAnsi="Times New Roman"/>
                <w:sz w:val="18"/>
              </w:rPr>
              <w:t>Critérios institucionais</w:t>
            </w:r>
          </w:p>
        </w:tc>
        <w:tc>
          <w:tcPr>
            <w:tcW w:type="dxa" w:w="2351"/>
            <w:vAlign w:val="center"/>
          </w:tcPr>
          <w:p>
            <w:pPr>
              <w:spacing w:line="240" w:lineRule="auto"/>
              <w:ind w:firstLine="0"/>
            </w:pPr>
            <w:r>
              <w:rPr>
                <w:rFonts w:ascii="Times New Roman" w:hAnsi="Times New Roman"/>
                <w:sz w:val="18"/>
              </w:rPr>
              <w:t>IRA experimental com regras publicadas</w:t>
            </w:r>
          </w:p>
        </w:tc>
      </w:tr>
      <w:tr>
        <w:tc>
          <w:tcPr>
            <w:tcW w:type="dxa" w:w="2351"/>
            <w:vAlign w:val="center"/>
          </w:tcPr>
          <w:p>
            <w:pPr>
              <w:spacing w:line="240" w:lineRule="auto"/>
              <w:ind w:firstLine="0"/>
            </w:pPr>
            <w:r>
              <w:rPr>
                <w:rFonts w:ascii="Times New Roman" w:hAnsi="Times New Roman"/>
                <w:sz w:val="18"/>
              </w:rPr>
              <w:t>Benchmark de banco espacial</w:t>
            </w:r>
          </w:p>
        </w:tc>
        <w:tc>
          <w:tcPr>
            <w:tcW w:type="dxa" w:w="2351"/>
            <w:vAlign w:val="center"/>
          </w:tcPr>
          <w:p>
            <w:pPr>
              <w:spacing w:line="240" w:lineRule="auto"/>
              <w:ind w:firstLine="0"/>
            </w:pPr>
            <w:r>
              <w:rPr>
                <w:rFonts w:ascii="Times New Roman" w:hAnsi="Times New Roman"/>
                <w:sz w:val="18"/>
              </w:rPr>
              <w:t>Não exposto</w:t>
            </w:r>
          </w:p>
        </w:tc>
        <w:tc>
          <w:tcPr>
            <w:tcW w:type="dxa" w:w="2351"/>
            <w:vAlign w:val="center"/>
          </w:tcPr>
          <w:p>
            <w:pPr>
              <w:spacing w:line="240" w:lineRule="auto"/>
              <w:ind w:firstLine="0"/>
            </w:pPr>
            <w:r>
              <w:rPr>
                <w:rFonts w:ascii="Times New Roman" w:hAnsi="Times New Roman"/>
                <w:sz w:val="18"/>
              </w:rPr>
              <w:t>Não é foco público</w:t>
            </w:r>
          </w:p>
        </w:tc>
        <w:tc>
          <w:tcPr>
            <w:tcW w:type="dxa" w:w="2351"/>
            <w:vAlign w:val="center"/>
          </w:tcPr>
          <w:p>
            <w:pPr>
              <w:spacing w:line="240" w:lineRule="auto"/>
              <w:ind w:firstLine="0"/>
            </w:pPr>
            <w:r>
              <w:rPr>
                <w:rFonts w:ascii="Times New Roman" w:hAnsi="Times New Roman"/>
                <w:sz w:val="18"/>
              </w:rPr>
              <w:t>Parte explícita da avaliação</w:t>
            </w:r>
          </w:p>
        </w:tc>
      </w:tr>
    </w:tbl>
    <w:p>
      <w:pPr>
        <w:pStyle w:val="Heading2"/>
      </w:pPr>
      <w:r>
        <w:t>2.14 Síntese da Fundamentação</w:t>
      </w:r>
    </w:p>
    <w:p>
      <w:pPr>
        <w:jc w:val="both"/>
      </w:pPr>
      <w:r>
        <w:rPr>
          <w:rFonts w:ascii="Times New Roman" w:hAnsi="Times New Roman"/>
          <w:b w:val="0"/>
          <w:sz w:val="24"/>
        </w:rPr>
        <w:t>A literatura sustenta quatro decisões centrais: dados colaborativos podem complementar observações, mas exigem controle de qualidade; dados geográficos demandam estruturas espaciais apropriadas; múltiplas fontes exigem normalização e proveniência; e a contribuição científica deve ser avaliada por critérios reproduzíveis. Esses fundamentos orientam a metodologia apresentada a seguir.</w:t>
      </w:r>
    </w:p>
    <w:p>
      <w:pPr>
        <w:pStyle w:val="Heading1"/>
      </w:pPr>
      <w:r>
        <w:t>3 METODOLOGIA</w:t>
      </w:r>
    </w:p>
    <w:p>
      <w:pPr>
        <w:pStyle w:val="Heading2"/>
      </w:pPr>
      <w:r>
        <w:t>3.1 Caracterização da Pesquisa</w:t>
      </w:r>
    </w:p>
    <w:p>
      <w:pPr>
        <w:jc w:val="both"/>
      </w:pPr>
      <w:r>
        <w:rPr>
          <w:rFonts w:ascii="Times New Roman" w:hAnsi="Times New Roman"/>
          <w:b w:val="0"/>
          <w:sz w:val="24"/>
        </w:rPr>
        <w:t>A pesquisa é aplicada, de abordagem predominantemente quantitativa na avaliação de desempenho e qualitativa/descritiva na análise de requisitos, fontes e usabilidade. O produto central é um artefato computacional. Por essa razão, adota-se Design Science Research (DSR), abordagem voltada à construção e avaliação de artefatos destinados a resolver classes de problemas reais (DRESCH; LACERDA; ANTUNES JÚNIOR, 2015; HEVNER et al., 2004).</w:t>
      </w:r>
    </w:p>
    <w:p>
      <w:pPr>
        <w:pStyle w:val="Heading2"/>
      </w:pPr>
      <w:r>
        <w:t>3.2 Ciclo de Design Science Research</w:t>
      </w:r>
    </w:p>
    <w:p>
      <w:pPr>
        <w:jc w:val="both"/>
      </w:pPr>
      <w:r>
        <w:rPr>
          <w:rFonts w:ascii="Times New Roman" w:hAnsi="Times New Roman"/>
          <w:b w:val="0"/>
          <w:sz w:val="24"/>
        </w:rPr>
        <w:t>O ciclo será operacionalizado em seis etapas: (1) explicitação do problema; (2) definição dos objetivos do artefato; (3) projeto e desenvolvimento; (4) demonstração em cenário controlado; (5) avaliação por testes e experimentos; e (6) comunicação dos resultados. A avaliação não será adiada para o final: decisões de fonte, modelo espacial e regras do IRA serão verificadas incrementalmente.</w:t>
      </w:r>
    </w:p>
    <w:p>
      <w:pPr>
        <w:pStyle w:val="Heading2"/>
      </w:pPr>
      <w:r>
        <w:t>3.3 Unidade de Análise e Cenário</w:t>
      </w:r>
    </w:p>
    <w:p>
      <w:pPr>
        <w:jc w:val="both"/>
      </w:pPr>
      <w:r>
        <w:rPr>
          <w:rFonts w:ascii="Times New Roman" w:hAnsi="Times New Roman"/>
          <w:b w:val="0"/>
          <w:sz w:val="24"/>
        </w:rPr>
        <w:t>A unidade de análise computacional é a ocorrência georreferenciada associada a contexto meteorológico e temporal. O cenário piloto inicial é São Caetano do Sul, conforme definição do grupo. Para benchmark, serão utilizadas massas sintéticas distribuídas espacialmente, pois o objetivo é testar comportamento computacional e não reconstruir estatisticamente a hidrologia municipal.</w:t>
      </w:r>
    </w:p>
    <w:p>
      <w:pPr>
        <w:pStyle w:val="Heading2"/>
      </w:pPr>
      <w:r>
        <w:t>3.4 Premissas Metodológicas</w:t>
      </w:r>
    </w:p>
    <w:p>
      <w:pPr>
        <w:pStyle w:val="ListBullet"/>
        <w:spacing w:line="360" w:lineRule="auto"/>
        <w:ind w:firstLine="0" w:left="567"/>
      </w:pPr>
      <w:r>
        <w:t>fontes externas podem falhar ou divergir; por isso, o sistema deve registrar proveniência e operar com degradação controlada;</w:t>
      </w:r>
    </w:p>
    <w:p>
      <w:pPr>
        <w:pStyle w:val="ListBullet"/>
        <w:spacing w:line="360" w:lineRule="auto"/>
        <w:ind w:firstLine="0" w:left="567"/>
      </w:pPr>
      <w:r>
        <w:t>relatos colaborativos são observações não instrumentais e não podem receber o mesmo status de uma estação meteorológica;</w:t>
      </w:r>
    </w:p>
    <w:p>
      <w:pPr>
        <w:pStyle w:val="ListBullet"/>
        <w:spacing w:line="360" w:lineRule="auto"/>
        <w:ind w:firstLine="0" w:left="567"/>
      </w:pPr>
      <w:r>
        <w:t>o IRA é índice experimental e sua validade será limitada ao conjunto de regras e dados utilizados;</w:t>
      </w:r>
    </w:p>
    <w:p>
      <w:pPr>
        <w:pStyle w:val="ListBullet"/>
        <w:spacing w:line="360" w:lineRule="auto"/>
        <w:ind w:firstLine="0" w:left="567"/>
      </w:pPr>
      <w:r>
        <w:t>benchmark mede desempenho do ambiente testado; não autoriza generalização absoluta para qualquer infraestrutura;</w:t>
      </w:r>
    </w:p>
    <w:p>
      <w:pPr>
        <w:pStyle w:val="ListBullet"/>
        <w:spacing w:line="360" w:lineRule="auto"/>
        <w:ind w:firstLine="0" w:left="567"/>
      </w:pPr>
      <w:r>
        <w:t>dados sintéticos são adequados para carga e seletividade de consultas, mas não para validar risco hidrológico;</w:t>
      </w:r>
    </w:p>
    <w:p>
      <w:pPr>
        <w:pStyle w:val="ListBullet"/>
        <w:spacing w:line="360" w:lineRule="auto"/>
        <w:ind w:firstLine="0" w:left="567"/>
      </w:pPr>
      <w:r>
        <w:t>qualquer meta de latência será tratada como requisito e somente será considerada atingida após medição.</w:t>
      </w:r>
    </w:p>
    <w:p>
      <w:pPr>
        <w:pStyle w:val="Heading2"/>
      </w:pPr>
      <w:r>
        <w:t>3.5 Levantamento Bibliográfico e Tecnológico</w:t>
      </w:r>
    </w:p>
    <w:p>
      <w:pPr>
        <w:jc w:val="both"/>
      </w:pPr>
      <w:r>
        <w:rPr>
          <w:rFonts w:ascii="Times New Roman" w:hAnsi="Times New Roman"/>
          <w:b w:val="0"/>
          <w:sz w:val="24"/>
        </w:rPr>
        <w:t>O levantamento priorizará artigos revisados por pares, normas, documentação oficial e publicações institucionais. Serão utilizadas palavras-chave em português e inglês relacionadas a urban flooding, crowdsourcing, spatial database, PostGIS, data fusion, smart cities e Design Science Research. Para cada fonte será registrada finalidade no TCC, contribuição e limitações. Documentações de APIs serão tratadas como fontes técnicas, não como evidência científica sobre alagamentos.</w:t>
      </w:r>
    </w:p>
    <w:p>
      <w:pPr>
        <w:pStyle w:val="Heading2"/>
      </w:pPr>
      <w:r>
        <w:t>3.6 Projeto e Desenvolvimento do Artefato</w:t>
      </w:r>
    </w:p>
    <w:p>
      <w:pPr>
        <w:jc w:val="both"/>
      </w:pPr>
      <w:r>
        <w:rPr>
          <w:rFonts w:ascii="Times New Roman" w:hAnsi="Times New Roman"/>
          <w:b w:val="0"/>
          <w:sz w:val="24"/>
        </w:rPr>
        <w:t>O desenvolvimento será incremental. Primeiro serão estabilizados modelo de dados e contratos REST; em seguida, integrações meteorológicas e consultas espaciais; depois, interface Android e IRA; por fim, integração, testes e benchmark. Essa ordem reduz risco de construir telas antes de estabilizar dados e regras.</w:t>
      </w:r>
    </w:p>
    <w:p>
      <w:pPr>
        <w:pStyle w:val="Heading2"/>
      </w:pPr>
      <w:r>
        <w:t>3.7 Protocolo de Avaliação do IRA</w:t>
      </w:r>
    </w:p>
    <w:p>
      <w:pPr>
        <w:jc w:val="both"/>
      </w:pPr>
      <w:r>
        <w:rPr>
          <w:rFonts w:ascii="Times New Roman" w:hAnsi="Times New Roman"/>
          <w:b w:val="0"/>
          <w:sz w:val="24"/>
        </w:rPr>
        <w:t>O IRA será avaliado quanto a coerência interna, sensibilidade e comportamento em cenários conhecidos. Serão construídos casos de teste com combinações controladas de precipitação, histórico e relatos. Alterações nos pesos deverão produzir efeitos monotônicos esperados quando aplicável. Uma análise de sensibilidade variará os pesos dentro de faixas documentadas para identificar dependência excessiva de um único componente. Sem base observacional suficiente, não será calculada “acurácia de previsão” do IRA.</w:t>
      </w:r>
    </w:p>
    <w:p>
      <w:pPr>
        <w:pStyle w:val="Heading2"/>
      </w:pPr>
      <w:r>
        <w:t>3.8 Protocolo de Benchmark Geoespacial</w:t>
      </w:r>
    </w:p>
    <w:p>
      <w:pPr>
        <w:jc w:val="both"/>
      </w:pPr>
      <w:r>
        <w:rPr>
          <w:rFonts w:ascii="Times New Roman" w:hAnsi="Times New Roman"/>
          <w:b w:val="0"/>
          <w:sz w:val="24"/>
        </w:rPr>
        <w:t>Serão geradas massas de, no mínimo, 1 mil, 10 mil e 100 mil ocorrências, preservando o mesmo esquema e distribuição definida. Cada consulta será executada em condição sem índice e com GiST, após aquecimento. Serão registradas múltiplas repetições, mediana, percentis ou desvio apropriado, além de plano de execução e buffers. Consultas candidatas: raio com ST_DWithin, interseção com área e vizinhos mais próximos. O ambiente de hardware e software será documentado.</w:t>
      </w:r>
    </w:p>
    <w:p>
      <w:pPr>
        <w:pStyle w:val="Heading2"/>
      </w:pPr>
      <w:r>
        <w:t>3.9 Testes Funcionais, Integração e Usabilidade</w:t>
      </w:r>
    </w:p>
    <w:p>
      <w:pPr>
        <w:jc w:val="both"/>
      </w:pPr>
      <w:r>
        <w:rPr>
          <w:rFonts w:ascii="Times New Roman" w:hAnsi="Times New Roman"/>
          <w:b w:val="0"/>
          <w:sz w:val="24"/>
        </w:rPr>
        <w:t>Testes funcionais verificarão cadastro, autenticação quando aplicável, registro de ocorrência, consulta, filtros, mapa e cálculo do IRA. Testes de integração cobrirão Android–backend, backend–banco e backend–fontes externas, incluindo indisponibilidade simulada. A usabilidade será avaliada em grupo pequeno e controlado, com tarefas objetivas e questionário curto; o número de participantes e o instrumento deverão ser registrados, sem generalizações populacionais indevidas.</w:t>
      </w:r>
    </w:p>
    <w:p>
      <w:pPr>
        <w:pStyle w:val="Heading2"/>
      </w:pPr>
      <w:r>
        <w:t>3.10 Aspectos Éticos, Privacidade e LGPD</w:t>
      </w:r>
    </w:p>
    <w:p>
      <w:pPr>
        <w:jc w:val="both"/>
      </w:pPr>
      <w:r>
        <w:rPr>
          <w:rFonts w:ascii="Times New Roman" w:hAnsi="Times New Roman"/>
          <w:b w:val="0"/>
          <w:sz w:val="24"/>
        </w:rPr>
        <w:t>O protótipo evitará dados pessoais desnecessários. Se houver teste com usuários, será solicitada concordância informada para coleta de respostas e dados estritamente necessários. Coordenadas de ocorrências serão tratadas como dados do evento; coordenadas contínuas de deslocamento não serão armazenadas. Fotografias, se futuramente incluídas, exigirão política específica e não fazem parte do núcleo obrigatório do MVP.</w:t>
      </w:r>
    </w:p>
    <w:p>
      <w:pPr>
        <w:pStyle w:val="Heading2"/>
      </w:pPr>
      <w:r>
        <w:t>3.11 Cronograma de Implementação do MVP</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Fase</w:t>
            </w:r>
          </w:p>
        </w:tc>
        <w:tc>
          <w:tcPr>
            <w:tcW w:type="dxa" w:w="3135"/>
            <w:vAlign w:val="center"/>
          </w:tcPr>
          <w:p>
            <w:r>
              <w:rPr>
                <w:rFonts w:ascii="Times New Roman" w:hAnsi="Times New Roman"/>
                <w:b/>
                <w:sz w:val="20"/>
              </w:rPr>
              <w:t>Período</w:t>
            </w:r>
          </w:p>
        </w:tc>
        <w:tc>
          <w:tcPr>
            <w:tcW w:type="dxa" w:w="3135"/>
            <w:vAlign w:val="center"/>
          </w:tcPr>
          <w:p>
            <w:r>
              <w:rPr>
                <w:rFonts w:ascii="Times New Roman" w:hAnsi="Times New Roman"/>
                <w:b/>
                <w:sz w:val="20"/>
              </w:rPr>
              <w:t>Entregável principal</w:t>
            </w:r>
          </w:p>
        </w:tc>
      </w:tr>
      <w:tr>
        <w:tc>
          <w:tcPr>
            <w:tcW w:type="dxa" w:w="3135"/>
            <w:vAlign w:val="center"/>
          </w:tcPr>
          <w:p>
            <w:pPr>
              <w:spacing w:line="240" w:lineRule="auto"/>
              <w:ind w:firstLine="0"/>
            </w:pPr>
            <w:r>
              <w:rPr>
                <w:rFonts w:ascii="Times New Roman" w:hAnsi="Times New Roman"/>
                <w:sz w:val="18"/>
              </w:rPr>
              <w:t>Replanejamento técnico</w:t>
            </w:r>
          </w:p>
        </w:tc>
        <w:tc>
          <w:tcPr>
            <w:tcW w:type="dxa" w:w="3135"/>
            <w:vAlign w:val="center"/>
          </w:tcPr>
          <w:p>
            <w:pPr>
              <w:spacing w:line="240" w:lineRule="auto"/>
              <w:ind w:firstLine="0"/>
            </w:pPr>
            <w:r>
              <w:rPr>
                <w:rFonts w:ascii="Times New Roman" w:hAnsi="Times New Roman"/>
                <w:sz w:val="18"/>
              </w:rPr>
              <w:t>01/07–14/07</w:t>
            </w:r>
          </w:p>
        </w:tc>
        <w:tc>
          <w:tcPr>
            <w:tcW w:type="dxa" w:w="3135"/>
            <w:vAlign w:val="center"/>
          </w:tcPr>
          <w:p>
            <w:pPr>
              <w:spacing w:line="240" w:lineRule="auto"/>
              <w:ind w:firstLine="0"/>
            </w:pPr>
            <w:r>
              <w:rPr>
                <w:rFonts w:ascii="Times New Roman" w:hAnsi="Times New Roman"/>
                <w:sz w:val="18"/>
              </w:rPr>
              <w:t>decisões de XML, indexação e modelo inicial do IRA</w:t>
            </w:r>
          </w:p>
        </w:tc>
      </w:tr>
      <w:tr>
        <w:tc>
          <w:tcPr>
            <w:tcW w:type="dxa" w:w="3135"/>
            <w:vAlign w:val="center"/>
          </w:tcPr>
          <w:p>
            <w:pPr>
              <w:spacing w:line="240" w:lineRule="auto"/>
              <w:ind w:firstLine="0"/>
            </w:pPr>
            <w:r>
              <w:rPr>
                <w:rFonts w:ascii="Times New Roman" w:hAnsi="Times New Roman"/>
                <w:sz w:val="18"/>
              </w:rPr>
              <w:t>Modelo geoespacial e backend-base</w:t>
            </w:r>
          </w:p>
        </w:tc>
        <w:tc>
          <w:tcPr>
            <w:tcW w:type="dxa" w:w="3135"/>
            <w:vAlign w:val="center"/>
          </w:tcPr>
          <w:p>
            <w:pPr>
              <w:spacing w:line="240" w:lineRule="auto"/>
              <w:ind w:firstLine="0"/>
            </w:pPr>
            <w:r>
              <w:rPr>
                <w:rFonts w:ascii="Times New Roman" w:hAnsi="Times New Roman"/>
                <w:sz w:val="18"/>
              </w:rPr>
              <w:t>15/07–09/08</w:t>
            </w:r>
          </w:p>
        </w:tc>
        <w:tc>
          <w:tcPr>
            <w:tcW w:type="dxa" w:w="3135"/>
            <w:vAlign w:val="center"/>
          </w:tcPr>
          <w:p>
            <w:pPr>
              <w:spacing w:line="240" w:lineRule="auto"/>
              <w:ind w:firstLine="0"/>
            </w:pPr>
            <w:r>
              <w:rPr>
                <w:rFonts w:ascii="Times New Roman" w:hAnsi="Times New Roman"/>
                <w:sz w:val="18"/>
              </w:rPr>
              <w:t>schema PostGIS e endpoints essenciais</w:t>
            </w:r>
          </w:p>
        </w:tc>
      </w:tr>
      <w:tr>
        <w:tc>
          <w:tcPr>
            <w:tcW w:type="dxa" w:w="3135"/>
            <w:vAlign w:val="center"/>
          </w:tcPr>
          <w:p>
            <w:pPr>
              <w:spacing w:line="240" w:lineRule="auto"/>
              <w:ind w:firstLine="0"/>
            </w:pPr>
            <w:r>
              <w:rPr>
                <w:rFonts w:ascii="Times New Roman" w:hAnsi="Times New Roman"/>
                <w:sz w:val="18"/>
              </w:rPr>
              <w:t>Integração meteorológica</w:t>
            </w:r>
          </w:p>
        </w:tc>
        <w:tc>
          <w:tcPr>
            <w:tcW w:type="dxa" w:w="3135"/>
            <w:vAlign w:val="center"/>
          </w:tcPr>
          <w:p>
            <w:pPr>
              <w:spacing w:line="240" w:lineRule="auto"/>
              <w:ind w:firstLine="0"/>
            </w:pPr>
            <w:r>
              <w:rPr>
                <w:rFonts w:ascii="Times New Roman" w:hAnsi="Times New Roman"/>
                <w:sz w:val="18"/>
              </w:rPr>
              <w:t>27/07–16/08</w:t>
            </w:r>
          </w:p>
        </w:tc>
        <w:tc>
          <w:tcPr>
            <w:tcW w:type="dxa" w:w="3135"/>
            <w:vAlign w:val="center"/>
          </w:tcPr>
          <w:p>
            <w:pPr>
              <w:spacing w:line="240" w:lineRule="auto"/>
              <w:ind w:firstLine="0"/>
            </w:pPr>
            <w:r>
              <w:rPr>
                <w:rFonts w:ascii="Times New Roman" w:hAnsi="Times New Roman"/>
                <w:sz w:val="18"/>
              </w:rPr>
              <w:t>adaptadores e modelo canônico</w:t>
            </w:r>
          </w:p>
        </w:tc>
      </w:tr>
      <w:tr>
        <w:tc>
          <w:tcPr>
            <w:tcW w:type="dxa" w:w="3135"/>
            <w:vAlign w:val="center"/>
          </w:tcPr>
          <w:p>
            <w:pPr>
              <w:spacing w:line="240" w:lineRule="auto"/>
              <w:ind w:firstLine="0"/>
            </w:pPr>
            <w:r>
              <w:rPr>
                <w:rFonts w:ascii="Times New Roman" w:hAnsi="Times New Roman"/>
                <w:sz w:val="18"/>
              </w:rPr>
              <w:t>Android Kotlin/XML</w:t>
            </w:r>
          </w:p>
        </w:tc>
        <w:tc>
          <w:tcPr>
            <w:tcW w:type="dxa" w:w="3135"/>
            <w:vAlign w:val="center"/>
          </w:tcPr>
          <w:p>
            <w:pPr>
              <w:spacing w:line="240" w:lineRule="auto"/>
              <w:ind w:firstLine="0"/>
            </w:pPr>
            <w:r>
              <w:rPr>
                <w:rFonts w:ascii="Times New Roman" w:hAnsi="Times New Roman"/>
                <w:sz w:val="18"/>
              </w:rPr>
              <w:t>10/08–13/09</w:t>
            </w:r>
          </w:p>
        </w:tc>
        <w:tc>
          <w:tcPr>
            <w:tcW w:type="dxa" w:w="3135"/>
            <w:vAlign w:val="center"/>
          </w:tcPr>
          <w:p>
            <w:pPr>
              <w:spacing w:line="240" w:lineRule="auto"/>
              <w:ind w:firstLine="0"/>
            </w:pPr>
            <w:r>
              <w:rPr>
                <w:rFonts w:ascii="Times New Roman" w:hAnsi="Times New Roman"/>
                <w:sz w:val="18"/>
              </w:rPr>
              <w:t>fluxos principais do aplicativo</w:t>
            </w:r>
          </w:p>
        </w:tc>
      </w:tr>
      <w:tr>
        <w:tc>
          <w:tcPr>
            <w:tcW w:type="dxa" w:w="3135"/>
            <w:vAlign w:val="center"/>
          </w:tcPr>
          <w:p>
            <w:pPr>
              <w:spacing w:line="240" w:lineRule="auto"/>
              <w:ind w:firstLine="0"/>
            </w:pPr>
            <w:r>
              <w:rPr>
                <w:rFonts w:ascii="Times New Roman" w:hAnsi="Times New Roman"/>
                <w:sz w:val="18"/>
              </w:rPr>
              <w:t>IRA e testes unitários</w:t>
            </w:r>
          </w:p>
        </w:tc>
        <w:tc>
          <w:tcPr>
            <w:tcW w:type="dxa" w:w="3135"/>
            <w:vAlign w:val="center"/>
          </w:tcPr>
          <w:p>
            <w:pPr>
              <w:spacing w:line="240" w:lineRule="auto"/>
              <w:ind w:firstLine="0"/>
            </w:pPr>
            <w:r>
              <w:rPr>
                <w:rFonts w:ascii="Times New Roman" w:hAnsi="Times New Roman"/>
                <w:sz w:val="18"/>
              </w:rPr>
              <w:t>17/08–30/08</w:t>
            </w:r>
          </w:p>
        </w:tc>
        <w:tc>
          <w:tcPr>
            <w:tcW w:type="dxa" w:w="3135"/>
            <w:vAlign w:val="center"/>
          </w:tcPr>
          <w:p>
            <w:pPr>
              <w:spacing w:line="240" w:lineRule="auto"/>
              <w:ind w:firstLine="0"/>
            </w:pPr>
            <w:r>
              <w:rPr>
                <w:rFonts w:ascii="Times New Roman" w:hAnsi="Times New Roman"/>
                <w:sz w:val="18"/>
              </w:rPr>
              <w:t>algoritmo versionado e casos de teste</w:t>
            </w:r>
          </w:p>
        </w:tc>
      </w:tr>
      <w:tr>
        <w:tc>
          <w:tcPr>
            <w:tcW w:type="dxa" w:w="3135"/>
            <w:vAlign w:val="center"/>
          </w:tcPr>
          <w:p>
            <w:pPr>
              <w:spacing w:line="240" w:lineRule="auto"/>
              <w:ind w:firstLine="0"/>
            </w:pPr>
            <w:r>
              <w:rPr>
                <w:rFonts w:ascii="Times New Roman" w:hAnsi="Times New Roman"/>
                <w:sz w:val="18"/>
              </w:rPr>
              <w:t>Integração completa</w:t>
            </w:r>
          </w:p>
        </w:tc>
        <w:tc>
          <w:tcPr>
            <w:tcW w:type="dxa" w:w="3135"/>
            <w:vAlign w:val="center"/>
          </w:tcPr>
          <w:p>
            <w:pPr>
              <w:spacing w:line="240" w:lineRule="auto"/>
              <w:ind w:firstLine="0"/>
            </w:pPr>
            <w:r>
              <w:rPr>
                <w:rFonts w:ascii="Times New Roman" w:hAnsi="Times New Roman"/>
                <w:sz w:val="18"/>
              </w:rPr>
              <w:t>14/09–27/09</w:t>
            </w:r>
          </w:p>
        </w:tc>
        <w:tc>
          <w:tcPr>
            <w:tcW w:type="dxa" w:w="3135"/>
            <w:vAlign w:val="center"/>
          </w:tcPr>
          <w:p>
            <w:pPr>
              <w:spacing w:line="240" w:lineRule="auto"/>
              <w:ind w:firstLine="0"/>
            </w:pPr>
            <w:r>
              <w:rPr>
                <w:rFonts w:ascii="Times New Roman" w:hAnsi="Times New Roman"/>
                <w:sz w:val="18"/>
              </w:rPr>
              <w:t>MVP integrado</w:t>
            </w:r>
          </w:p>
        </w:tc>
      </w:tr>
      <w:tr>
        <w:tc>
          <w:tcPr>
            <w:tcW w:type="dxa" w:w="3135"/>
            <w:vAlign w:val="center"/>
          </w:tcPr>
          <w:p>
            <w:pPr>
              <w:spacing w:line="240" w:lineRule="auto"/>
              <w:ind w:firstLine="0"/>
            </w:pPr>
            <w:r>
              <w:rPr>
                <w:rFonts w:ascii="Times New Roman" w:hAnsi="Times New Roman"/>
                <w:sz w:val="18"/>
              </w:rPr>
              <w:t>Testes e benchmark</w:t>
            </w:r>
          </w:p>
        </w:tc>
        <w:tc>
          <w:tcPr>
            <w:tcW w:type="dxa" w:w="3135"/>
            <w:vAlign w:val="center"/>
          </w:tcPr>
          <w:p>
            <w:pPr>
              <w:spacing w:line="240" w:lineRule="auto"/>
              <w:ind w:firstLine="0"/>
            </w:pPr>
            <w:r>
              <w:rPr>
                <w:rFonts w:ascii="Times New Roman" w:hAnsi="Times New Roman"/>
                <w:sz w:val="18"/>
              </w:rPr>
              <w:t>28/09–18/10</w:t>
            </w:r>
          </w:p>
        </w:tc>
        <w:tc>
          <w:tcPr>
            <w:tcW w:type="dxa" w:w="3135"/>
            <w:vAlign w:val="center"/>
          </w:tcPr>
          <w:p>
            <w:pPr>
              <w:spacing w:line="240" w:lineRule="auto"/>
              <w:ind w:firstLine="0"/>
            </w:pPr>
            <w:r>
              <w:rPr>
                <w:rFonts w:ascii="Times New Roman" w:hAnsi="Times New Roman"/>
                <w:sz w:val="18"/>
              </w:rPr>
              <w:t>evidências funcionais e de desempenho</w:t>
            </w:r>
          </w:p>
        </w:tc>
      </w:tr>
      <w:tr>
        <w:tc>
          <w:tcPr>
            <w:tcW w:type="dxa" w:w="3135"/>
            <w:vAlign w:val="center"/>
          </w:tcPr>
          <w:p>
            <w:pPr>
              <w:spacing w:line="240" w:lineRule="auto"/>
              <w:ind w:firstLine="0"/>
            </w:pPr>
            <w:r>
              <w:rPr>
                <w:rFonts w:ascii="Times New Roman" w:hAnsi="Times New Roman"/>
                <w:sz w:val="18"/>
              </w:rPr>
              <w:t>Correções e documentação</w:t>
            </w:r>
          </w:p>
        </w:tc>
        <w:tc>
          <w:tcPr>
            <w:tcW w:type="dxa" w:w="3135"/>
            <w:vAlign w:val="center"/>
          </w:tcPr>
          <w:p>
            <w:pPr>
              <w:spacing w:line="240" w:lineRule="auto"/>
              <w:ind w:firstLine="0"/>
            </w:pPr>
            <w:r>
              <w:rPr>
                <w:rFonts w:ascii="Times New Roman" w:hAnsi="Times New Roman"/>
                <w:sz w:val="18"/>
              </w:rPr>
              <w:t>19/10–31/10</w:t>
            </w:r>
          </w:p>
        </w:tc>
        <w:tc>
          <w:tcPr>
            <w:tcW w:type="dxa" w:w="3135"/>
            <w:vAlign w:val="center"/>
          </w:tcPr>
          <w:p>
            <w:pPr>
              <w:spacing w:line="240" w:lineRule="auto"/>
              <w:ind w:firstLine="0"/>
            </w:pPr>
            <w:r>
              <w:rPr>
                <w:rFonts w:ascii="Times New Roman" w:hAnsi="Times New Roman"/>
                <w:sz w:val="18"/>
              </w:rPr>
              <w:t>versão candidata</w:t>
            </w:r>
          </w:p>
        </w:tc>
      </w:tr>
      <w:tr>
        <w:tc>
          <w:tcPr>
            <w:tcW w:type="dxa" w:w="3135"/>
            <w:vAlign w:val="center"/>
          </w:tcPr>
          <w:p>
            <w:pPr>
              <w:spacing w:line="240" w:lineRule="auto"/>
              <w:ind w:firstLine="0"/>
            </w:pPr>
            <w:r>
              <w:rPr>
                <w:rFonts w:ascii="Times New Roman" w:hAnsi="Times New Roman"/>
                <w:sz w:val="18"/>
              </w:rPr>
              <w:t>Homologação final</w:t>
            </w:r>
          </w:p>
        </w:tc>
        <w:tc>
          <w:tcPr>
            <w:tcW w:type="dxa" w:w="3135"/>
            <w:vAlign w:val="center"/>
          </w:tcPr>
          <w:p>
            <w:pPr>
              <w:spacing w:line="240" w:lineRule="auto"/>
              <w:ind w:firstLine="0"/>
            </w:pPr>
            <w:r>
              <w:rPr>
                <w:rFonts w:ascii="Times New Roman" w:hAnsi="Times New Roman"/>
                <w:sz w:val="18"/>
              </w:rPr>
              <w:t>01/11–07/11</w:t>
            </w:r>
          </w:p>
        </w:tc>
        <w:tc>
          <w:tcPr>
            <w:tcW w:type="dxa" w:w="3135"/>
            <w:vAlign w:val="center"/>
          </w:tcPr>
          <w:p>
            <w:pPr>
              <w:spacing w:line="240" w:lineRule="auto"/>
              <w:ind w:firstLine="0"/>
            </w:pPr>
            <w:r>
              <w:rPr>
                <w:rFonts w:ascii="Times New Roman" w:hAnsi="Times New Roman"/>
                <w:sz w:val="18"/>
              </w:rPr>
              <w:t>MVP demonstrável e documentação final</w:t>
            </w:r>
          </w:p>
        </w:tc>
      </w:tr>
    </w:tbl>
    <w:p>
      <w:pPr>
        <w:jc w:val="both"/>
      </w:pPr>
      <w:r>
        <w:rPr>
          <w:rFonts w:ascii="Times New Roman" w:hAnsi="Times New Roman"/>
          <w:b w:val="0"/>
          <w:sz w:val="24"/>
        </w:rPr>
        <w:t>O cronograma consolida o planejamento anterior e preserva 07/11/2026 como data-limite de homologação. Atividades podem sobrepor-se quando independentes, mas integração e testes não devem ser comprimidos para compensar atrasos de funcionalidades não essenciais.</w:t>
      </w:r>
    </w:p>
    <w:p>
      <w:pPr>
        <w:pStyle w:val="Heading1"/>
      </w:pPr>
      <w:r>
        <w:t>4 LEVANTAMENTO BIBLIOGRÁFICO E ESTUDO TECNOLÓGICO</w:t>
      </w:r>
    </w:p>
    <w:p>
      <w:pPr>
        <w:pStyle w:val="Heading2"/>
      </w:pPr>
      <w:r>
        <w:t>4.1 Estratégia de Seleção Tecnológica</w:t>
      </w:r>
    </w:p>
    <w:p>
      <w:pPr>
        <w:jc w:val="both"/>
      </w:pPr>
      <w:r>
        <w:rPr>
          <w:rFonts w:ascii="Times New Roman" w:hAnsi="Times New Roman"/>
          <w:b w:val="0"/>
          <w:sz w:val="24"/>
        </w:rPr>
        <w:t>As tecnologias são escolhidas por aderência ao problema, documentação, maturidade, capacidade da equipe e testabilidade. “Mais moderno” não é critério suficiente. O projeto deliberadamente prefere componentes conhecidos e interoperáveis, preservando esforço para geoprocessamento, fusão de dados e avaliação.</w:t>
      </w:r>
    </w:p>
    <w:p>
      <w:pPr>
        <w:pStyle w:val="Heading2"/>
      </w:pPr>
      <w:r>
        <w:t>4.2 Fontes Meteorológicas e Institucionais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rFonts w:ascii="Times New Roman" w:hAnsi="Times New Roman"/>
                <w:b/>
                <w:sz w:val="20"/>
              </w:rPr>
              <w:t>Fonte</w:t>
            </w:r>
          </w:p>
        </w:tc>
        <w:tc>
          <w:tcPr>
            <w:tcW w:type="dxa" w:w="2351"/>
            <w:vAlign w:val="center"/>
          </w:tcPr>
          <w:p>
            <w:r>
              <w:rPr>
                <w:rFonts w:ascii="Times New Roman" w:hAnsi="Times New Roman"/>
                <w:b/>
                <w:sz w:val="20"/>
              </w:rPr>
              <w:t>Uso potencial</w:t>
            </w:r>
          </w:p>
        </w:tc>
        <w:tc>
          <w:tcPr>
            <w:tcW w:type="dxa" w:w="2351"/>
            <w:vAlign w:val="center"/>
          </w:tcPr>
          <w:p>
            <w:r>
              <w:rPr>
                <w:rFonts w:ascii="Times New Roman" w:hAnsi="Times New Roman"/>
                <w:b/>
                <w:sz w:val="20"/>
              </w:rPr>
              <w:t>Vantagem</w:t>
            </w:r>
          </w:p>
        </w:tc>
        <w:tc>
          <w:tcPr>
            <w:tcW w:type="dxa" w:w="2351"/>
            <w:vAlign w:val="center"/>
          </w:tcPr>
          <w:p>
            <w:r>
              <w:rPr>
                <w:rFonts w:ascii="Times New Roman" w:hAnsi="Times New Roman"/>
                <w:b/>
                <w:sz w:val="20"/>
              </w:rPr>
              <w:t>Risco/limitação</w:t>
            </w:r>
          </w:p>
        </w:tc>
      </w:tr>
      <w:tr>
        <w:tc>
          <w:tcPr>
            <w:tcW w:type="dxa" w:w="2351"/>
            <w:vAlign w:val="center"/>
          </w:tcPr>
          <w:p>
            <w:pPr>
              <w:spacing w:line="240" w:lineRule="auto"/>
              <w:ind w:firstLine="0"/>
            </w:pPr>
            <w:r>
              <w:rPr>
                <w:rFonts w:ascii="Times New Roman" w:hAnsi="Times New Roman"/>
                <w:sz w:val="18"/>
              </w:rPr>
              <w:t>OpenWeather</w:t>
            </w:r>
          </w:p>
        </w:tc>
        <w:tc>
          <w:tcPr>
            <w:tcW w:type="dxa" w:w="2351"/>
            <w:vAlign w:val="center"/>
          </w:tcPr>
          <w:p>
            <w:pPr>
              <w:spacing w:line="240" w:lineRule="auto"/>
              <w:ind w:firstLine="0"/>
            </w:pPr>
            <w:r>
              <w:rPr>
                <w:rFonts w:ascii="Times New Roman" w:hAnsi="Times New Roman"/>
                <w:sz w:val="18"/>
              </w:rPr>
              <w:t>condições atuais e precipitação por coordenada</w:t>
            </w:r>
          </w:p>
        </w:tc>
        <w:tc>
          <w:tcPr>
            <w:tcW w:type="dxa" w:w="2351"/>
            <w:vAlign w:val="center"/>
          </w:tcPr>
          <w:p>
            <w:pPr>
              <w:spacing w:line="240" w:lineRule="auto"/>
              <w:ind w:firstLine="0"/>
            </w:pPr>
            <w:r>
              <w:rPr>
                <w:rFonts w:ascii="Times New Roman" w:hAnsi="Times New Roman"/>
                <w:sz w:val="18"/>
              </w:rPr>
              <w:t>API documentada e JSON</w:t>
            </w:r>
          </w:p>
        </w:tc>
        <w:tc>
          <w:tcPr>
            <w:tcW w:type="dxa" w:w="2351"/>
            <w:vAlign w:val="center"/>
          </w:tcPr>
          <w:p>
            <w:pPr>
              <w:spacing w:line="240" w:lineRule="auto"/>
              <w:ind w:firstLine="0"/>
            </w:pPr>
            <w:r>
              <w:rPr>
                <w:rFonts w:ascii="Times New Roman" w:hAnsi="Times New Roman"/>
                <w:sz w:val="18"/>
              </w:rPr>
              <w:t>chave, limites e dependência externa</w:t>
            </w:r>
          </w:p>
        </w:tc>
      </w:tr>
      <w:tr>
        <w:tc>
          <w:tcPr>
            <w:tcW w:type="dxa" w:w="2351"/>
            <w:vAlign w:val="center"/>
          </w:tcPr>
          <w:p>
            <w:pPr>
              <w:spacing w:line="240" w:lineRule="auto"/>
              <w:ind w:firstLine="0"/>
            </w:pPr>
            <w:r>
              <w:rPr>
                <w:rFonts w:ascii="Times New Roman" w:hAnsi="Times New Roman"/>
                <w:sz w:val="18"/>
              </w:rPr>
              <w:t>Open-Meteo</w:t>
            </w:r>
          </w:p>
        </w:tc>
        <w:tc>
          <w:tcPr>
            <w:tcW w:type="dxa" w:w="2351"/>
            <w:vAlign w:val="center"/>
          </w:tcPr>
          <w:p>
            <w:pPr>
              <w:spacing w:line="240" w:lineRule="auto"/>
              <w:ind w:firstLine="0"/>
            </w:pPr>
            <w:r>
              <w:rPr>
                <w:rFonts w:ascii="Times New Roman" w:hAnsi="Times New Roman"/>
                <w:sz w:val="18"/>
              </w:rPr>
              <w:t>previsão e variáveis horárias</w:t>
            </w:r>
          </w:p>
        </w:tc>
        <w:tc>
          <w:tcPr>
            <w:tcW w:type="dxa" w:w="2351"/>
            <w:vAlign w:val="center"/>
          </w:tcPr>
          <w:p>
            <w:pPr>
              <w:spacing w:line="240" w:lineRule="auto"/>
              <w:ind w:firstLine="0"/>
            </w:pPr>
            <w:r>
              <w:rPr>
                <w:rFonts w:ascii="Times New Roman" w:hAnsi="Times New Roman"/>
                <w:sz w:val="18"/>
              </w:rPr>
              <w:t>ampla variedade de variáveis e acesso simples</w:t>
            </w:r>
          </w:p>
        </w:tc>
        <w:tc>
          <w:tcPr>
            <w:tcW w:type="dxa" w:w="2351"/>
            <w:vAlign w:val="center"/>
          </w:tcPr>
          <w:p>
            <w:pPr>
              <w:spacing w:line="240" w:lineRule="auto"/>
              <w:ind w:firstLine="0"/>
            </w:pPr>
            <w:r>
              <w:rPr>
                <w:rFonts w:ascii="Times New Roman" w:hAnsi="Times New Roman"/>
                <w:sz w:val="18"/>
              </w:rPr>
              <w:t>origem/modelo deve ser registrada</w:t>
            </w:r>
          </w:p>
        </w:tc>
      </w:tr>
      <w:tr>
        <w:tc>
          <w:tcPr>
            <w:tcW w:type="dxa" w:w="2351"/>
            <w:vAlign w:val="center"/>
          </w:tcPr>
          <w:p>
            <w:pPr>
              <w:spacing w:line="240" w:lineRule="auto"/>
              <w:ind w:firstLine="0"/>
            </w:pPr>
            <w:r>
              <w:rPr>
                <w:rFonts w:ascii="Times New Roman" w:hAnsi="Times New Roman"/>
                <w:sz w:val="18"/>
              </w:rPr>
              <w:t>INMET</w:t>
            </w:r>
          </w:p>
        </w:tc>
        <w:tc>
          <w:tcPr>
            <w:tcW w:type="dxa" w:w="2351"/>
            <w:vAlign w:val="center"/>
          </w:tcPr>
          <w:p>
            <w:pPr>
              <w:spacing w:line="240" w:lineRule="auto"/>
              <w:ind w:firstLine="0"/>
            </w:pPr>
            <w:r>
              <w:rPr>
                <w:rFonts w:ascii="Times New Roman" w:hAnsi="Times New Roman"/>
                <w:sz w:val="18"/>
              </w:rPr>
              <w:t>dados oficiais nacionais</w:t>
            </w:r>
          </w:p>
        </w:tc>
        <w:tc>
          <w:tcPr>
            <w:tcW w:type="dxa" w:w="2351"/>
            <w:vAlign w:val="center"/>
          </w:tcPr>
          <w:p>
            <w:pPr>
              <w:spacing w:line="240" w:lineRule="auto"/>
              <w:ind w:firstLine="0"/>
            </w:pPr>
            <w:r>
              <w:rPr>
                <w:rFonts w:ascii="Times New Roman" w:hAnsi="Times New Roman"/>
                <w:sz w:val="18"/>
              </w:rPr>
              <w:t>referência institucional brasileira</w:t>
            </w:r>
          </w:p>
        </w:tc>
        <w:tc>
          <w:tcPr>
            <w:tcW w:type="dxa" w:w="2351"/>
            <w:vAlign w:val="center"/>
          </w:tcPr>
          <w:p>
            <w:pPr>
              <w:spacing w:line="240" w:lineRule="auto"/>
              <w:ind w:firstLine="0"/>
            </w:pPr>
            <w:r>
              <w:rPr>
                <w:rFonts w:ascii="Times New Roman" w:hAnsi="Times New Roman"/>
                <w:sz w:val="18"/>
              </w:rPr>
              <w:t>forma de acesso e granularidade precisam ser verificadas</w:t>
            </w:r>
          </w:p>
        </w:tc>
      </w:tr>
      <w:tr>
        <w:tc>
          <w:tcPr>
            <w:tcW w:type="dxa" w:w="2351"/>
            <w:vAlign w:val="center"/>
          </w:tcPr>
          <w:p>
            <w:pPr>
              <w:spacing w:line="240" w:lineRule="auto"/>
              <w:ind w:firstLine="0"/>
            </w:pPr>
            <w:r>
              <w:rPr>
                <w:rFonts w:ascii="Times New Roman" w:hAnsi="Times New Roman"/>
                <w:sz w:val="18"/>
              </w:rPr>
              <w:t>CEMADEN</w:t>
            </w:r>
          </w:p>
        </w:tc>
        <w:tc>
          <w:tcPr>
            <w:tcW w:type="dxa" w:w="2351"/>
            <w:vAlign w:val="center"/>
          </w:tcPr>
          <w:p>
            <w:pPr>
              <w:spacing w:line="240" w:lineRule="auto"/>
              <w:ind w:firstLine="0"/>
            </w:pPr>
            <w:r>
              <w:rPr>
                <w:rFonts w:ascii="Times New Roman" w:hAnsi="Times New Roman"/>
                <w:sz w:val="18"/>
              </w:rPr>
              <w:t>pluviometria/monitoramento de desastres</w:t>
            </w:r>
          </w:p>
        </w:tc>
        <w:tc>
          <w:tcPr>
            <w:tcW w:type="dxa" w:w="2351"/>
            <w:vAlign w:val="center"/>
          </w:tcPr>
          <w:p>
            <w:pPr>
              <w:spacing w:line="240" w:lineRule="auto"/>
              <w:ind w:firstLine="0"/>
            </w:pPr>
            <w:r>
              <w:rPr>
                <w:rFonts w:ascii="Times New Roman" w:hAnsi="Times New Roman"/>
                <w:sz w:val="18"/>
              </w:rPr>
              <w:t>rede voltada a risco e chuva</w:t>
            </w:r>
          </w:p>
        </w:tc>
        <w:tc>
          <w:tcPr>
            <w:tcW w:type="dxa" w:w="2351"/>
            <w:vAlign w:val="center"/>
          </w:tcPr>
          <w:p>
            <w:pPr>
              <w:spacing w:line="240" w:lineRule="auto"/>
              <w:ind w:firstLine="0"/>
            </w:pPr>
            <w:r>
              <w:rPr>
                <w:rFonts w:ascii="Times New Roman" w:hAnsi="Times New Roman"/>
                <w:sz w:val="18"/>
              </w:rPr>
              <w:t>dados brutos podem conter inconsistências; acesso varia</w:t>
            </w:r>
          </w:p>
        </w:tc>
      </w:tr>
      <w:tr>
        <w:tc>
          <w:tcPr>
            <w:tcW w:type="dxa" w:w="2351"/>
            <w:vAlign w:val="center"/>
          </w:tcPr>
          <w:p>
            <w:pPr>
              <w:spacing w:line="240" w:lineRule="auto"/>
              <w:ind w:firstLine="0"/>
            </w:pPr>
            <w:r>
              <w:rPr>
                <w:rFonts w:ascii="Times New Roman" w:hAnsi="Times New Roman"/>
                <w:sz w:val="18"/>
              </w:rPr>
              <w:t>CPTEC/INPE</w:t>
            </w:r>
          </w:p>
        </w:tc>
        <w:tc>
          <w:tcPr>
            <w:tcW w:type="dxa" w:w="2351"/>
            <w:vAlign w:val="center"/>
          </w:tcPr>
          <w:p>
            <w:pPr>
              <w:spacing w:line="240" w:lineRule="auto"/>
              <w:ind w:firstLine="0"/>
            </w:pPr>
            <w:r>
              <w:rPr>
                <w:rFonts w:ascii="Times New Roman" w:hAnsi="Times New Roman"/>
                <w:sz w:val="18"/>
              </w:rPr>
              <w:t>previsão e produtos meteorológicos</w:t>
            </w:r>
          </w:p>
        </w:tc>
        <w:tc>
          <w:tcPr>
            <w:tcW w:type="dxa" w:w="2351"/>
            <w:vAlign w:val="center"/>
          </w:tcPr>
          <w:p>
            <w:pPr>
              <w:spacing w:line="240" w:lineRule="auto"/>
              <w:ind w:firstLine="0"/>
            </w:pPr>
            <w:r>
              <w:rPr>
                <w:rFonts w:ascii="Times New Roman" w:hAnsi="Times New Roman"/>
                <w:sz w:val="18"/>
              </w:rPr>
              <w:t>referência nacional em previsão</w:t>
            </w:r>
          </w:p>
        </w:tc>
        <w:tc>
          <w:tcPr>
            <w:tcW w:type="dxa" w:w="2351"/>
            <w:vAlign w:val="center"/>
          </w:tcPr>
          <w:p>
            <w:pPr>
              <w:spacing w:line="240" w:lineRule="auto"/>
              <w:ind w:firstLine="0"/>
            </w:pPr>
            <w:r>
              <w:rPr>
                <w:rFonts w:ascii="Times New Roman" w:hAnsi="Times New Roman"/>
                <w:sz w:val="18"/>
              </w:rPr>
              <w:t>interfaces e produtos devem ser validados tecnicamente</w:t>
            </w:r>
          </w:p>
        </w:tc>
      </w:tr>
    </w:tbl>
    <w:p>
      <w:pPr>
        <w:jc w:val="both"/>
      </w:pPr>
      <w:r>
        <w:rPr>
          <w:rFonts w:ascii="Times New Roman" w:hAnsi="Times New Roman"/>
          <w:b w:val="0"/>
          <w:sz w:val="24"/>
        </w:rPr>
        <w:t>A integração obrigatória do MVP será com pelo menos duas fontes tecnicamente acessíveis. As demais poderão atuar como fonte de comparação ou enriquecimento. Essa premissa evita prometer integração com um serviço cuja interface pública não tenha sido confirmada.</w:t>
      </w:r>
    </w:p>
    <w:p>
      <w:pPr>
        <w:pStyle w:val="Heading2"/>
      </w:pPr>
      <w:r>
        <w:t>4.3 Aplicativo Android: Kotlin + XML/Views</w:t>
      </w:r>
    </w:p>
    <w:p>
      <w:pPr>
        <w:jc w:val="both"/>
      </w:pPr>
      <w:r>
        <w:rPr>
          <w:rFonts w:ascii="Times New Roman" w:hAnsi="Times New Roman"/>
          <w:b w:val="0"/>
          <w:sz w:val="24"/>
        </w:rPr>
        <w:t>A interface utilizará Kotlin e XML/Views. A decisão substitui a versão inicial em Jetpack Compose. XML é plenamente suportado pelo Android e permite separar layout e comportamento. View Binding será preferido para acesso seguro aos componentes de tela. O escopo visual será deliberadamente simples: mapa, lista, filtros, detalhe e formulário de ocorrência.</w:t>
      </w:r>
    </w:p>
    <w:p>
      <w:pPr>
        <w:pStyle w:val="Heading2"/>
      </w:pPr>
      <w:r>
        <w:t>4.4 Backend: Python e FastAPI</w:t>
      </w:r>
    </w:p>
    <w:p>
      <w:pPr>
        <w:jc w:val="both"/>
      </w:pPr>
      <w:r>
        <w:rPr>
          <w:rFonts w:ascii="Times New Roman" w:hAnsi="Times New Roman"/>
          <w:b w:val="0"/>
          <w:sz w:val="24"/>
        </w:rPr>
        <w:t>FastAPI oferece contratos baseados em OpenAPI/JSON Schema, validação de dados e documentação interativa, características úteis para uma equipe dividida entre mobile, backend e integração. O backend será a única camada autorizada a calcular o IRA e normalizar provedores, reduzindo duplicidade de regras.</w:t>
      </w:r>
    </w:p>
    <w:p>
      <w:pPr>
        <w:pStyle w:val="Heading2"/>
      </w:pPr>
      <w:r>
        <w:t>4.5 Persistência: PostgreSQL e PostGIS</w:t>
      </w:r>
    </w:p>
    <w:p>
      <w:pPr>
        <w:jc w:val="both"/>
      </w:pPr>
      <w:r>
        <w:rPr>
          <w:rFonts w:ascii="Times New Roman" w:hAnsi="Times New Roman"/>
          <w:b w:val="0"/>
          <w:sz w:val="24"/>
        </w:rPr>
        <w:t>PostgreSQL/PostGIS foi mantido por oferecer banco relacional maduro e extensões espaciais no mesmo ambiente. A solução armazenará geometria, instante, origem, atributos meteorológicos normalizados e metadados. Índice GiST será criado sobre a coluna espacial e comparado experimentalmente com cenário sem índice.</w:t>
      </w:r>
    </w:p>
    <w:p>
      <w:pPr>
        <w:pStyle w:val="Heading2"/>
      </w:pPr>
      <w:r>
        <w:t>4.6 Mapa e Geocodificação</w:t>
      </w:r>
    </w:p>
    <w:p>
      <w:pPr>
        <w:jc w:val="both"/>
      </w:pPr>
      <w:r>
        <w:rPr>
          <w:rFonts w:ascii="Times New Roman" w:hAnsi="Times New Roman"/>
          <w:b w:val="0"/>
          <w:sz w:val="24"/>
        </w:rPr>
        <w:t>O mapa poderá utilizar Google Maps SDK for Android, conforme o escopo original. A dependência será encapsulada na camada de apresentação; o banco armazenará coordenadas independentemente do provedor de mapa. O uso de geocodificação textual não é requisito central: coordenadas são a referência primária do evento.</w:t>
      </w:r>
    </w:p>
    <w:p>
      <w:pPr>
        <w:pStyle w:val="Heading2"/>
      </w:pPr>
      <w:r>
        <w:t>4.7 Estratégia de Normalização e Fusão</w:t>
      </w:r>
    </w:p>
    <w:p>
      <w:pPr>
        <w:jc w:val="both"/>
      </w:pPr>
      <w:r>
        <w:rPr>
          <w:rFonts w:ascii="Times New Roman" w:hAnsi="Times New Roman"/>
          <w:b w:val="0"/>
          <w:sz w:val="24"/>
        </w:rPr>
        <w:t>Será definido um modelo canônico contendo, no mínimo: provedor, latitude, longitude, instante da observação/previsão, instante de coleta, precipitação, unidade, tipo de dado e qualidade/status. Adaptadores converterão respostas externas para esse modelo. A fusão ocorrerá apenas após normalização temporal e de unidades.</w:t>
      </w:r>
    </w:p>
    <w:p>
      <w:pPr>
        <w:pStyle w:val="Heading2"/>
      </w:pPr>
      <w:r>
        <w:t>4.8 Decisões Consolidadas de Escopo</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r>
              <w:rPr>
                <w:rFonts w:ascii="Times New Roman" w:hAnsi="Times New Roman"/>
                <w:b/>
                <w:sz w:val="20"/>
              </w:rPr>
              <w:t>Incluído no MVP</w:t>
            </w:r>
          </w:p>
        </w:tc>
        <w:tc>
          <w:tcPr>
            <w:tcW w:type="dxa" w:w="4702"/>
            <w:vAlign w:val="center"/>
          </w:tcPr>
          <w:p>
            <w:r>
              <w:rPr>
                <w:rFonts w:ascii="Times New Roman" w:hAnsi="Times New Roman"/>
                <w:b/>
                <w:sz w:val="20"/>
              </w:rPr>
              <w:t>Fora do MVP</w:t>
            </w:r>
          </w:p>
        </w:tc>
      </w:tr>
      <w:tr>
        <w:tc>
          <w:tcPr>
            <w:tcW w:type="dxa" w:w="4702"/>
            <w:vAlign w:val="center"/>
          </w:tcPr>
          <w:p>
            <w:pPr>
              <w:spacing w:line="240" w:lineRule="auto"/>
              <w:ind w:firstLine="0"/>
            </w:pPr>
            <w:r>
              <w:rPr>
                <w:rFonts w:ascii="Times New Roman" w:hAnsi="Times New Roman"/>
                <w:sz w:val="18"/>
              </w:rPr>
              <w:t>Android Kotlin/XML</w:t>
            </w:r>
          </w:p>
        </w:tc>
        <w:tc>
          <w:tcPr>
            <w:tcW w:type="dxa" w:w="4702"/>
            <w:vAlign w:val="center"/>
          </w:tcPr>
          <w:p>
            <w:pPr>
              <w:spacing w:line="240" w:lineRule="auto"/>
              <w:ind w:firstLine="0"/>
            </w:pPr>
            <w:r>
              <w:rPr>
                <w:rFonts w:ascii="Times New Roman" w:hAnsi="Times New Roman"/>
                <w:sz w:val="18"/>
              </w:rPr>
              <w:t>iOS e multiplataforma</w:t>
            </w:r>
          </w:p>
        </w:tc>
      </w:tr>
      <w:tr>
        <w:tc>
          <w:tcPr>
            <w:tcW w:type="dxa" w:w="4702"/>
            <w:vAlign w:val="center"/>
          </w:tcPr>
          <w:p>
            <w:pPr>
              <w:spacing w:line="240" w:lineRule="auto"/>
              <w:ind w:firstLine="0"/>
            </w:pPr>
            <w:r>
              <w:rPr>
                <w:rFonts w:ascii="Times New Roman" w:hAnsi="Times New Roman"/>
                <w:sz w:val="18"/>
              </w:rPr>
              <w:t>FastAPI REST</w:t>
            </w:r>
          </w:p>
        </w:tc>
        <w:tc>
          <w:tcPr>
            <w:tcW w:type="dxa" w:w="4702"/>
            <w:vAlign w:val="center"/>
          </w:tcPr>
          <w:p>
            <w:pPr>
              <w:spacing w:line="240" w:lineRule="auto"/>
              <w:ind w:firstLine="0"/>
            </w:pPr>
            <w:r>
              <w:rPr>
                <w:rFonts w:ascii="Times New Roman" w:hAnsi="Times New Roman"/>
                <w:sz w:val="18"/>
              </w:rPr>
              <w:t>microserviços distribuídos complexos</w:t>
            </w:r>
          </w:p>
        </w:tc>
      </w:tr>
      <w:tr>
        <w:tc>
          <w:tcPr>
            <w:tcW w:type="dxa" w:w="4702"/>
            <w:vAlign w:val="center"/>
          </w:tcPr>
          <w:p>
            <w:pPr>
              <w:spacing w:line="240" w:lineRule="auto"/>
              <w:ind w:firstLine="0"/>
            </w:pPr>
            <w:r>
              <w:rPr>
                <w:rFonts w:ascii="Times New Roman" w:hAnsi="Times New Roman"/>
                <w:sz w:val="18"/>
              </w:rPr>
              <w:t>PostgreSQL/PostGIS</w:t>
            </w:r>
          </w:p>
        </w:tc>
        <w:tc>
          <w:tcPr>
            <w:tcW w:type="dxa" w:w="4702"/>
            <w:vAlign w:val="center"/>
          </w:tcPr>
          <w:p>
            <w:pPr>
              <w:spacing w:line="240" w:lineRule="auto"/>
              <w:ind w:firstLine="0"/>
            </w:pPr>
            <w:r>
              <w:rPr>
                <w:rFonts w:ascii="Times New Roman" w:hAnsi="Times New Roman"/>
                <w:sz w:val="18"/>
              </w:rPr>
              <w:t>data lake/big data</w:t>
            </w:r>
          </w:p>
        </w:tc>
      </w:tr>
      <w:tr>
        <w:tc>
          <w:tcPr>
            <w:tcW w:type="dxa" w:w="4702"/>
            <w:vAlign w:val="center"/>
          </w:tcPr>
          <w:p>
            <w:pPr>
              <w:spacing w:line="240" w:lineRule="auto"/>
              <w:ind w:firstLine="0"/>
            </w:pPr>
            <w:r>
              <w:rPr>
                <w:rFonts w:ascii="Times New Roman" w:hAnsi="Times New Roman"/>
                <w:sz w:val="18"/>
              </w:rPr>
              <w:t>2+ fontes meteorológicas acessíveis</w:t>
            </w:r>
          </w:p>
        </w:tc>
        <w:tc>
          <w:tcPr>
            <w:tcW w:type="dxa" w:w="4702"/>
            <w:vAlign w:val="center"/>
          </w:tcPr>
          <w:p>
            <w:pPr>
              <w:spacing w:line="240" w:lineRule="auto"/>
              <w:ind w:firstLine="0"/>
            </w:pPr>
            <w:r>
              <w:rPr>
                <w:rFonts w:ascii="Times New Roman" w:hAnsi="Times New Roman"/>
                <w:sz w:val="18"/>
              </w:rPr>
              <w:t>dependência obrigatória de todas as fontes candidatas</w:t>
            </w:r>
          </w:p>
        </w:tc>
      </w:tr>
      <w:tr>
        <w:tc>
          <w:tcPr>
            <w:tcW w:type="dxa" w:w="4702"/>
            <w:vAlign w:val="center"/>
          </w:tcPr>
          <w:p>
            <w:pPr>
              <w:spacing w:line="240" w:lineRule="auto"/>
              <w:ind w:firstLine="0"/>
            </w:pPr>
            <w:r>
              <w:rPr>
                <w:rFonts w:ascii="Times New Roman" w:hAnsi="Times New Roman"/>
                <w:sz w:val="18"/>
              </w:rPr>
              <w:t>registros colaborativos</w:t>
            </w:r>
          </w:p>
        </w:tc>
        <w:tc>
          <w:tcPr>
            <w:tcW w:type="dxa" w:w="4702"/>
            <w:vAlign w:val="center"/>
          </w:tcPr>
          <w:p>
            <w:pPr>
              <w:spacing w:line="240" w:lineRule="auto"/>
              <w:ind w:firstLine="0"/>
            </w:pPr>
            <w:r>
              <w:rPr>
                <w:rFonts w:ascii="Times New Roman" w:hAnsi="Times New Roman"/>
                <w:sz w:val="18"/>
              </w:rPr>
              <w:t>sensores IoT físicos</w:t>
            </w:r>
          </w:p>
        </w:tc>
      </w:tr>
      <w:tr>
        <w:tc>
          <w:tcPr>
            <w:tcW w:type="dxa" w:w="4702"/>
            <w:vAlign w:val="center"/>
          </w:tcPr>
          <w:p>
            <w:pPr>
              <w:spacing w:line="240" w:lineRule="auto"/>
              <w:ind w:firstLine="0"/>
            </w:pPr>
            <w:r>
              <w:rPr>
                <w:rFonts w:ascii="Times New Roman" w:hAnsi="Times New Roman"/>
                <w:sz w:val="18"/>
              </w:rPr>
              <w:t>IRA por regras/pesos</w:t>
            </w:r>
          </w:p>
        </w:tc>
        <w:tc>
          <w:tcPr>
            <w:tcW w:type="dxa" w:w="4702"/>
            <w:vAlign w:val="center"/>
          </w:tcPr>
          <w:p>
            <w:pPr>
              <w:spacing w:line="240" w:lineRule="auto"/>
              <w:ind w:firstLine="0"/>
            </w:pPr>
            <w:r>
              <w:rPr>
                <w:rFonts w:ascii="Times New Roman" w:hAnsi="Times New Roman"/>
                <w:sz w:val="18"/>
              </w:rPr>
              <w:t>machine learning e previsão hidrológica</w:t>
            </w:r>
          </w:p>
        </w:tc>
      </w:tr>
      <w:tr>
        <w:tc>
          <w:tcPr>
            <w:tcW w:type="dxa" w:w="4702"/>
            <w:vAlign w:val="center"/>
          </w:tcPr>
          <w:p>
            <w:pPr>
              <w:spacing w:line="240" w:lineRule="auto"/>
              <w:ind w:firstLine="0"/>
            </w:pPr>
            <w:r>
              <w:rPr>
                <w:rFonts w:ascii="Times New Roman" w:hAnsi="Times New Roman"/>
                <w:sz w:val="18"/>
              </w:rPr>
              <w:t>benchmark GiST</w:t>
            </w:r>
          </w:p>
        </w:tc>
        <w:tc>
          <w:tcPr>
            <w:tcW w:type="dxa" w:w="4702"/>
            <w:vAlign w:val="center"/>
          </w:tcPr>
          <w:p>
            <w:pPr>
              <w:spacing w:line="240" w:lineRule="auto"/>
              <w:ind w:firstLine="0"/>
            </w:pPr>
            <w:r>
              <w:rPr>
                <w:rFonts w:ascii="Times New Roman" w:hAnsi="Times New Roman"/>
                <w:sz w:val="18"/>
              </w:rPr>
              <w:t>promessa de complexidade assintótica fixa</w:t>
            </w:r>
          </w:p>
        </w:tc>
      </w:tr>
      <w:tr>
        <w:tc>
          <w:tcPr>
            <w:tcW w:type="dxa" w:w="4702"/>
            <w:vAlign w:val="center"/>
          </w:tcPr>
          <w:p>
            <w:pPr>
              <w:spacing w:line="240" w:lineRule="auto"/>
              <w:ind w:firstLine="0"/>
            </w:pPr>
            <w:r>
              <w:rPr>
                <w:rFonts w:ascii="Times New Roman" w:hAnsi="Times New Roman"/>
                <w:sz w:val="18"/>
              </w:rPr>
              <w:t>testes controlados</w:t>
            </w:r>
          </w:p>
        </w:tc>
        <w:tc>
          <w:tcPr>
            <w:tcW w:type="dxa" w:w="4702"/>
            <w:vAlign w:val="center"/>
          </w:tcPr>
          <w:p>
            <w:pPr>
              <w:spacing w:line="240" w:lineRule="auto"/>
              <w:ind w:firstLine="0"/>
            </w:pPr>
            <w:r>
              <w:rPr>
                <w:rFonts w:ascii="Times New Roman" w:hAnsi="Times New Roman"/>
                <w:sz w:val="18"/>
              </w:rPr>
              <w:t>operação oficial em escala urbana</w:t>
            </w:r>
          </w:p>
        </w:tc>
      </w:tr>
    </w:tbl>
    <w:p>
      <w:pPr>
        <w:pStyle w:val="Heading1"/>
      </w:pPr>
      <w:r>
        <w:t>5 PROPOSTA DA SOLUÇÃO</w:t>
      </w:r>
    </w:p>
    <w:p>
      <w:pPr>
        <w:pStyle w:val="Heading2"/>
      </w:pPr>
      <w:r>
        <w:t>5.1 Visão Geral</w:t>
      </w:r>
    </w:p>
    <w:p>
      <w:pPr>
        <w:jc w:val="both"/>
      </w:pPr>
      <w:r>
        <w:rPr>
          <w:rFonts w:ascii="Times New Roman" w:hAnsi="Times New Roman"/>
          <w:b w:val="0"/>
          <w:sz w:val="24"/>
        </w:rPr>
        <w:t>A solução é composta por aplicativo Android, API de serviços, módulo de integração meteorológica, módulo de fusão/normalização, módulo de cálculo do IRA e banco PostgreSQL/PostGIS. O aplicativo solicita dados e envia ocorrências; o backend valida, normaliza e persiste; adaptadores consultam fontes externas; o módulo de IRA combina evidências; e o banco executa consultas espaciais.</w:t>
      </w:r>
    </w:p>
    <w:p>
      <w:pPr>
        <w:pStyle w:val="Heading2"/>
      </w:pPr>
      <w:r>
        <w:t>5.2 Arquitetura Lógica</w:t>
      </w:r>
    </w:p>
    <w:p>
      <w:pPr>
        <w:jc w:val="both"/>
      </w:pPr>
      <w:r>
        <w:rPr>
          <w:rFonts w:ascii="Times New Roman" w:hAnsi="Times New Roman"/>
          <w:b w:val="0"/>
          <w:sz w:val="24"/>
        </w:rPr>
        <w:t>Fluxo principal: Usuário → Aplicativo Android → API FastAPI → Serviços de domínio → (a) PostGIS; (b) adaptadores meteorológicos → normalizador/fusão → IRA → resposta ao aplicativo. A separação entre adaptadores e domínio evita que formatos específicos de OpenWeather ou Open-Meteo contaminem as regras centrais.</w:t>
      </w:r>
    </w:p>
    <w:p>
      <w:pPr>
        <w:pStyle w:val="Heading2"/>
      </w:pPr>
      <w:r>
        <w:t>5.3 Requisitos Funcionais</w:t>
      </w:r>
    </w:p>
    <w:p>
      <w:pPr>
        <w:pStyle w:val="ListBullet"/>
        <w:spacing w:line="360" w:lineRule="auto"/>
        <w:ind w:firstLine="0" w:left="567"/>
      </w:pPr>
      <w:r>
        <w:t>RF01 – permitir visualizar ocorrências georreferenciadas em mapa;</w:t>
      </w:r>
    </w:p>
    <w:p>
      <w:pPr>
        <w:pStyle w:val="ListBullet"/>
        <w:spacing w:line="360" w:lineRule="auto"/>
        <w:ind w:firstLine="0" w:left="567"/>
      </w:pPr>
      <w:r>
        <w:t>RF02 – permitir registrar ocorrência com localização, data/hora e descrição mínima;</w:t>
      </w:r>
    </w:p>
    <w:p>
      <w:pPr>
        <w:pStyle w:val="ListBullet"/>
        <w:spacing w:line="360" w:lineRule="auto"/>
        <w:ind w:firstLine="0" w:left="567"/>
      </w:pPr>
      <w:r>
        <w:t>RF03 – consultar ocorrências por proximidade, período e classe de risco;</w:t>
      </w:r>
    </w:p>
    <w:p>
      <w:pPr>
        <w:pStyle w:val="ListBullet"/>
        <w:spacing w:line="360" w:lineRule="auto"/>
        <w:ind w:firstLine="0" w:left="567"/>
      </w:pPr>
      <w:r>
        <w:t>RF04 – coletar dados de pelo menos duas fontes meteorológicas acessíveis;</w:t>
      </w:r>
    </w:p>
    <w:p>
      <w:pPr>
        <w:pStyle w:val="ListBullet"/>
        <w:spacing w:line="360" w:lineRule="auto"/>
        <w:ind w:firstLine="0" w:left="567"/>
      </w:pPr>
      <w:r>
        <w:t>RF05 – normalizar dados meteorológicos para modelo interno comum;</w:t>
      </w:r>
    </w:p>
    <w:p>
      <w:pPr>
        <w:pStyle w:val="ListBullet"/>
        <w:spacing w:line="360" w:lineRule="auto"/>
        <w:ind w:firstLine="0" w:left="567"/>
      </w:pPr>
      <w:r>
        <w:t>RF06 – calcular e apresentar IRA e seus componentes;</w:t>
      </w:r>
    </w:p>
    <w:p>
      <w:pPr>
        <w:pStyle w:val="ListBullet"/>
        <w:spacing w:line="360" w:lineRule="auto"/>
        <w:ind w:firstLine="0" w:left="567"/>
      </w:pPr>
      <w:r>
        <w:t>RF07 – manter histórico de ocorrências e classificações;</w:t>
      </w:r>
    </w:p>
    <w:p>
      <w:pPr>
        <w:pStyle w:val="ListBullet"/>
        <w:spacing w:line="360" w:lineRule="auto"/>
        <w:ind w:firstLine="0" w:left="567"/>
      </w:pPr>
      <w:r>
        <w:t>RF08 – informar indisponibilidade ou defasagem de fonte externa;</w:t>
      </w:r>
    </w:p>
    <w:p>
      <w:pPr>
        <w:pStyle w:val="ListBullet"/>
        <w:spacing w:line="360" w:lineRule="auto"/>
        <w:ind w:firstLine="0" w:left="567"/>
      </w:pPr>
      <w:r>
        <w:t>RF09 – registrar proveniência dos dados utilizados no cálculo;</w:t>
      </w:r>
    </w:p>
    <w:p>
      <w:pPr>
        <w:pStyle w:val="ListBullet"/>
        <w:spacing w:line="360" w:lineRule="auto"/>
        <w:ind w:firstLine="0" w:left="567"/>
      </w:pPr>
      <w:r>
        <w:t>RF10 – permitir consulta de detalhes de uma ocorrência/área.</w:t>
      </w:r>
    </w:p>
    <w:p>
      <w:pPr>
        <w:pStyle w:val="Heading2"/>
      </w:pPr>
      <w:r>
        <w:t>5.4 Requisitos Não Funcionais</w:t>
      </w:r>
    </w:p>
    <w:p>
      <w:pPr>
        <w:pStyle w:val="ListBullet"/>
        <w:spacing w:line="360" w:lineRule="auto"/>
        <w:ind w:firstLine="0" w:left="567"/>
      </w:pPr>
      <w:r>
        <w:t>RNF01 – o aplicativo deve executar em Android e utilizar Kotlin/XML;</w:t>
      </w:r>
    </w:p>
    <w:p>
      <w:pPr>
        <w:pStyle w:val="ListBullet"/>
        <w:spacing w:line="360" w:lineRule="auto"/>
        <w:ind w:firstLine="0" w:left="567"/>
      </w:pPr>
      <w:r>
        <w:t>RNF02 – a API deve usar HTTP/JSON e documentação OpenAPI;</w:t>
      </w:r>
    </w:p>
    <w:p>
      <w:pPr>
        <w:pStyle w:val="ListBullet"/>
        <w:spacing w:line="360" w:lineRule="auto"/>
        <w:ind w:firstLine="0" w:left="567"/>
      </w:pPr>
      <w:r>
        <w:t>RNF03 – dados espaciais devem ser persistidos em PostGIS com SRID documentado;</w:t>
      </w:r>
    </w:p>
    <w:p>
      <w:pPr>
        <w:pStyle w:val="ListBullet"/>
        <w:spacing w:line="360" w:lineRule="auto"/>
        <w:ind w:firstLine="0" w:left="567"/>
      </w:pPr>
      <w:r>
        <w:t>RNF04 – consultas críticas devem ser mensuradas e comparadas com e sem índice espacial;</w:t>
      </w:r>
    </w:p>
    <w:p>
      <w:pPr>
        <w:pStyle w:val="ListBullet"/>
        <w:spacing w:line="360" w:lineRule="auto"/>
        <w:ind w:firstLine="0" w:left="567"/>
      </w:pPr>
      <w:r>
        <w:t>RNF05 – a indisponibilidade de um provedor não deve derrubar todo o sistema;</w:t>
      </w:r>
    </w:p>
    <w:p>
      <w:pPr>
        <w:pStyle w:val="ListBullet"/>
        <w:spacing w:line="360" w:lineRule="auto"/>
        <w:ind w:firstLine="0" w:left="567"/>
      </w:pPr>
      <w:r>
        <w:t>RNF06 – o sistema deve registrar timestamps e origem dos dados;</w:t>
      </w:r>
    </w:p>
    <w:p>
      <w:pPr>
        <w:pStyle w:val="ListBullet"/>
        <w:spacing w:line="360" w:lineRule="auto"/>
        <w:ind w:firstLine="0" w:left="567"/>
      </w:pPr>
      <w:r>
        <w:t>RNF07 – dados pessoais devem ser minimizados;</w:t>
      </w:r>
    </w:p>
    <w:p>
      <w:pPr>
        <w:pStyle w:val="ListBullet"/>
        <w:spacing w:line="360" w:lineRule="auto"/>
        <w:ind w:firstLine="0" w:left="567"/>
      </w:pPr>
      <w:r>
        <w:t>RNF08 – metas de latência serão definidas antes do teste e reportadas como atendidas ou não, sem manipulação posterior.</w:t>
      </w:r>
    </w:p>
    <w:p>
      <w:pPr>
        <w:pStyle w:val="Heading2"/>
      </w:pPr>
      <w:r>
        <w:t>5.5 Modelo Conceitual de Dados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Entidade</w:t>
            </w:r>
          </w:p>
        </w:tc>
        <w:tc>
          <w:tcPr>
            <w:tcW w:type="dxa" w:w="3135"/>
            <w:vAlign w:val="center"/>
          </w:tcPr>
          <w:p>
            <w:r>
              <w:rPr>
                <w:rFonts w:ascii="Times New Roman" w:hAnsi="Times New Roman"/>
                <w:b/>
                <w:sz w:val="20"/>
              </w:rPr>
              <w:t>Atributos essenciais</w:t>
            </w:r>
          </w:p>
        </w:tc>
        <w:tc>
          <w:tcPr>
            <w:tcW w:type="dxa" w:w="3135"/>
            <w:vAlign w:val="center"/>
          </w:tcPr>
          <w:p>
            <w:r>
              <w:rPr>
                <w:rFonts w:ascii="Times New Roman" w:hAnsi="Times New Roman"/>
                <w:b/>
                <w:sz w:val="20"/>
              </w:rPr>
              <w:t>Observação</w:t>
            </w:r>
          </w:p>
        </w:tc>
      </w:tr>
      <w:tr>
        <w:tc>
          <w:tcPr>
            <w:tcW w:type="dxa" w:w="3135"/>
            <w:vAlign w:val="center"/>
          </w:tcPr>
          <w:p>
            <w:pPr>
              <w:spacing w:line="240" w:lineRule="auto"/>
              <w:ind w:firstLine="0"/>
            </w:pPr>
            <w:r>
              <w:rPr>
                <w:rFonts w:ascii="Times New Roman" w:hAnsi="Times New Roman"/>
                <w:sz w:val="18"/>
              </w:rPr>
              <w:t>Usuário</w:t>
            </w:r>
          </w:p>
        </w:tc>
        <w:tc>
          <w:tcPr>
            <w:tcW w:type="dxa" w:w="3135"/>
            <w:vAlign w:val="center"/>
          </w:tcPr>
          <w:p>
            <w:pPr>
              <w:spacing w:line="240" w:lineRule="auto"/>
              <w:ind w:firstLine="0"/>
            </w:pPr>
            <w:r>
              <w:rPr>
                <w:rFonts w:ascii="Times New Roman" w:hAnsi="Times New Roman"/>
                <w:sz w:val="18"/>
              </w:rPr>
              <w:t>id pseudônimo, credencial/hash se houver</w:t>
            </w:r>
          </w:p>
        </w:tc>
        <w:tc>
          <w:tcPr>
            <w:tcW w:type="dxa" w:w="3135"/>
            <w:vAlign w:val="center"/>
          </w:tcPr>
          <w:p>
            <w:pPr>
              <w:spacing w:line="240" w:lineRule="auto"/>
              <w:ind w:firstLine="0"/>
            </w:pPr>
            <w:r>
              <w:rPr>
                <w:rFonts w:ascii="Times New Roman" w:hAnsi="Times New Roman"/>
                <w:sz w:val="18"/>
              </w:rPr>
              <w:t>evitar dados pessoais desnecessários</w:t>
            </w:r>
          </w:p>
        </w:tc>
      </w:tr>
      <w:tr>
        <w:tc>
          <w:tcPr>
            <w:tcW w:type="dxa" w:w="3135"/>
            <w:vAlign w:val="center"/>
          </w:tcPr>
          <w:p>
            <w:pPr>
              <w:spacing w:line="240" w:lineRule="auto"/>
              <w:ind w:firstLine="0"/>
            </w:pPr>
            <w:r>
              <w:rPr>
                <w:rFonts w:ascii="Times New Roman" w:hAnsi="Times New Roman"/>
                <w:sz w:val="18"/>
              </w:rPr>
              <w:t>Ocorrência</w:t>
            </w:r>
          </w:p>
        </w:tc>
        <w:tc>
          <w:tcPr>
            <w:tcW w:type="dxa" w:w="3135"/>
            <w:vAlign w:val="center"/>
          </w:tcPr>
          <w:p>
            <w:pPr>
              <w:spacing w:line="240" w:lineRule="auto"/>
              <w:ind w:firstLine="0"/>
            </w:pPr>
            <w:r>
              <w:rPr>
                <w:rFonts w:ascii="Times New Roman" w:hAnsi="Times New Roman"/>
                <w:sz w:val="18"/>
              </w:rPr>
              <w:t>id, geom, instante, descrição, origem, status</w:t>
            </w:r>
          </w:p>
        </w:tc>
        <w:tc>
          <w:tcPr>
            <w:tcW w:type="dxa" w:w="3135"/>
            <w:vAlign w:val="center"/>
          </w:tcPr>
          <w:p>
            <w:pPr>
              <w:spacing w:line="240" w:lineRule="auto"/>
              <w:ind w:firstLine="0"/>
            </w:pPr>
            <w:r>
              <w:rPr>
                <w:rFonts w:ascii="Times New Roman" w:hAnsi="Times New Roman"/>
                <w:sz w:val="18"/>
              </w:rPr>
              <w:t>ponto georreferenciado</w:t>
            </w:r>
          </w:p>
        </w:tc>
      </w:tr>
      <w:tr>
        <w:tc>
          <w:tcPr>
            <w:tcW w:type="dxa" w:w="3135"/>
            <w:vAlign w:val="center"/>
          </w:tcPr>
          <w:p>
            <w:pPr>
              <w:spacing w:line="240" w:lineRule="auto"/>
              <w:ind w:firstLine="0"/>
            </w:pPr>
            <w:r>
              <w:rPr>
                <w:rFonts w:ascii="Times New Roman" w:hAnsi="Times New Roman"/>
                <w:sz w:val="18"/>
              </w:rPr>
              <w:t>ObservaçãoMeteorológica</w:t>
            </w:r>
          </w:p>
        </w:tc>
        <w:tc>
          <w:tcPr>
            <w:tcW w:type="dxa" w:w="3135"/>
            <w:vAlign w:val="center"/>
          </w:tcPr>
          <w:p>
            <w:pPr>
              <w:spacing w:line="240" w:lineRule="auto"/>
              <w:ind w:firstLine="0"/>
            </w:pPr>
            <w:r>
              <w:rPr>
                <w:rFonts w:ascii="Times New Roman" w:hAnsi="Times New Roman"/>
                <w:sz w:val="18"/>
              </w:rPr>
              <w:t>provedor, geom/referência, instante, variáveis, unidade</w:t>
            </w:r>
          </w:p>
        </w:tc>
        <w:tc>
          <w:tcPr>
            <w:tcW w:type="dxa" w:w="3135"/>
            <w:vAlign w:val="center"/>
          </w:tcPr>
          <w:p>
            <w:pPr>
              <w:spacing w:line="240" w:lineRule="auto"/>
              <w:ind w:firstLine="0"/>
            </w:pPr>
            <w:r>
              <w:rPr>
                <w:rFonts w:ascii="Times New Roman" w:hAnsi="Times New Roman"/>
                <w:sz w:val="18"/>
              </w:rPr>
              <w:t>preserva dado normalizado e proveniência</w:t>
            </w:r>
          </w:p>
        </w:tc>
      </w:tr>
      <w:tr>
        <w:tc>
          <w:tcPr>
            <w:tcW w:type="dxa" w:w="3135"/>
            <w:vAlign w:val="center"/>
          </w:tcPr>
          <w:p>
            <w:pPr>
              <w:spacing w:line="240" w:lineRule="auto"/>
              <w:ind w:firstLine="0"/>
            </w:pPr>
            <w:r>
              <w:rPr>
                <w:rFonts w:ascii="Times New Roman" w:hAnsi="Times New Roman"/>
                <w:sz w:val="18"/>
              </w:rPr>
              <w:t>Fonte</w:t>
            </w:r>
          </w:p>
        </w:tc>
        <w:tc>
          <w:tcPr>
            <w:tcW w:type="dxa" w:w="3135"/>
            <w:vAlign w:val="center"/>
          </w:tcPr>
          <w:p>
            <w:pPr>
              <w:spacing w:line="240" w:lineRule="auto"/>
              <w:ind w:firstLine="0"/>
            </w:pPr>
            <w:r>
              <w:rPr>
                <w:rFonts w:ascii="Times New Roman" w:hAnsi="Times New Roman"/>
                <w:sz w:val="18"/>
              </w:rPr>
              <w:t>id, nome, tipo, disponibilidade</w:t>
            </w:r>
          </w:p>
        </w:tc>
        <w:tc>
          <w:tcPr>
            <w:tcW w:type="dxa" w:w="3135"/>
            <w:vAlign w:val="center"/>
          </w:tcPr>
          <w:p>
            <w:pPr>
              <w:spacing w:line="240" w:lineRule="auto"/>
              <w:ind w:firstLine="0"/>
            </w:pPr>
            <w:r>
              <w:rPr>
                <w:rFonts w:ascii="Times New Roman" w:hAnsi="Times New Roman"/>
                <w:sz w:val="18"/>
              </w:rPr>
              <w:t>configuração do adaptador</w:t>
            </w:r>
          </w:p>
        </w:tc>
      </w:tr>
      <w:tr>
        <w:tc>
          <w:tcPr>
            <w:tcW w:type="dxa" w:w="3135"/>
            <w:vAlign w:val="center"/>
          </w:tcPr>
          <w:p>
            <w:pPr>
              <w:spacing w:line="240" w:lineRule="auto"/>
              <w:ind w:firstLine="0"/>
            </w:pPr>
            <w:r>
              <w:rPr>
                <w:rFonts w:ascii="Times New Roman" w:hAnsi="Times New Roman"/>
                <w:sz w:val="18"/>
              </w:rPr>
              <w:t>CálculoIRA</w:t>
            </w:r>
          </w:p>
        </w:tc>
        <w:tc>
          <w:tcPr>
            <w:tcW w:type="dxa" w:w="3135"/>
            <w:vAlign w:val="center"/>
          </w:tcPr>
          <w:p>
            <w:pPr>
              <w:spacing w:line="240" w:lineRule="auto"/>
              <w:ind w:firstLine="0"/>
            </w:pPr>
            <w:r>
              <w:rPr>
                <w:rFonts w:ascii="Times New Roman" w:hAnsi="Times New Roman"/>
                <w:sz w:val="18"/>
              </w:rPr>
              <w:t>ocorrência/área, instante, componentes, pesos, resultado, versão</w:t>
            </w:r>
          </w:p>
        </w:tc>
        <w:tc>
          <w:tcPr>
            <w:tcW w:type="dxa" w:w="3135"/>
            <w:vAlign w:val="center"/>
          </w:tcPr>
          <w:p>
            <w:pPr>
              <w:spacing w:line="240" w:lineRule="auto"/>
              <w:ind w:firstLine="0"/>
            </w:pPr>
            <w:r>
              <w:rPr>
                <w:rFonts w:ascii="Times New Roman" w:hAnsi="Times New Roman"/>
                <w:sz w:val="18"/>
              </w:rPr>
              <w:t>permite reprodutibilidade</w:t>
            </w:r>
          </w:p>
        </w:tc>
      </w:tr>
      <w:tr>
        <w:tc>
          <w:tcPr>
            <w:tcW w:type="dxa" w:w="3135"/>
            <w:vAlign w:val="center"/>
          </w:tcPr>
          <w:p>
            <w:pPr>
              <w:spacing w:line="240" w:lineRule="auto"/>
              <w:ind w:firstLine="0"/>
            </w:pPr>
            <w:r>
              <w:rPr>
                <w:rFonts w:ascii="Times New Roman" w:hAnsi="Times New Roman"/>
                <w:sz w:val="18"/>
              </w:rPr>
              <w:t>ExecuçãoBenchmark</w:t>
            </w:r>
          </w:p>
        </w:tc>
        <w:tc>
          <w:tcPr>
            <w:tcW w:type="dxa" w:w="3135"/>
            <w:vAlign w:val="center"/>
          </w:tcPr>
          <w:p>
            <w:pPr>
              <w:spacing w:line="240" w:lineRule="auto"/>
              <w:ind w:firstLine="0"/>
            </w:pPr>
            <w:r>
              <w:rPr>
                <w:rFonts w:ascii="Times New Roman" w:hAnsi="Times New Roman"/>
                <w:sz w:val="18"/>
              </w:rPr>
              <w:t>consulta, volume, índice, tempo, plano, ambiente</w:t>
            </w:r>
          </w:p>
        </w:tc>
        <w:tc>
          <w:tcPr>
            <w:tcW w:type="dxa" w:w="3135"/>
            <w:vAlign w:val="center"/>
          </w:tcPr>
          <w:p>
            <w:pPr>
              <w:spacing w:line="240" w:lineRule="auto"/>
              <w:ind w:firstLine="0"/>
            </w:pPr>
            <w:r>
              <w:rPr>
                <w:rFonts w:ascii="Times New Roman" w:hAnsi="Times New Roman"/>
                <w:sz w:val="18"/>
              </w:rPr>
              <w:t>evidência experimental</w:t>
            </w:r>
          </w:p>
        </w:tc>
      </w:tr>
    </w:tbl>
    <w:p>
      <w:pPr>
        <w:pStyle w:val="Heading2"/>
      </w:pPr>
      <w:r>
        <w:t>5.6 Índice de Risco de Alagamento (IRA)</w:t>
      </w:r>
    </w:p>
    <w:p>
      <w:pPr>
        <w:jc w:val="both"/>
      </w:pPr>
      <w:r>
        <w:rPr>
          <w:rFonts w:ascii="Times New Roman" w:hAnsi="Times New Roman"/>
          <w:b w:val="0"/>
          <w:sz w:val="24"/>
        </w:rPr>
        <w:t>O IRA será um índice adimensional normalizado, inicialmente em escala 0–100, calculado a partir de componentes normalizados. Uma formulação genérica é IRA = 100 × Σ(wᵢ·xᵢ), com Σwᵢ = 1 e xᵢ ∈ [0,1]. Os componentes candidatos são precipitação atual/recente, precipitação acumulada, densidade/recência de relatos e histórico local de ocorrências. A fórmula final somente será congelada após revisão bibliográfica, disponibilidade efetiva dos dados e análise de sensibilidade.</w:t>
      </w:r>
    </w:p>
    <w:p>
      <w:pPr>
        <w:jc w:val="both"/>
      </w:pPr>
      <w:r>
        <w:rPr>
          <w:rFonts w:ascii="Times New Roman" w:hAnsi="Times New Roman"/>
          <w:b w:val="0"/>
          <w:sz w:val="24"/>
        </w:rPr>
        <w:t>Faixas como baixo, moderado, alto e crítico serão rótulos operacionais do protótipo, não níveis oficiais de Defesa Civil. A versão do conjunto de pesos será armazenada junto ao cálculo para permitir reprodução. Se uma variável estiver indisponível, o sistema deverá aplicar regra explícita de degradação, como renormalização dos pesos disponíveis ou indicação de confiança reduzida; a escolha será testada e documentada.</w:t>
      </w:r>
    </w:p>
    <w:p>
      <w:pPr>
        <w:pStyle w:val="Heading2"/>
      </w:pPr>
      <w:r>
        <w:t>5.7 Consultas Geoespaciais</w:t>
      </w:r>
    </w:p>
    <w:p>
      <w:pPr>
        <w:jc w:val="both"/>
      </w:pPr>
      <w:r>
        <w:rPr>
          <w:rFonts w:ascii="Times New Roman" w:hAnsi="Times New Roman"/>
          <w:b w:val="0"/>
          <w:sz w:val="24"/>
        </w:rPr>
        <w:t>As consultas principais utilizarão predicados index-aware. Para proximidade, ST_DWithin será preferido a calcular ST_Distance para todas as linhas, pois pode aproveitar índice espacial em condições adequadas. Para áreas, ST_Intersects ou ST_Within serão escolhidos conforme semântica. A consulta de vizinhos mais próximos poderá utilizar operador de distância apropriado. Cada consulta crítica terá versão de referência para benchmark.</w:t>
      </w:r>
    </w:p>
    <w:p>
      <w:pPr>
        <w:pStyle w:val="Heading2"/>
      </w:pPr>
      <w:r>
        <w:t>5.8 Estratégia de Desempenho e Latência</w:t>
      </w:r>
    </w:p>
    <w:p>
      <w:pPr>
        <w:jc w:val="both"/>
      </w:pPr>
      <w:r>
        <w:rPr>
          <w:rFonts w:ascii="Times New Roman" w:hAnsi="Times New Roman"/>
          <w:b w:val="0"/>
          <w:sz w:val="24"/>
        </w:rPr>
        <w:t>O desempenho será avaliado em duas camadas: banco e fluxo fim a fim. No banco, serão medidos tempos e planos de consultas espaciais. No fluxo fim a fim, será medido tempo entre requisição do aplicativo/cliente de teste e resposta do backend, separando quando possível o tempo de chamadas externas. Assim, uma API meteorológica lenta não será confundida com ineficiência do PostGIS.</w:t>
      </w:r>
    </w:p>
    <w:p>
      <w:pPr>
        <w:pStyle w:val="Heading2"/>
      </w:pPr>
      <w:r>
        <w:t>5.9 MVP e Critérios de Aceitação</w:t>
      </w:r>
    </w:p>
    <w:p>
      <w:pPr>
        <w:pStyle w:val="ListBullet"/>
        <w:spacing w:line="360" w:lineRule="auto"/>
        <w:ind w:firstLine="0" w:left="567"/>
      </w:pPr>
      <w:r>
        <w:t>o mapa exibe ocorrências persistidas e permite abrir detalhes;</w:t>
      </w:r>
    </w:p>
    <w:p>
      <w:pPr>
        <w:pStyle w:val="ListBullet"/>
        <w:spacing w:line="360" w:lineRule="auto"/>
        <w:ind w:firstLine="0" w:left="567"/>
      </w:pPr>
      <w:r>
        <w:t>um usuário consegue registrar uma ocorrência válida;</w:t>
      </w:r>
    </w:p>
    <w:p>
      <w:pPr>
        <w:pStyle w:val="ListBullet"/>
        <w:spacing w:line="360" w:lineRule="auto"/>
        <w:ind w:firstLine="0" w:left="567"/>
      </w:pPr>
      <w:r>
        <w:t>o backend integra pelo menos duas fontes meteorológicas ou documenta fallback quando uma estiver indisponível;</w:t>
      </w:r>
    </w:p>
    <w:p>
      <w:pPr>
        <w:pStyle w:val="ListBullet"/>
        <w:spacing w:line="360" w:lineRule="auto"/>
        <w:ind w:firstLine="0" w:left="567"/>
      </w:pPr>
      <w:r>
        <w:t>o IRA é calculado de forma determinística para o mesmo conjunto de entradas e versão de pesos;</w:t>
      </w:r>
    </w:p>
    <w:p>
      <w:pPr>
        <w:pStyle w:val="ListBullet"/>
        <w:spacing w:line="360" w:lineRule="auto"/>
        <w:ind w:firstLine="0" w:left="567"/>
      </w:pPr>
      <w:r>
        <w:t>consultas por proximidade funcionam sobre PostGIS e possuem benchmark reproduzível;</w:t>
      </w:r>
    </w:p>
    <w:p>
      <w:pPr>
        <w:pStyle w:val="ListBullet"/>
        <w:spacing w:line="360" w:lineRule="auto"/>
        <w:ind w:firstLine="0" w:left="567"/>
      </w:pPr>
      <w:r>
        <w:t>o sistema apresenta comportamento controlado diante de falha de uma fonte externa;</w:t>
      </w:r>
    </w:p>
    <w:p>
      <w:pPr>
        <w:pStyle w:val="ListBullet"/>
        <w:spacing w:line="360" w:lineRule="auto"/>
        <w:ind w:firstLine="0" w:left="567"/>
      </w:pPr>
      <w:r>
        <w:t>a documentação contém arquitetura, contratos, modelo de dados, protocolo de teste e limitações.</w:t>
      </w:r>
    </w:p>
    <w:p>
      <w:pPr>
        <w:pStyle w:val="Heading2"/>
      </w:pPr>
      <w:r>
        <w:t>5.10 Plano de Avaliação e Resultados a Serem Produzidos</w:t>
      </w:r>
    </w:p>
    <w:p>
      <w:pPr>
        <w:jc w:val="both"/>
      </w:pPr>
      <w:r>
        <w:rPr>
          <w:rFonts w:ascii="Times New Roman" w:hAnsi="Times New Roman"/>
          <w:b w:val="0"/>
          <w:sz w:val="24"/>
        </w:rPr>
        <w:t>Esta versão não apresenta resultados ainda não medidos. Ao término da implementação, deverão ser incluídos: tabela de testes funcionais; evidências de integração; resultados do benchmark por volume e condição de índice; análise de latência; análise de sensibilidade do IRA; resultados de usabilidade; e discussão de limitações. Qualquer conclusão deverá estar vinculada a essas evidências.</w:t>
      </w:r>
    </w:p>
    <w:p>
      <w:pPr>
        <w:pStyle w:val="Heading2"/>
      </w:pPr>
      <w:r>
        <w:t>5.11 Riscos Técnicos e Mitigações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Risco</w:t>
            </w:r>
          </w:p>
        </w:tc>
        <w:tc>
          <w:tcPr>
            <w:tcW w:type="dxa" w:w="3135"/>
            <w:vAlign w:val="center"/>
          </w:tcPr>
          <w:p>
            <w:r>
              <w:rPr>
                <w:rFonts w:ascii="Times New Roman" w:hAnsi="Times New Roman"/>
                <w:b/>
                <w:sz w:val="20"/>
              </w:rPr>
              <w:t>Impacto</w:t>
            </w:r>
          </w:p>
        </w:tc>
        <w:tc>
          <w:tcPr>
            <w:tcW w:type="dxa" w:w="3135"/>
            <w:vAlign w:val="center"/>
          </w:tcPr>
          <w:p>
            <w:r>
              <w:rPr>
                <w:rFonts w:ascii="Times New Roman" w:hAnsi="Times New Roman"/>
                <w:b/>
                <w:sz w:val="20"/>
              </w:rPr>
              <w:t>Mitigação</w:t>
            </w:r>
          </w:p>
        </w:tc>
      </w:tr>
      <w:tr>
        <w:tc>
          <w:tcPr>
            <w:tcW w:type="dxa" w:w="3135"/>
            <w:vAlign w:val="center"/>
          </w:tcPr>
          <w:p>
            <w:pPr>
              <w:spacing w:line="240" w:lineRule="auto"/>
              <w:ind w:firstLine="0"/>
            </w:pPr>
            <w:r>
              <w:rPr>
                <w:rFonts w:ascii="Times New Roman" w:hAnsi="Times New Roman"/>
                <w:sz w:val="18"/>
              </w:rPr>
              <w:t>API indisponível ou restrita</w:t>
            </w:r>
          </w:p>
        </w:tc>
        <w:tc>
          <w:tcPr>
            <w:tcW w:type="dxa" w:w="3135"/>
            <w:vAlign w:val="center"/>
          </w:tcPr>
          <w:p>
            <w:pPr>
              <w:spacing w:line="240" w:lineRule="auto"/>
              <w:ind w:firstLine="0"/>
            </w:pPr>
            <w:r>
              <w:rPr>
                <w:rFonts w:ascii="Times New Roman" w:hAnsi="Times New Roman"/>
                <w:sz w:val="18"/>
              </w:rPr>
              <w:t>alto</w:t>
            </w:r>
          </w:p>
        </w:tc>
        <w:tc>
          <w:tcPr>
            <w:tcW w:type="dxa" w:w="3135"/>
            <w:vAlign w:val="center"/>
          </w:tcPr>
          <w:p>
            <w:pPr>
              <w:spacing w:line="240" w:lineRule="auto"/>
              <w:ind w:firstLine="0"/>
            </w:pPr>
            <w:r>
              <w:rPr>
                <w:rFonts w:ascii="Times New Roman" w:hAnsi="Times New Roman"/>
                <w:sz w:val="18"/>
              </w:rPr>
              <w:t>adaptadores, fallback e mínimo de duas fontes acessíveis</w:t>
            </w:r>
          </w:p>
        </w:tc>
      </w:tr>
      <w:tr>
        <w:tc>
          <w:tcPr>
            <w:tcW w:type="dxa" w:w="3135"/>
            <w:vAlign w:val="center"/>
          </w:tcPr>
          <w:p>
            <w:pPr>
              <w:spacing w:line="240" w:lineRule="auto"/>
              <w:ind w:firstLine="0"/>
            </w:pPr>
            <w:r>
              <w:rPr>
                <w:rFonts w:ascii="Times New Roman" w:hAnsi="Times New Roman"/>
                <w:sz w:val="18"/>
              </w:rPr>
              <w:t>escopo excessivo</w:t>
            </w:r>
          </w:p>
        </w:tc>
        <w:tc>
          <w:tcPr>
            <w:tcW w:type="dxa" w:w="3135"/>
            <w:vAlign w:val="center"/>
          </w:tcPr>
          <w:p>
            <w:pPr>
              <w:spacing w:line="240" w:lineRule="auto"/>
              <w:ind w:firstLine="0"/>
            </w:pPr>
            <w:r>
              <w:rPr>
                <w:rFonts w:ascii="Times New Roman" w:hAnsi="Times New Roman"/>
                <w:sz w:val="18"/>
              </w:rPr>
              <w:t>alto</w:t>
            </w:r>
          </w:p>
        </w:tc>
        <w:tc>
          <w:tcPr>
            <w:tcW w:type="dxa" w:w="3135"/>
            <w:vAlign w:val="center"/>
          </w:tcPr>
          <w:p>
            <w:pPr>
              <w:spacing w:line="240" w:lineRule="auto"/>
              <w:ind w:firstLine="0"/>
            </w:pPr>
            <w:r>
              <w:rPr>
                <w:rFonts w:ascii="Times New Roman" w:hAnsi="Times New Roman"/>
                <w:sz w:val="18"/>
              </w:rPr>
              <w:t>MVP estrito; retirar funcionalidades periféricas antes de reduzir testes</w:t>
            </w:r>
          </w:p>
        </w:tc>
      </w:tr>
      <w:tr>
        <w:tc>
          <w:tcPr>
            <w:tcW w:type="dxa" w:w="3135"/>
            <w:vAlign w:val="center"/>
          </w:tcPr>
          <w:p>
            <w:pPr>
              <w:spacing w:line="240" w:lineRule="auto"/>
              <w:ind w:firstLine="0"/>
            </w:pPr>
            <w:r>
              <w:rPr>
                <w:rFonts w:ascii="Times New Roman" w:hAnsi="Times New Roman"/>
                <w:sz w:val="18"/>
              </w:rPr>
              <w:t>pesos do IRA sem base</w:t>
            </w:r>
          </w:p>
        </w:tc>
        <w:tc>
          <w:tcPr>
            <w:tcW w:type="dxa" w:w="3135"/>
            <w:vAlign w:val="center"/>
          </w:tcPr>
          <w:p>
            <w:pPr>
              <w:spacing w:line="240" w:lineRule="auto"/>
              <w:ind w:firstLine="0"/>
            </w:pPr>
            <w:r>
              <w:rPr>
                <w:rFonts w:ascii="Times New Roman" w:hAnsi="Times New Roman"/>
                <w:sz w:val="18"/>
              </w:rPr>
              <w:t>alto</w:t>
            </w:r>
          </w:p>
        </w:tc>
        <w:tc>
          <w:tcPr>
            <w:tcW w:type="dxa" w:w="3135"/>
            <w:vAlign w:val="center"/>
          </w:tcPr>
          <w:p>
            <w:pPr>
              <w:spacing w:line="240" w:lineRule="auto"/>
              <w:ind w:firstLine="0"/>
            </w:pPr>
            <w:r>
              <w:rPr>
                <w:rFonts w:ascii="Times New Roman" w:hAnsi="Times New Roman"/>
                <w:sz w:val="18"/>
              </w:rPr>
              <w:t>literatura, justificativa, versão e sensibilidade; não chamar de probabilidade</w:t>
            </w:r>
          </w:p>
        </w:tc>
      </w:tr>
      <w:tr>
        <w:tc>
          <w:tcPr>
            <w:tcW w:type="dxa" w:w="3135"/>
            <w:vAlign w:val="center"/>
          </w:tcPr>
          <w:p>
            <w:pPr>
              <w:spacing w:line="240" w:lineRule="auto"/>
              <w:ind w:firstLine="0"/>
            </w:pPr>
            <w:r>
              <w:rPr>
                <w:rFonts w:ascii="Times New Roman" w:hAnsi="Times New Roman"/>
                <w:sz w:val="18"/>
              </w:rPr>
              <w:t>dados colaborativos incorretos</w:t>
            </w:r>
          </w:p>
        </w:tc>
        <w:tc>
          <w:tcPr>
            <w:tcW w:type="dxa" w:w="3135"/>
            <w:vAlign w:val="center"/>
          </w:tcPr>
          <w:p>
            <w:pPr>
              <w:spacing w:line="240" w:lineRule="auto"/>
              <w:ind w:firstLine="0"/>
            </w:pPr>
            <w:r>
              <w:rPr>
                <w:rFonts w:ascii="Times New Roman" w:hAnsi="Times New Roman"/>
                <w:sz w:val="18"/>
              </w:rPr>
              <w:t>médio/alto</w:t>
            </w:r>
          </w:p>
        </w:tc>
        <w:tc>
          <w:tcPr>
            <w:tcW w:type="dxa" w:w="3135"/>
            <w:vAlign w:val="center"/>
          </w:tcPr>
          <w:p>
            <w:pPr>
              <w:spacing w:line="240" w:lineRule="auto"/>
              <w:ind w:firstLine="0"/>
            </w:pPr>
            <w:r>
              <w:rPr>
                <w:rFonts w:ascii="Times New Roman" w:hAnsi="Times New Roman"/>
                <w:sz w:val="18"/>
              </w:rPr>
              <w:t>proveniência, recência, duplicidade e confiança reduzida</w:t>
            </w:r>
          </w:p>
        </w:tc>
      </w:tr>
      <w:tr>
        <w:tc>
          <w:tcPr>
            <w:tcW w:type="dxa" w:w="3135"/>
            <w:vAlign w:val="center"/>
          </w:tcPr>
          <w:p>
            <w:pPr>
              <w:spacing w:line="240" w:lineRule="auto"/>
              <w:ind w:firstLine="0"/>
            </w:pPr>
            <w:r>
              <w:rPr>
                <w:rFonts w:ascii="Times New Roman" w:hAnsi="Times New Roman"/>
                <w:sz w:val="18"/>
              </w:rPr>
              <w:t>benchmark enviesado</w:t>
            </w:r>
          </w:p>
        </w:tc>
        <w:tc>
          <w:tcPr>
            <w:tcW w:type="dxa" w:w="3135"/>
            <w:vAlign w:val="center"/>
          </w:tcPr>
          <w:p>
            <w:pPr>
              <w:spacing w:line="240" w:lineRule="auto"/>
              <w:ind w:firstLine="0"/>
            </w:pPr>
            <w:r>
              <w:rPr>
                <w:rFonts w:ascii="Times New Roman" w:hAnsi="Times New Roman"/>
                <w:sz w:val="18"/>
              </w:rPr>
              <w:t>médio</w:t>
            </w:r>
          </w:p>
        </w:tc>
        <w:tc>
          <w:tcPr>
            <w:tcW w:type="dxa" w:w="3135"/>
            <w:vAlign w:val="center"/>
          </w:tcPr>
          <w:p>
            <w:pPr>
              <w:spacing w:line="240" w:lineRule="auto"/>
              <w:ind w:firstLine="0"/>
            </w:pPr>
            <w:r>
              <w:rPr>
                <w:rFonts w:ascii="Times New Roman" w:hAnsi="Times New Roman"/>
                <w:sz w:val="18"/>
              </w:rPr>
              <w:t>ambiente documentado, repetição, aquecimento e planos de execução</w:t>
            </w:r>
          </w:p>
        </w:tc>
      </w:tr>
      <w:tr>
        <w:tc>
          <w:tcPr>
            <w:tcW w:type="dxa" w:w="3135"/>
            <w:vAlign w:val="center"/>
          </w:tcPr>
          <w:p>
            <w:pPr>
              <w:spacing w:line="240" w:lineRule="auto"/>
              <w:ind w:firstLine="0"/>
            </w:pPr>
            <w:r>
              <w:rPr>
                <w:rFonts w:ascii="Times New Roman" w:hAnsi="Times New Roman"/>
                <w:sz w:val="18"/>
              </w:rPr>
              <w:t>privacidade de localização</w:t>
            </w:r>
          </w:p>
        </w:tc>
        <w:tc>
          <w:tcPr>
            <w:tcW w:type="dxa" w:w="3135"/>
            <w:vAlign w:val="center"/>
          </w:tcPr>
          <w:p>
            <w:pPr>
              <w:spacing w:line="240" w:lineRule="auto"/>
              <w:ind w:firstLine="0"/>
            </w:pPr>
            <w:r>
              <w:rPr>
                <w:rFonts w:ascii="Times New Roman" w:hAnsi="Times New Roman"/>
                <w:sz w:val="18"/>
              </w:rPr>
              <w:t>alto</w:t>
            </w:r>
          </w:p>
        </w:tc>
        <w:tc>
          <w:tcPr>
            <w:tcW w:type="dxa" w:w="3135"/>
            <w:vAlign w:val="center"/>
          </w:tcPr>
          <w:p>
            <w:pPr>
              <w:spacing w:line="240" w:lineRule="auto"/>
              <w:ind w:firstLine="0"/>
            </w:pPr>
            <w:r>
              <w:rPr>
                <w:rFonts w:ascii="Times New Roman" w:hAnsi="Times New Roman"/>
                <w:sz w:val="18"/>
              </w:rPr>
              <w:t>minimização e ausência de rastreamento contínuo</w:t>
            </w:r>
          </w:p>
        </w:tc>
      </w:tr>
      <w:tr>
        <w:tc>
          <w:tcPr>
            <w:tcW w:type="dxa" w:w="3135"/>
            <w:vAlign w:val="center"/>
          </w:tcPr>
          <w:p>
            <w:pPr>
              <w:spacing w:line="240" w:lineRule="auto"/>
              <w:ind w:firstLine="0"/>
            </w:pPr>
            <w:r>
              <w:rPr>
                <w:rFonts w:ascii="Times New Roman" w:hAnsi="Times New Roman"/>
                <w:sz w:val="18"/>
              </w:rPr>
              <w:t>dependência de tecnologia nova</w:t>
            </w:r>
          </w:p>
        </w:tc>
        <w:tc>
          <w:tcPr>
            <w:tcW w:type="dxa" w:w="3135"/>
            <w:vAlign w:val="center"/>
          </w:tcPr>
          <w:p>
            <w:pPr>
              <w:spacing w:line="240" w:lineRule="auto"/>
              <w:ind w:firstLine="0"/>
            </w:pPr>
            <w:r>
              <w:rPr>
                <w:rFonts w:ascii="Times New Roman" w:hAnsi="Times New Roman"/>
                <w:sz w:val="18"/>
              </w:rPr>
              <w:t>médio</w:t>
            </w:r>
          </w:p>
        </w:tc>
        <w:tc>
          <w:tcPr>
            <w:tcW w:type="dxa" w:w="3135"/>
            <w:vAlign w:val="center"/>
          </w:tcPr>
          <w:p>
            <w:pPr>
              <w:spacing w:line="240" w:lineRule="auto"/>
              <w:ind w:firstLine="0"/>
            </w:pPr>
            <w:r>
              <w:rPr>
                <w:rFonts w:ascii="Times New Roman" w:hAnsi="Times New Roman"/>
                <w:sz w:val="18"/>
              </w:rPr>
              <w:t>Android XML/Views e arquitetura simples</w:t>
            </w:r>
          </w:p>
        </w:tc>
      </w:tr>
    </w:tbl>
    <w:p>
      <w:pPr>
        <w:pStyle w:val="Heading2"/>
      </w:pPr>
      <w:r>
        <w:t>5.12 Limitações e Evoluções Futuras</w:t>
      </w:r>
    </w:p>
    <w:p>
      <w:pPr>
        <w:jc w:val="both"/>
      </w:pPr>
      <w:r>
        <w:rPr>
          <w:rFonts w:ascii="Times New Roman" w:hAnsi="Times New Roman"/>
          <w:b w:val="0"/>
          <w:sz w:val="24"/>
        </w:rPr>
        <w:t>O MVP não valida risco hidrológico real nem substitui sistemas oficiais. A qualidade do IRA depende das fontes e das regras. A participação colaborativa pode ser esparsa. Como trabalhos futuros, poderão ser investigados calibração com séries históricas, integração com sensores, modelos probabilísticos ou de aprendizado de máquina, mecanismos de reputação, expansão multiplataforma e integração institucional, desde que acompanhados de dados e protocolos de validação adequados.</w:t>
      </w:r>
    </w:p>
    <w:p>
      <w:pPr>
        <w:pStyle w:val="Heading2"/>
      </w:pPr>
      <w:r>
        <w:t>5.13 Considerações Finais da Proposta</w:t>
      </w:r>
    </w:p>
    <w:p>
      <w:pPr>
        <w:jc w:val="both"/>
      </w:pPr>
      <w:r>
        <w:rPr>
          <w:rFonts w:ascii="Times New Roman" w:hAnsi="Times New Roman"/>
          <w:b w:val="0"/>
          <w:sz w:val="24"/>
        </w:rPr>
        <w:t>A contribuição pretendida é deliberadamente computacional e verificável: integrar fontes heterogêneas com proveniência, representar e consultar dados espaciais de forma adequada, construir um índice transparente e avaliar empiricamente o efeito da indexação e a latência do sistema. O mérito do trabalho não dependerá de prometer previsão perfeita, mas de demonstrar uma arquitetura coerente, um método reprodutível e resultados medidos com limitações explicitadas.</w:t>
      </w:r>
    </w:p>
    <w:p>
      <w:pPr>
        <w:pStyle w:val="Heading1"/>
      </w:pPr>
      <w:r>
        <w:t>REFERÊNCIAS</w:t>
      </w:r>
    </w:p>
    <w:p>
      <w:pPr>
        <w:spacing w:line="240" w:lineRule="auto" w:after="120"/>
        <w:ind w:firstLine="0"/>
        <w:jc w:val="left"/>
      </w:pPr>
      <w:r>
        <w:rPr>
          <w:rFonts w:ascii="Times New Roman" w:hAnsi="Times New Roman"/>
          <w:sz w:val="24"/>
        </w:rPr>
        <w:t>AGÊNCIA NACIONAL DE PROTEÇÃO DE DADOS (ANPD). Titular de dados: dado pessoal. Brasília, DF: ANPD, 2026. Disponível em: https://www.gov.br/anpd/pt-br/assuntos/titular-de-dados. Acesso em: 1 out. 2026.</w:t>
      </w:r>
    </w:p>
    <w:p>
      <w:pPr>
        <w:spacing w:line="240" w:lineRule="auto" w:after="120"/>
        <w:ind w:firstLine="0"/>
        <w:jc w:val="left"/>
      </w:pPr>
      <w:r>
        <w:rPr>
          <w:rFonts w:ascii="Times New Roman" w:hAnsi="Times New Roman"/>
          <w:sz w:val="24"/>
        </w:rPr>
        <w:t>ANDROID DEVELOPERS. Layouts em visualizações. 2026. Disponível em: https://developer.android.com/develop/ui/views/layout/declaring-layout?hl=pt-br. Acesso em: 1 out. 2026.</w:t>
      </w:r>
    </w:p>
    <w:p>
      <w:pPr>
        <w:spacing w:line="240" w:lineRule="auto" w:after="120"/>
        <w:ind w:firstLine="0"/>
        <w:jc w:val="left"/>
      </w:pPr>
      <w:r>
        <w:rPr>
          <w:rFonts w:ascii="Times New Roman" w:hAnsi="Times New Roman"/>
          <w:sz w:val="24"/>
        </w:rPr>
        <w:t>ASSOCIAÇÃO BRASILEIRA DE NORMAS TÉCNICAS. ABNT NBR 10520:2023: informação e documentação — citações em documentos — apresentação. Rio de Janeiro: ABNT, 2023.</w:t>
      </w:r>
    </w:p>
    <w:p>
      <w:pPr>
        <w:spacing w:line="240" w:lineRule="auto" w:after="120"/>
        <w:ind w:firstLine="0"/>
        <w:jc w:val="left"/>
      </w:pPr>
      <w:r>
        <w:rPr>
          <w:rFonts w:ascii="Times New Roman" w:hAnsi="Times New Roman"/>
          <w:sz w:val="24"/>
        </w:rPr>
        <w:t>ASSOCIAÇÃO BRASILEIRA DE NORMAS TÉCNICAS. ABNT NBR 14724:2024: informação e documentação — trabalhos acadêmicos — apresentação. Rio de Janeiro: ABNT, 2024.</w:t>
      </w:r>
    </w:p>
    <w:p>
      <w:pPr>
        <w:spacing w:line="240" w:lineRule="auto" w:after="120"/>
        <w:ind w:firstLine="0"/>
        <w:jc w:val="left"/>
      </w:pPr>
      <w:r>
        <w:rPr>
          <w:rFonts w:ascii="Times New Roman" w:hAnsi="Times New Roman"/>
          <w:sz w:val="24"/>
        </w:rPr>
        <w:t>ASSOCIAÇÃO BRASILEIRA DE NORMAS TÉCNICAS. ABNT NBR 6023:2025: informação e documentação — referências — elaboração. Rio de Janeiro: ABNT, 2025.</w:t>
      </w:r>
    </w:p>
    <w:p>
      <w:pPr>
        <w:spacing w:line="240" w:lineRule="auto" w:after="120"/>
        <w:ind w:firstLine="0"/>
        <w:jc w:val="left"/>
      </w:pPr>
      <w:r>
        <w:rPr>
          <w:rFonts w:ascii="Times New Roman" w:hAnsi="Times New Roman"/>
          <w:sz w:val="24"/>
        </w:rPr>
        <w:t>ASSOCIAÇÃO BRASILEIRA DE NORMAS TÉCNICAS. ABNT NBR 6028:2021: informação e documentação — resumo, resenha e recensão — apresentação. Rio de Janeiro: ABNT, 2021.</w:t>
      </w:r>
    </w:p>
    <w:p>
      <w:pPr>
        <w:spacing w:line="240" w:lineRule="auto" w:after="120"/>
        <w:ind w:firstLine="0"/>
        <w:jc w:val="left"/>
      </w:pPr>
      <w:r>
        <w:rPr>
          <w:rFonts w:ascii="Times New Roman" w:hAnsi="Times New Roman"/>
          <w:sz w:val="24"/>
        </w:rPr>
        <w:t>AZIZI, Koorosh et al. Integrated community-based approaches to urban pluvial flooding research, trends and future directions: a review. Urban Climate, v. 44, art. 101237, 2022. DOI: 10.1016/j.uclim.2022.101237.</w:t>
      </w:r>
    </w:p>
    <w:p>
      <w:pPr>
        <w:spacing w:line="240" w:lineRule="auto" w:after="120"/>
        <w:ind w:firstLine="0"/>
        <w:jc w:val="left"/>
      </w:pPr>
      <w:r>
        <w:rPr>
          <w:rFonts w:ascii="Times New Roman" w:hAnsi="Times New Roman"/>
          <w:sz w:val="24"/>
        </w:rPr>
        <w:t>CENTRO NACIONAL DE MONITORAMENTO E ALERTAS DE DESASTRES NATURAIS (CEMADEN). Boletim de impactos de extremos de origem hidro-geo-climático em atividades estratégicas para o Brasil. São José dos Campos: CEMADEN, 2024.</w:t>
      </w:r>
    </w:p>
    <w:p>
      <w:pPr>
        <w:spacing w:line="240" w:lineRule="auto" w:after="120"/>
        <w:ind w:firstLine="0"/>
        <w:jc w:val="left"/>
      </w:pPr>
      <w:r>
        <w:rPr>
          <w:rFonts w:ascii="Times New Roman" w:hAnsi="Times New Roman"/>
          <w:sz w:val="24"/>
        </w:rPr>
        <w:t>CENTRO NACIONAL DE MONITORAMENTO E ALERTAS DE DESASTRES NATURAIS (CEMADEN). Pluviômetros automáticos. São José dos Campos: CEMADEN, 2026. Disponível em: https://www2.cemaden.gov.br/pluviometros-automatico/. Acesso em: 1 out. 2026.</w:t>
      </w:r>
    </w:p>
    <w:p>
      <w:pPr>
        <w:spacing w:line="240" w:lineRule="auto" w:after="120"/>
        <w:ind w:firstLine="0"/>
        <w:jc w:val="left"/>
      </w:pPr>
      <w:r>
        <w:rPr>
          <w:rFonts w:ascii="Times New Roman" w:hAnsi="Times New Roman"/>
          <w:sz w:val="24"/>
        </w:rPr>
        <w:t>DRESCH, Aline; LACERDA, Daniel Pacheco; ANTUNES JÚNIOR, José Antonio Valle. Design Science Research: método de pesquisa para avanço da ciência e tecnologia. Porto Alegre: Bookman, 2015.</w:t>
      </w:r>
    </w:p>
    <w:p>
      <w:pPr>
        <w:spacing w:line="240" w:lineRule="auto" w:after="120"/>
        <w:ind w:firstLine="0"/>
        <w:jc w:val="left"/>
      </w:pPr>
      <w:r>
        <w:rPr>
          <w:rFonts w:ascii="Times New Roman" w:hAnsi="Times New Roman"/>
          <w:sz w:val="24"/>
        </w:rPr>
        <w:t>FASTAPI. Features. 2026. Disponível em: https://fastapi.tiangolo.com/features/. Acesso em: 1 out. 2026.</w:t>
      </w:r>
    </w:p>
    <w:p>
      <w:pPr>
        <w:spacing w:line="240" w:lineRule="auto" w:after="120"/>
        <w:ind w:firstLine="0"/>
        <w:jc w:val="left"/>
      </w:pPr>
      <w:r>
        <w:rPr>
          <w:rFonts w:ascii="Times New Roman" w:hAnsi="Times New Roman"/>
          <w:sz w:val="24"/>
        </w:rPr>
        <w:t>HELMRICH, Alysha M. et al. Opportunities for crowdsourcing in urban flood monitoring. Environmental Modelling &amp; Software, v. 143, art. 105124, 2021. DOI: 10.1016/j.envsoft.2021.105124.</w:t>
      </w:r>
    </w:p>
    <w:p>
      <w:pPr>
        <w:spacing w:line="240" w:lineRule="auto" w:after="120"/>
        <w:ind w:firstLine="0"/>
        <w:jc w:val="left"/>
      </w:pPr>
      <w:r>
        <w:rPr>
          <w:rFonts w:ascii="Times New Roman" w:hAnsi="Times New Roman"/>
          <w:sz w:val="24"/>
        </w:rPr>
        <w:t>HEVNER, Alan R. et al. Design science in information systems research. MIS Quarterly, v. 28, n. 1, p. 75-105, 2004.</w:t>
      </w:r>
    </w:p>
    <w:p>
      <w:pPr>
        <w:spacing w:line="240" w:lineRule="auto" w:after="120"/>
        <w:ind w:firstLine="0"/>
        <w:jc w:val="left"/>
      </w:pPr>
      <w:r>
        <w:rPr>
          <w:rFonts w:ascii="Times New Roman" w:hAnsi="Times New Roman"/>
          <w:sz w:val="24"/>
        </w:rPr>
        <w:t>IBGE. Censo Demográfico 2022: população residente segundo a situação urbana ou rural dos domicílios. Rio de Janeiro: IBGE, 2024.</w:t>
      </w:r>
    </w:p>
    <w:p>
      <w:pPr>
        <w:spacing w:line="240" w:lineRule="auto" w:after="120"/>
        <w:ind w:firstLine="0"/>
        <w:jc w:val="left"/>
      </w:pPr>
      <w:r>
        <w:rPr>
          <w:rFonts w:ascii="Times New Roman" w:hAnsi="Times New Roman"/>
          <w:sz w:val="24"/>
        </w:rPr>
        <w:t>INTERNATIONAL ORGANIZATION FOR STANDARDIZATION. ISO 37106:2022: sustainable cities and communities — guidance on establishing smart city operating models for sustainable communities. Geneva: ISO, 2022.</w:t>
      </w:r>
    </w:p>
    <w:p>
      <w:pPr>
        <w:spacing w:line="240" w:lineRule="auto" w:after="120"/>
        <w:ind w:firstLine="0"/>
        <w:jc w:val="left"/>
      </w:pPr>
      <w:r>
        <w:rPr>
          <w:rFonts w:ascii="Times New Roman" w:hAnsi="Times New Roman"/>
          <w:sz w:val="24"/>
        </w:rPr>
        <w:t>IPCC. Climate Change 2023: Synthesis Report. Geneva: Intergovernmental Panel on Climate Change, 2023.</w:t>
      </w:r>
    </w:p>
    <w:p>
      <w:pPr>
        <w:spacing w:line="240" w:lineRule="auto" w:after="120"/>
        <w:ind w:firstLine="0"/>
        <w:jc w:val="left"/>
      </w:pPr>
      <w:r>
        <w:rPr>
          <w:rFonts w:ascii="Times New Roman" w:hAnsi="Times New Roman"/>
          <w:sz w:val="24"/>
        </w:rPr>
        <w:t>LONGLEY, Paul A. et al. Geographic Information Science and Systems. 5. ed. Hoboken: Wiley, 2021.</w:t>
      </w:r>
    </w:p>
    <w:p>
      <w:pPr>
        <w:spacing w:line="240" w:lineRule="auto" w:after="120"/>
        <w:ind w:firstLine="0"/>
        <w:jc w:val="left"/>
      </w:pPr>
      <w:r>
        <w:rPr>
          <w:rFonts w:ascii="Times New Roman" w:hAnsi="Times New Roman"/>
          <w:sz w:val="24"/>
        </w:rPr>
        <w:t>MARCHEZINI, Victor et al. Flood risk governance in Brazil and the UK: facilitating knowledge exchange through research gaps and the potential of citizen-generated data. Disaster Prevention and Management, v. 31, n. 6, p. 30-44, 2022.</w:t>
      </w:r>
    </w:p>
    <w:p>
      <w:pPr>
        <w:spacing w:line="240" w:lineRule="auto" w:after="120"/>
        <w:ind w:firstLine="0"/>
        <w:jc w:val="left"/>
      </w:pPr>
      <w:r>
        <w:rPr>
          <w:rFonts w:ascii="Times New Roman" w:hAnsi="Times New Roman"/>
          <w:sz w:val="24"/>
        </w:rPr>
        <w:t>OBE, Regina O.; HSU, Leo S. PostGIS in Action. 3. ed. Shelter Island: Manning, 2021.</w:t>
      </w:r>
    </w:p>
    <w:p>
      <w:pPr>
        <w:spacing w:line="240" w:lineRule="auto" w:after="120"/>
        <w:ind w:firstLine="0"/>
        <w:jc w:val="left"/>
      </w:pPr>
      <w:r>
        <w:rPr>
          <w:rFonts w:ascii="Times New Roman" w:hAnsi="Times New Roman"/>
          <w:sz w:val="24"/>
        </w:rPr>
        <w:t>OPEN-METEO. Weather Forecast API: OpenAPI specification. 2026. Disponível em: https://github.com/open-meteo/open-meteo/blob/main/openapi/forecast.yml. Acesso em: 1 out. 2026.</w:t>
      </w:r>
    </w:p>
    <w:p>
      <w:pPr>
        <w:spacing w:line="240" w:lineRule="auto" w:after="120"/>
        <w:ind w:firstLine="0"/>
        <w:jc w:val="left"/>
      </w:pPr>
      <w:r>
        <w:rPr>
          <w:rFonts w:ascii="Times New Roman" w:hAnsi="Times New Roman"/>
          <w:sz w:val="24"/>
        </w:rPr>
        <w:t>OPENWEATHER. Current weather data API. 2026. Disponível em: https://openweathermap.org/api/current. Acesso em: 1 out. 2026.</w:t>
      </w:r>
    </w:p>
    <w:p>
      <w:pPr>
        <w:spacing w:line="240" w:lineRule="auto" w:after="120"/>
        <w:ind w:firstLine="0"/>
        <w:jc w:val="left"/>
      </w:pPr>
      <w:r>
        <w:rPr>
          <w:rFonts w:ascii="Times New Roman" w:hAnsi="Times New Roman"/>
          <w:sz w:val="24"/>
        </w:rPr>
        <w:t>PEFFERS, Ken et al. A Design Science Research methodology for information systems research. Journal of Management Information Systems, v. 24, n. 3, p. 45-77, 2007.</w:t>
      </w:r>
    </w:p>
    <w:p>
      <w:pPr>
        <w:spacing w:line="240" w:lineRule="auto" w:after="120"/>
        <w:ind w:firstLine="0"/>
        <w:jc w:val="left"/>
      </w:pPr>
      <w:r>
        <w:rPr>
          <w:rFonts w:ascii="Times New Roman" w:hAnsi="Times New Roman"/>
          <w:sz w:val="24"/>
        </w:rPr>
        <w:t>POSTGIS PROJECT. PostGIS documentation: data management and spatial indexes. 2026. Disponível em: https://postgis.net/docs/using_postgis_dbmanagement.html. Acesso em: 1 out. 2026.</w:t>
      </w:r>
    </w:p>
    <w:p>
      <w:pPr>
        <w:spacing w:line="240" w:lineRule="auto" w:after="120"/>
        <w:ind w:firstLine="0"/>
        <w:jc w:val="left"/>
      </w:pPr>
      <w:r>
        <w:rPr>
          <w:rFonts w:ascii="Times New Roman" w:hAnsi="Times New Roman"/>
          <w:sz w:val="24"/>
        </w:rPr>
        <w:t>POSTGIS PROJECT. PostGIS documentation: spatial queries. 2026. Disponível em: https://postgis.net/docs/manual-dev/en/using_postgis_query.html. Acesso em: 1 out. 2026.</w:t>
      </w:r>
    </w:p>
    <w:p>
      <w:pPr>
        <w:spacing w:line="240" w:lineRule="auto" w:after="120"/>
        <w:ind w:firstLine="0"/>
        <w:jc w:val="left"/>
      </w:pPr>
      <w:r>
        <w:rPr>
          <w:rFonts w:ascii="Times New Roman" w:hAnsi="Times New Roman"/>
          <w:sz w:val="24"/>
        </w:rPr>
        <w:t>POSTGRESQL GLOBAL DEVELOPMENT GROUP. PostgreSQL 18 Documentation: Indexes. 2026. Disponível em: https://www.postgresql.org/docs/18/indexes.html. Acesso em: 1 out. 2026.</w:t>
      </w:r>
    </w:p>
    <w:p>
      <w:pPr>
        <w:spacing w:line="240" w:lineRule="auto" w:after="120"/>
        <w:ind w:firstLine="0"/>
        <w:jc w:val="left"/>
      </w:pPr>
      <w:r>
        <w:rPr>
          <w:rFonts w:ascii="Times New Roman" w:hAnsi="Times New Roman"/>
          <w:sz w:val="24"/>
        </w:rPr>
        <w:t>SONGCHON, Chanin; WRIGHT, Grant; BEEVERS, Lindsay. Quality assessment of crowdsourced social media data for urban flood management. Computers, Environment and Urban Systems, v. 90, art. 101690, 2021. DOI: 10.1016/j.compenvurbsys.2021.101690.</w:t>
      </w:r>
    </w:p>
    <w:p>
      <w:pPr>
        <w:spacing w:line="240" w:lineRule="auto" w:after="120"/>
        <w:ind w:firstLine="0"/>
        <w:jc w:val="left"/>
      </w:pPr>
      <w:r>
        <w:rPr>
          <w:rFonts w:ascii="Times New Roman" w:hAnsi="Times New Roman"/>
          <w:sz w:val="24"/>
        </w:rPr>
        <w:t>UNITED NATIONS OFFICE FOR DISASTER RISK REDUCTION (UNDRR). Disaster risk: terminology. Geneva: UNDRR, 2017. Disponível em: https://www.undrr.org/terminology/disaster-risk. Acesso em: 1 out. 2026.</w:t>
      </w:r>
    </w:p>
    <w:p>
      <w:pPr>
        <w:pStyle w:val="Heading1"/>
      </w:pPr>
      <w:r>
        <w:t>APÊNDICE A — CHECKLIST DE EVIDÊNCIAS A PRODUZIR NO TCC II</w:t>
      </w:r>
    </w:p>
    <w:p>
      <w:pPr>
        <w:pStyle w:val="ListBullet"/>
        <w:spacing w:line="360" w:lineRule="auto"/>
        <w:ind w:firstLine="0" w:left="567"/>
      </w:pPr>
      <w:r>
        <w:t>Arquitetura final versionada e diagrama atualizado.</w:t>
      </w:r>
    </w:p>
    <w:p>
      <w:pPr>
        <w:pStyle w:val="ListBullet"/>
        <w:spacing w:line="360" w:lineRule="auto"/>
        <w:ind w:firstLine="0" w:left="567"/>
      </w:pPr>
      <w:r>
        <w:t>Modelo lógico/físico do banco e SRID utilizado.</w:t>
      </w:r>
    </w:p>
    <w:p>
      <w:pPr>
        <w:pStyle w:val="ListBullet"/>
        <w:spacing w:line="360" w:lineRule="auto"/>
        <w:ind w:firstLine="0" w:left="567"/>
      </w:pPr>
      <w:r>
        <w:t>Contratos OpenAPI dos endpoints.</w:t>
      </w:r>
    </w:p>
    <w:p>
      <w:pPr>
        <w:pStyle w:val="ListBullet"/>
        <w:spacing w:line="360" w:lineRule="auto"/>
        <w:ind w:firstLine="0" w:left="567"/>
      </w:pPr>
      <w:r>
        <w:t>Tabela final de fontes meteorológicas efetivamente integradas e suas limitações.</w:t>
      </w:r>
    </w:p>
    <w:p>
      <w:pPr>
        <w:pStyle w:val="ListBullet"/>
        <w:spacing w:line="360" w:lineRule="auto"/>
        <w:ind w:firstLine="0" w:left="567"/>
      </w:pPr>
      <w:r>
        <w:t>Fórmula, pesos, faixas e versão do IRA, com justificativa e análise de sensibilidade.</w:t>
      </w:r>
    </w:p>
    <w:p>
      <w:pPr>
        <w:pStyle w:val="ListBullet"/>
        <w:spacing w:line="360" w:lineRule="auto"/>
        <w:ind w:firstLine="0" w:left="567"/>
      </w:pPr>
      <w:r>
        <w:t>Casos de teste unitário do IRA.</w:t>
      </w:r>
    </w:p>
    <w:p>
      <w:pPr>
        <w:pStyle w:val="ListBullet"/>
        <w:spacing w:line="360" w:lineRule="auto"/>
        <w:ind w:firstLine="0" w:left="567"/>
      </w:pPr>
      <w:r>
        <w:t>Tabela de testes funcionais e integração.</w:t>
      </w:r>
    </w:p>
    <w:p>
      <w:pPr>
        <w:pStyle w:val="ListBullet"/>
        <w:spacing w:line="360" w:lineRule="auto"/>
        <w:ind w:firstLine="0" w:left="567"/>
      </w:pPr>
      <w:r>
        <w:t>Benchmark com massas de 1 mil, 10 mil e 100 mil registros, com e sem GiST.</w:t>
      </w:r>
    </w:p>
    <w:p>
      <w:pPr>
        <w:pStyle w:val="ListBullet"/>
        <w:spacing w:line="360" w:lineRule="auto"/>
        <w:ind w:firstLine="0" w:left="567"/>
      </w:pPr>
      <w:r>
        <w:t>Planos EXPLAIN ANALYZE e descrição do ambiente de teste.</w:t>
      </w:r>
    </w:p>
    <w:p>
      <w:pPr>
        <w:pStyle w:val="ListBullet"/>
        <w:spacing w:line="360" w:lineRule="auto"/>
        <w:ind w:firstLine="0" w:left="567"/>
      </w:pPr>
      <w:r>
        <w:t>Métricas de latência fim a fim e separação do tempo de APIs externas.</w:t>
      </w:r>
    </w:p>
    <w:p>
      <w:pPr>
        <w:pStyle w:val="ListBullet"/>
        <w:spacing w:line="360" w:lineRule="auto"/>
        <w:ind w:firstLine="0" w:left="567"/>
      </w:pPr>
      <w:r>
        <w:t>Resultados do teste de usabilidade e perfil/quantidade de participantes.</w:t>
      </w:r>
    </w:p>
    <w:p>
      <w:pPr>
        <w:pStyle w:val="ListBullet"/>
        <w:spacing w:line="360" w:lineRule="auto"/>
        <w:ind w:firstLine="0" w:left="567"/>
      </w:pPr>
      <w:r>
        <w:t>Limitações e ameaças à validade.</w:t>
      </w:r>
    </w:p>
    <w:p>
      <w:pPr>
        <w:pStyle w:val="ListBullet"/>
        <w:spacing w:line="360" w:lineRule="auto"/>
        <w:ind w:firstLine="0" w:left="567"/>
      </w:pPr>
      <w:r>
        <w:t>Capturas de tela do MVP e roteiro de demonstração.</w:t>
      </w:r>
    </w:p>
    <w:sectPr w:rsidR="00FC693F" w:rsidRPr="0006063C" w:rsidSect="00034616">
      <w:foot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