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9.png" ContentType="image/png"/>
  <Override PartName="/word/media/rId36.png" ContentType="image/png"/>
  <Override PartName="/word/media/rId24.png" ContentType="image/png"/>
  <Override PartName="/word/media/rId27.png" ContentType="image/png"/>
  <Override PartName="/word/media/rId33.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for</w:t>
      </w:r>
      <w:r>
        <w:t xml:space="preserve"> </w:t>
      </w:r>
      <w:r>
        <w:t xml:space="preserve">‘</w:t>
      </w:r>
      <w:r>
        <w:t xml:space="preserve">Detecting</w:t>
      </w:r>
      <w:r>
        <w:t xml:space="preserve">’</w:t>
      </w:r>
      <w:r>
        <w:t xml:space="preserve"> </w:t>
      </w:r>
      <w:r>
        <w:t xml:space="preserve">Manuscript</w:t>
      </w:r>
    </w:p>
    <w:p>
      <w:pPr>
        <w:pStyle w:val="Author"/>
      </w:pPr>
      <w:r>
        <w:t xml:space="preserve">Justin Pomeranz</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James</w:t>
      </w:r>
      <w:r>
        <w:t xml:space="preserve"> </w:t>
      </w:r>
      <w:r>
        <w:t xml:space="preserve">R.</w:t>
      </w:r>
      <w:r>
        <w:t xml:space="preserve"> </w:t>
      </w:r>
      <w:r>
        <w:t xml:space="preserve">Junker</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Vojsava</w:t>
      </w:r>
      <w:r>
        <w:t xml:space="preserve"> </w:t>
      </w:r>
      <w:r>
        <w:t xml:space="preserve">Gjoni</w:t>
      </w:r>
      <w:r>
        <w:rPr>
          <w:vertAlign w:val="superscript"/>
        </w:rPr>
        <w:t xml:space="preserve">4</w:t>
      </w:r>
      <w:r>
        <w:t xml:space="preserve">,</w:t>
      </w:r>
      <w:r>
        <w:t xml:space="preserve"> </w:t>
      </w:r>
      <w:r>
        <w:t xml:space="preserve">and</w:t>
      </w:r>
      <w:r>
        <w:t xml:space="preserve"> </w:t>
      </w:r>
      <w:r>
        <w:t xml:space="preserve">Jeff</w:t>
      </w:r>
      <w:r>
        <w:t xml:space="preserve"> </w:t>
      </w:r>
      <w:r>
        <w:t xml:space="preserve">S.</w:t>
      </w:r>
      <w:r>
        <w:t xml:space="preserve"> </w:t>
      </w:r>
      <w:r>
        <w:t xml:space="preserve">Wesner</w:t>
      </w:r>
      <w:r>
        <w:rPr>
          <w:vertAlign w:val="superscript"/>
        </w:rPr>
        <w:t xml:space="preserve">4</w:t>
      </w:r>
    </w:p>
    <w:p>
      <w:pPr>
        <w:pStyle w:val="Date"/>
      </w:pPr>
      <w:r>
        <w:t xml:space="preserve">14</w:t>
      </w:r>
      <w:r>
        <w:t xml:space="preserve"> </w:t>
      </w:r>
      <w:r>
        <w:t xml:space="preserve">November,</w:t>
      </w:r>
      <w:r>
        <w:t xml:space="preserve"> </w:t>
      </w:r>
      <w:r>
        <w:t xml:space="preserve">2023</w:t>
      </w:r>
    </w:p>
    <w:p>
      <w:pPr>
        <w:pStyle w:val="FirstParagraph"/>
      </w:pPr>
      <w:r>
        <w:rPr>
          <w:vertAlign w:val="superscript"/>
        </w:rPr>
        <w:t xml:space="preserve">1</w:t>
      </w:r>
      <w:r>
        <w:t xml:space="preserve"> </w:t>
      </w:r>
      <w:r>
        <w:t xml:space="preserve">Colorado Mesa University, Grand Junction, CO, USA</w:t>
      </w:r>
      <w:r>
        <w:br/>
      </w:r>
      <w:r>
        <w:rPr>
          <w:vertAlign w:val="superscript"/>
        </w:rPr>
        <w:t xml:space="preserve">2</w:t>
      </w:r>
      <w:r>
        <w:t xml:space="preserve"> </w:t>
      </w:r>
      <w:r>
        <w:t xml:space="preserve">Great Lakes Research Center, Michigan Technological University, Houghton, MI USA</w:t>
      </w:r>
      <w:r>
        <w:br/>
      </w:r>
      <w:r>
        <w:rPr>
          <w:vertAlign w:val="superscript"/>
        </w:rPr>
        <w:t xml:space="preserve">3</w:t>
      </w:r>
      <w:r>
        <w:t xml:space="preserve"> </w:t>
      </w:r>
      <w:r>
        <w:t xml:space="preserve">Louisiana Universities Marine Consortium, Chauvin, LA USA</w:t>
      </w:r>
      <w:r>
        <w:br/>
      </w:r>
      <w:r>
        <w:rPr>
          <w:vertAlign w:val="superscript"/>
        </w:rPr>
        <w:t xml:space="preserve">4</w:t>
      </w:r>
      <w:r>
        <w:t xml:space="preserve"> </w:t>
      </w:r>
      <w:r>
        <w:t xml:space="preserve">Dept. of Biology, University of South Dakota, Vermillion, SD,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Justin Pomeranz &lt;</w:t>
        </w:r>
        <w:hyperlink r:id="rId20">
          <w:r>
            <w:rPr>
              <w:rStyle w:val="Hyperlink"/>
            </w:rPr>
            <w:t xml:space="preserve">jfpomeranz@gmail.com</w:t>
          </w:r>
        </w:hyperlink>
        <w:r>
          <w:rPr>
            <w:rStyle w:val="Hyperlink"/>
          </w:rPr>
          <w:t xml:space="preserve">&gt;</w:t>
        </w:r>
      </w:hyperlink>
    </w:p>
    <w:p>
      <w:pPr>
        <w:pStyle w:val="CaptionedFigure"/>
      </w:pPr>
      <w:r>
        <w:drawing>
          <wp:inline>
            <wp:extent cx="5943600" cy="3343275"/>
            <wp:effectExtent b="0" l="0" r="0" t="0"/>
            <wp:docPr descr="Figure 1. Conceptual figure of the simulation procedure used in experiment 2. A) we set \lambda (points) to vary at a known relationship (\beta, dashed line). B) Using known values of \lambda, we sampled 999 body sizes for each site. C) We estimated site-specific \lambda using the three methods (ELbn, L2n, MLE, see main text) and plotted them across the hypothetical environmental gradient (points, colored by method). D) We then estimated \beta using OLS regressions for each method separately (colored lines). E) We repeated A-D 1,000 times to get a distribution of \beta estimates. F) We compared the distribution of \beta estimates (colored density plots) with the known values of \beta (dashed vertical line)." title="" id="22" name="Picture"/>
            <a:graphic>
              <a:graphicData uri="http://schemas.openxmlformats.org/drawingml/2006/picture">
                <pic:pic>
                  <pic:nvPicPr>
                    <pic:cNvPr descr="conceptual.png" id="23"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Conceptual figure of the simulation procedure used in experiment 2. A) we set</w:t>
      </w:r>
      <w:r>
        <w:t xml:space="preserve"> </w:t>
      </w:r>
      <m:oMath>
        <m:r>
          <m:t>λ</m:t>
        </m:r>
      </m:oMath>
      <w:r>
        <w:t xml:space="preserve"> </w:t>
      </w:r>
      <w:r>
        <w:t xml:space="preserve">(points) to vary at a known relationship (</w:t>
      </w:r>
      <m:oMath>
        <m:r>
          <m:t>β</m:t>
        </m:r>
      </m:oMath>
      <w:r>
        <w:t xml:space="preserve">, dashed line). B) Using known values of</w:t>
      </w:r>
      <w:r>
        <w:t xml:space="preserve"> </w:t>
      </w:r>
      <m:oMath>
        <m:r>
          <m:t>λ</m:t>
        </m:r>
      </m:oMath>
      <w:r>
        <w:t xml:space="preserve">, we sampled 999 body sizes for each site. C) We estimated site-specific</w:t>
      </w:r>
      <w:r>
        <w:t xml:space="preserve"> </w:t>
      </w:r>
      <m:oMath>
        <m:r>
          <m:t>λ</m:t>
        </m:r>
      </m:oMath>
      <w:r>
        <w:t xml:space="preserve"> </w:t>
      </w:r>
      <w:r>
        <w:t xml:space="preserve">using the three methods (ELbn, L2n, MLE, see main text) and plotted them across the hypothetical environmental gradient (points, colored by method). D) We then estimated</w:t>
      </w:r>
      <w:r>
        <w:t xml:space="preserve"> </w:t>
      </w:r>
      <m:oMath>
        <m:r>
          <m:t>β</m:t>
        </m:r>
      </m:oMath>
      <w:r>
        <w:t xml:space="preserve"> </w:t>
      </w:r>
      <w:r>
        <w:t xml:space="preserve">using OLS regressions for each method separately (colored lines). E) We repeated A-D 1,000 times to get a distribution of</w:t>
      </w:r>
      <w:r>
        <w:t xml:space="preserve"> </w:t>
      </w:r>
      <m:oMath>
        <m:r>
          <m:t>β</m:t>
        </m:r>
      </m:oMath>
      <w:r>
        <w:t xml:space="preserve"> </w:t>
      </w:r>
      <w:r>
        <w:t xml:space="preserve">estimates. F) We compared the distribution of</w:t>
      </w:r>
      <w:r>
        <w:t xml:space="preserve"> </w:t>
      </w:r>
      <m:oMath>
        <m:r>
          <m:t>β</m:t>
        </m:r>
      </m:oMath>
      <w:r>
        <w:t xml:space="preserve"> </w:t>
      </w:r>
      <w:r>
        <w:t xml:space="preserve">estimates (colored density plots) with the known values of</w:t>
      </w:r>
      <w:r>
        <w:t xml:space="preserve"> </w:t>
      </w:r>
      <m:oMath>
        <m:r>
          <m:t>β</m:t>
        </m:r>
      </m:oMath>
      <w:r>
        <w:t xml:space="preserve"> </w:t>
      </w:r>
      <w:r>
        <w:t xml:space="preserve">(dashed vertical line).</w:t>
      </w:r>
    </w:p>
    <w:p>
      <w:pPr>
        <w:pStyle w:val="CaptionedFigure"/>
      </w:pPr>
      <w:r>
        <w:drawing>
          <wp:inline>
            <wp:extent cx="5504749" cy="5504749"/>
            <wp:effectExtent b="0" l="0" r="0" t="0"/>
            <wp:docPr descr="Figure 2.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 title="" id="25" name="Picture"/>
            <a:graphic>
              <a:graphicData uri="http://schemas.openxmlformats.org/drawingml/2006/picture">
                <pic:pic>
                  <pic:nvPicPr>
                    <pic:cNvPr descr="figures/est_lambda_est_b_density.png" id="26" name="Picture"/>
                    <pic:cNvPicPr>
                      <a:picLocks noChangeArrowheads="1" noChangeAspect="1"/>
                    </pic:cNvPicPr>
                  </pic:nvPicPr>
                  <pic:blipFill>
                    <a:blip r:embed="rId24"/>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Distribution of Lambda estimates by method (color) from random samples of body sizes from bounded power law distributions with varying exponents (-2.5 to -0.5). The figure is facetted by the known lambda parameter (facet title) and is also shown as the dashed line in each facet. Note that the x-axis varies in each facet.</w:t>
      </w:r>
    </w:p>
    <w:p>
      <w:pPr>
        <w:pStyle w:val="CaptionedFigure"/>
      </w:pPr>
      <w:r>
        <w:drawing>
          <wp:inline>
            <wp:extent cx="5504749" cy="5504749"/>
            <wp:effectExtent b="0" l="0" r="0" t="0"/>
            <wp:docPr descr="Figure 3. Distribution of relationship estimates (\beta_{env}) in three different “scenarios” of lambda values; steep: \lamba = -2.5 to -1.5; medium: \lamba = -2.0 to -1.0; steep: \lamba = -1.5 to -0.5. The dashed vertical line is the known relationship value of -0.5." title="" id="28" name="Picture"/>
            <a:graphic>
              <a:graphicData uri="http://schemas.openxmlformats.org/drawingml/2006/picture">
                <pic:pic>
                  <pic:nvPicPr>
                    <pic:cNvPr descr="figures/lambda_angle_plot.png" id="29" name="Picture"/>
                    <pic:cNvPicPr>
                      <a:picLocks noChangeArrowheads="1" noChangeAspect="1"/>
                    </pic:cNvPicPr>
                  </pic:nvPicPr>
                  <pic:blipFill>
                    <a:blip r:embed="rId27"/>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3. Distribution of relationship estimates (</w:t>
      </w:r>
      <m:oMath>
        <m:sSub>
          <m:e>
            <m:r>
              <m:t>β</m:t>
            </m:r>
          </m:e>
          <m:sub>
            <m:r>
              <m:t>e</m:t>
            </m:r>
            <m:r>
              <m:t>n</m:t>
            </m:r>
            <m:r>
              <m:t>v</m:t>
            </m:r>
          </m:sub>
        </m:sSub>
      </m:oMath>
      <w:r>
        <w:t xml:space="preserve">) in three different</w:t>
      </w:r>
      <w:r>
        <w:t xml:space="preserve"> </w:t>
      </w:r>
      <w:r>
        <w:t xml:space="preserve">“</w:t>
      </w:r>
      <w:r>
        <w:t xml:space="preserve">scenarios</w:t>
      </w:r>
      <w:r>
        <w:t xml:space="preserve">”</w:t>
      </w:r>
      <w:r>
        <w:t xml:space="preserve"> </w:t>
      </w:r>
      <w:r>
        <w:t xml:space="preserve">of lambda values; steep:</w:t>
      </w:r>
      <w:r>
        <w:t xml:space="preserve"> </w:t>
      </w:r>
      <w:r>
        <w:t xml:space="preserve">$\lamba$</w:t>
      </w:r>
      <w:r>
        <w:t xml:space="preserve"> </w:t>
      </w:r>
      <w:r>
        <w:t xml:space="preserve">= -2.5 to -1.5; medium:</w:t>
      </w:r>
      <w:r>
        <w:t xml:space="preserve"> </w:t>
      </w:r>
      <w:r>
        <w:t xml:space="preserve">$\lamba$</w:t>
      </w:r>
      <w:r>
        <w:t xml:space="preserve"> </w:t>
      </w:r>
      <w:r>
        <w:t xml:space="preserve">= -2.0 to -1.0; steep:</w:t>
      </w:r>
      <w:r>
        <w:t xml:space="preserve"> </w:t>
      </w:r>
      <w:r>
        <w:t xml:space="preserve">$\lamba$</w:t>
      </w:r>
      <w:r>
        <w:t xml:space="preserve"> </w:t>
      </w:r>
      <w:r>
        <w:t xml:space="preserve">= -1.5 to -0.5. The dashed vertical line is the known relationship value of -0.5.</w:t>
      </w:r>
    </w:p>
    <w:p>
      <w:pPr>
        <w:pStyle w:val="CaptionedFigure"/>
      </w:pPr>
      <w:r>
        <w:drawing>
          <wp:inline>
            <wp:extent cx="5504749" cy="5504749"/>
            <wp:effectExtent b="0" l="0" r="0" t="0"/>
            <wp:docPr descr="Figure 4. Individual regressions by method (columns) for three different known relationship values (rows from bottom to top, red dashed line). There were a total of 1000 replicates simulated for each combination of method and known relationship, but only 500 are plotted here to illustrate the variability in the regression lines." title="" id="31" name="Picture"/>
            <a:graphic>
              <a:graphicData uri="http://schemas.openxmlformats.org/drawingml/2006/picture">
                <pic:pic>
                  <pic:nvPicPr>
                    <pic:cNvPr descr="figures/vary_beta_plot.png" id="32" name="Picture"/>
                    <pic:cNvPicPr>
                      <a:picLocks noChangeArrowheads="1" noChangeAspect="1"/>
                    </pic:cNvPicPr>
                  </pic:nvPicPr>
                  <pic:blipFill>
                    <a:blip r:embed="rId30"/>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4. Individual regressions by method (columns) for three different known relationship values (rows from bottom to top, red dashed line). There were a total of 1000 replicates simulated for each combination of method and known relationship, but only 500 are plotted here to illustrate the variability in the regression lines.</w:t>
      </w:r>
    </w:p>
    <w:p>
      <w:pPr>
        <w:pStyle w:val="CaptionedFigure"/>
      </w:pPr>
      <w:r>
        <w:drawing>
          <wp:inline>
            <wp:extent cx="5504749" cy="5504749"/>
            <wp:effectExtent b="0" l="0" r="0" t="0"/>
            <wp:docPr descr="Figure 5. Distribution of relationship estimates (\beta_{env}) when estimating from different known relationships" title="" id="34" name="Picture"/>
            <a:graphic>
              <a:graphicData uri="http://schemas.openxmlformats.org/drawingml/2006/picture">
                <pic:pic>
                  <pic:nvPicPr>
                    <pic:cNvPr descr="figures/vary_beta_density_plot.png" id="35" name="Picture"/>
                    <pic:cNvPicPr>
                      <a:picLocks noChangeArrowheads="1" noChangeAspect="1"/>
                    </pic:cNvPicPr>
                  </pic:nvPicPr>
                  <pic:blipFill>
                    <a:blip r:embed="rId33"/>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5. Distribution of relationship estimates (</w:t>
      </w:r>
      <m:oMath>
        <m:sSub>
          <m:e>
            <m:r>
              <m:t>β</m:t>
            </m:r>
          </m:e>
          <m:sub>
            <m:r>
              <m:t>e</m:t>
            </m:r>
            <m:r>
              <m:t>n</m:t>
            </m:r>
            <m:r>
              <m:t>v</m:t>
            </m:r>
          </m:sub>
        </m:sSub>
      </m:oMath>
      <w:r>
        <w:t xml:space="preserve">) when estimating from different known relationships</w:t>
      </w:r>
    </w:p>
    <w:p>
      <w:pPr>
        <w:pStyle w:val="CaptionedFigure"/>
      </w:pPr>
      <w:r>
        <w:drawing>
          <wp:inline>
            <wp:extent cx="5943600" cy="5943600"/>
            <wp:effectExtent b="0" l="0" r="0" t="0"/>
            <wp:docPr descr="Figure 6. Estimates of change in exponent for size-abundance relationships across gradients from empirical data estimates. Panels A and C show the individual λ estimates for each site and the line shows the estimated relationship based on method (color) for the natural pollution and temperature gradients, respectively. Panels B and D show the mean estimated relationship coefficient (\beta, point) ± 1 standard deviation (error bars) from the OLS model for both empirical data sets. All the methods estimate the same sign of the relationship, but the estimates from the binning methods are generally larger than the MLE estimates." title="" id="37" name="Picture"/>
            <a:graphic>
              <a:graphicData uri="http://schemas.openxmlformats.org/drawingml/2006/picture">
                <pic:pic>
                  <pic:nvPicPr>
                    <pic:cNvPr descr="figures/empirical_combined.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Estimates of change in exponent for size-abundance relationships across gradients from empirical data estimates. Panels A and C show the individual λ estimates for each site and the line shows the estimated relationship based on method (color) for the natural pollution and temperature gradients, respectively. Panels B and D show the mean estimated relationship coefficient (</w:t>
      </w:r>
      <m:oMath>
        <m:r>
          <m:t>β</m:t>
        </m:r>
      </m:oMath>
      <w:r>
        <w:t xml:space="preserve">, point) ± 1 standard deviation (error bars) from the OLS model for both empirical data sets. All the methods estimate the same sign of the relationship, but the estimates from the binning methods are generally larger than the MLE estimates.</w:t>
      </w:r>
    </w:p>
    <w:p>
      <w:pPr>
        <w:pStyle w:val="CaptionedFigure"/>
      </w:pPr>
      <w:r>
        <w:drawing>
          <wp:inline>
            <wp:extent cx="5943600" cy="3343275"/>
            <wp:effectExtent b="0" l="0" r="0" t="0"/>
            <wp:docPr descr="Figure 7. Decision tree to aid researchers in choosing an analytical framework for estimating Individual Size Distributions. Major pros and cons of each framework are included." title="" id="40" name="Picture"/>
            <a:graphic>
              <a:graphicData uri="http://schemas.openxmlformats.org/drawingml/2006/picture">
                <pic:pic>
                  <pic:nvPicPr>
                    <pic:cNvPr descr="decision_tree.png" id="41"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7. Decision tree to aid researchers in choosing an analytical framework for estimating Individual Size Distributions. Major pros and cons of each framework are included.</w:t>
      </w:r>
    </w:p>
    <w:sectPr w:rsidR="008935F9" w:rsidSect="00C446BA">
      <w:headerReference r:id="rId9" w:type="even"/>
      <w:headerReference r:id="rId11" w:type="default"/>
      <w:footerReference r:id="rId14" w:type="even"/>
      <w:footerReference r:id="rId13" w:type="default"/>
      <w:headerReference r:id="rId10" w:type="first"/>
      <w:footerReference r:id="rId12" w:type="firs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F31F8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2EB" w:rsidRDefault="00AA02EB">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nhideWhenUsed/>
    <w:rsid w:val="00AA02EB"/>
    <w:pPr>
      <w:tabs>
        <w:tab w:pos="4680" w:val="center"/>
        <w:tab w:pos="9360" w:val="right"/>
      </w:tabs>
      <w:spacing w:after="0"/>
    </w:pPr>
  </w:style>
  <w:style w:customStyle="1" w:styleId="FooterChar" w:type="character">
    <w:name w:val="Footer Char"/>
    <w:basedOn w:val="DefaultParagraphFont"/>
    <w:link w:val="Footer"/>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hyperlink" Id="rId20" Target="mailto:jfpomeranz@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fpomeran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for ‘Detecting’ Manuscript</dc:title>
  <dc:creator>Justin Pomeranz1,✉, James R. Junker2,3, Vojsava Gjoni4, and Jeff S. Wesner4</dc:creator>
  <cp:keywords/>
  <dcterms:created xsi:type="dcterms:W3CDTF">2023-11-14T18:45:40Z</dcterms:created>
  <dcterms:modified xsi:type="dcterms:W3CDTF">2023-11-14T18:45:40Z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detecting-size-spectra-difference.bib</vt:lpwstr>
  </property>
  <property fmtid="{D5CDD505-2E9C-101B-9397-08002B2CF9AE}" pid="3" name="csl">
    <vt:lpwstr>ecology.csl</vt:lpwstr>
  </property>
  <property fmtid="{D5CDD505-2E9C-101B-9397-08002B2CF9AE}" pid="4" name="date">
    <vt:lpwstr>14 November, 2023</vt:lpwstr>
  </property>
  <property fmtid="{D5CDD505-2E9C-101B-9397-08002B2CF9AE}" pid="5" name="header-includes">
    <vt:lpwstr/>
  </property>
  <property fmtid="{D5CDD505-2E9C-101B-9397-08002B2CF9AE}" pid="6" name="indent">
    <vt:lpwstr>True</vt:lpwstr>
  </property>
  <property fmtid="{D5CDD505-2E9C-101B-9397-08002B2CF9AE}" pid="7" name="linestretch">
    <vt:lpwstr>1</vt:lpwstr>
  </property>
  <property fmtid="{D5CDD505-2E9C-101B-9397-08002B2CF9AE}" pid="8" name="link-citations">
    <vt:lpwstr>False</vt:lpwstr>
  </property>
  <property fmtid="{D5CDD505-2E9C-101B-9397-08002B2CF9AE}" pid="9" name="link-color">
    <vt:lpwstr>grey</vt:lpwstr>
  </property>
  <property fmtid="{D5CDD505-2E9C-101B-9397-08002B2CF9AE}" pid="10" name="output">
    <vt:lpwstr/>
  </property>
</Properties>
</file>