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68B0" w:rsidRDefault="00C1553A">
      <w:pPr>
        <w:spacing w:after="449" w:line="240" w:lineRule="auto"/>
        <w:ind w:left="0" w:right="0" w:firstLine="0"/>
        <w:jc w:val="left"/>
      </w:pPr>
      <w:r>
        <w:rPr>
          <w:sz w:val="14"/>
        </w:rPr>
        <w:t>IEEE TRANSACTIONS ON CIRCUITS AND SYSTEMS–I: REGULAR PAPERS</w:t>
      </w:r>
    </w:p>
    <w:p w:rsidR="002C68B0" w:rsidRDefault="00C1553A">
      <w:pPr>
        <w:spacing w:after="109" w:line="240" w:lineRule="auto"/>
        <w:ind w:left="1620" w:right="-15" w:hanging="10"/>
        <w:jc w:val="left"/>
      </w:pPr>
      <w:r>
        <w:rPr>
          <w:sz w:val="48"/>
        </w:rPr>
        <w:t>Current-Based Data-Retention-Time</w:t>
      </w:r>
    </w:p>
    <w:p w:rsidR="002C68B0" w:rsidRDefault="00C1553A">
      <w:pPr>
        <w:spacing w:after="107" w:line="240" w:lineRule="auto"/>
        <w:ind w:left="0" w:right="102" w:firstLine="0"/>
        <w:jc w:val="right"/>
      </w:pPr>
      <w:r>
        <w:rPr>
          <w:sz w:val="48"/>
        </w:rPr>
        <w:t>Characterization of Gain-Cell Embedded</w:t>
      </w:r>
    </w:p>
    <w:p w:rsidR="002C68B0" w:rsidRDefault="00C1553A">
      <w:pPr>
        <w:spacing w:after="109" w:line="240" w:lineRule="auto"/>
        <w:ind w:left="2026" w:right="-15" w:hanging="10"/>
        <w:jc w:val="left"/>
      </w:pPr>
      <w:r>
        <w:rPr>
          <w:sz w:val="48"/>
        </w:rPr>
        <w:t xml:space="preserve">DRAMs </w:t>
      </w:r>
      <w:proofErr w:type="gramStart"/>
      <w:r>
        <w:rPr>
          <w:sz w:val="48"/>
        </w:rPr>
        <w:t>Across</w:t>
      </w:r>
      <w:proofErr w:type="gramEnd"/>
      <w:r>
        <w:rPr>
          <w:sz w:val="48"/>
        </w:rPr>
        <w:t xml:space="preserve"> the Design and</w:t>
      </w:r>
    </w:p>
    <w:p w:rsidR="002C68B0" w:rsidRDefault="00C1553A">
      <w:pPr>
        <w:spacing w:after="219" w:line="240" w:lineRule="auto"/>
        <w:ind w:left="0" w:right="0" w:firstLine="0"/>
        <w:jc w:val="center"/>
      </w:pPr>
      <w:r>
        <w:rPr>
          <w:sz w:val="48"/>
        </w:rPr>
        <w:t>Variations Space</w:t>
      </w:r>
    </w:p>
    <w:p w:rsidR="002C68B0" w:rsidRDefault="00C1553A">
      <w:pPr>
        <w:spacing w:after="66" w:line="240" w:lineRule="auto"/>
        <w:ind w:left="0" w:right="0" w:firstLine="0"/>
        <w:jc w:val="right"/>
      </w:pPr>
      <w:r>
        <w:rPr>
          <w:sz w:val="22"/>
        </w:rPr>
        <w:t xml:space="preserve">Robert </w:t>
      </w:r>
      <w:proofErr w:type="spellStart"/>
      <w:r>
        <w:rPr>
          <w:sz w:val="22"/>
        </w:rPr>
        <w:t>Giterman</w:t>
      </w:r>
      <w:proofErr w:type="spellEnd"/>
      <w:r>
        <w:rPr>
          <w:rFonts w:ascii="Calibri" w:eastAsia="Calibri" w:hAnsi="Calibri" w:cs="Calibri"/>
          <w:noProof/>
          <w:color w:val="000000"/>
          <w:sz w:val="22"/>
        </w:rPr>
        <mc:AlternateContent>
          <mc:Choice Requires="wpg">
            <w:drawing>
              <wp:inline distT="0" distB="0" distL="0" distR="0">
                <wp:extent cx="104457" cy="102134"/>
                <wp:effectExtent l="0" t="0" r="0" b="0"/>
                <wp:docPr id="100296" name="Group 100296"/>
                <wp:cNvGraphicFramePr/>
                <a:graphic xmlns:a="http://schemas.openxmlformats.org/drawingml/2006/main">
                  <a:graphicData uri="http://schemas.microsoft.com/office/word/2010/wordprocessingGroup">
                    <wpg:wgp>
                      <wpg:cNvGrpSpPr/>
                      <wpg:grpSpPr>
                        <a:xfrm>
                          <a:off x="0" y="0"/>
                          <a:ext cx="104457" cy="102134"/>
                          <a:chOff x="0" y="0"/>
                          <a:chExt cx="104457" cy="102134"/>
                        </a:xfrm>
                      </wpg:grpSpPr>
                      <wps:wsp>
                        <wps:cNvPr id="14" name="Shape 14"/>
                        <wps:cNvSpPr/>
                        <wps:spPr>
                          <a:xfrm>
                            <a:off x="0" y="0"/>
                            <a:ext cx="104457" cy="102134"/>
                          </a:xfrm>
                          <a:custGeom>
                            <a:avLst/>
                            <a:gdLst/>
                            <a:ahLst/>
                            <a:cxnLst/>
                            <a:rect l="0" t="0" r="0" b="0"/>
                            <a:pathLst>
                              <a:path w="104457" h="102134">
                                <a:moveTo>
                                  <a:pt x="53797" y="826"/>
                                </a:moveTo>
                                <a:cubicBezTo>
                                  <a:pt x="82728" y="1639"/>
                                  <a:pt x="104457" y="25946"/>
                                  <a:pt x="103632" y="52858"/>
                                </a:cubicBezTo>
                                <a:cubicBezTo>
                                  <a:pt x="102819" y="78652"/>
                                  <a:pt x="80150" y="102134"/>
                                  <a:pt x="52019" y="101321"/>
                                </a:cubicBezTo>
                                <a:cubicBezTo>
                                  <a:pt x="24981" y="102134"/>
                                  <a:pt x="0" y="78804"/>
                                  <a:pt x="813" y="49721"/>
                                </a:cubicBezTo>
                                <a:cubicBezTo>
                                  <a:pt x="1638" y="24054"/>
                                  <a:pt x="23622" y="0"/>
                                  <a:pt x="53797" y="826"/>
                                </a:cubicBezTo>
                                <a:close/>
                              </a:path>
                            </a:pathLst>
                          </a:custGeom>
                          <a:ln w="0" cap="flat">
                            <a:miter lim="127000"/>
                          </a:ln>
                        </wps:spPr>
                        <wps:style>
                          <a:lnRef idx="0">
                            <a:srgbClr val="000000"/>
                          </a:lnRef>
                          <a:fillRef idx="1">
                            <a:srgbClr val="A5CE3A"/>
                          </a:fillRef>
                          <a:effectRef idx="0">
                            <a:scrgbClr r="0" g="0" b="0"/>
                          </a:effectRef>
                          <a:fontRef idx="none"/>
                        </wps:style>
                        <wps:bodyPr/>
                      </wps:wsp>
                      <wps:wsp>
                        <wps:cNvPr id="15" name="Shape 15"/>
                        <wps:cNvSpPr/>
                        <wps:spPr>
                          <a:xfrm>
                            <a:off x="28524" y="18580"/>
                            <a:ext cx="8471" cy="8471"/>
                          </a:xfrm>
                          <a:custGeom>
                            <a:avLst/>
                            <a:gdLst/>
                            <a:ahLst/>
                            <a:cxnLst/>
                            <a:rect l="0" t="0" r="0" b="0"/>
                            <a:pathLst>
                              <a:path w="8471" h="8471">
                                <a:moveTo>
                                  <a:pt x="4229" y="140"/>
                                </a:moveTo>
                                <a:cubicBezTo>
                                  <a:pt x="6566" y="140"/>
                                  <a:pt x="8471" y="2197"/>
                                  <a:pt x="8191" y="4509"/>
                                </a:cubicBezTo>
                                <a:cubicBezTo>
                                  <a:pt x="8064"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lnRef>
                          <a:fillRef idx="1">
                            <a:srgbClr val="F8FAF0"/>
                          </a:fillRef>
                          <a:effectRef idx="0">
                            <a:scrgbClr r="0" g="0" b="0"/>
                          </a:effectRef>
                          <a:fontRef idx="none"/>
                        </wps:style>
                        <wps:bodyPr/>
                      </wps:wsp>
                      <wps:wsp>
                        <wps:cNvPr id="111962" name="Shape 111962"/>
                        <wps:cNvSpPr/>
                        <wps:spPr>
                          <a:xfrm>
                            <a:off x="29083" y="31268"/>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17" name="Shape 17"/>
                        <wps:cNvSpPr/>
                        <wps:spPr>
                          <a:xfrm>
                            <a:off x="44361" y="31281"/>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18" name="Shape 18"/>
                        <wps:cNvSpPr/>
                        <wps:spPr>
                          <a:xfrm>
                            <a:off x="64467" y="31630"/>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8" y="25737"/>
                                  <a:pt x="13231" y="21495"/>
                                </a:cubicBezTo>
                                <a:cubicBezTo>
                                  <a:pt x="13625" y="14395"/>
                                  <a:pt x="10082" y="8109"/>
                                  <a:pt x="1763" y="5925"/>
                                </a:cubicBezTo>
                                <a:lnTo>
                                  <a:pt x="0" y="582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61AC43A2" id="Group 100296" o:spid="_x0000_s1026" style="width:8.2pt;height:8.05pt;mso-position-horizontal-relative:char;mso-position-vertical-relative:line" coordsize="104457,10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">
                <v:shape id="Shape 14" o:spid="_x0000_s1027" style="position:absolute;width:104457;height:102134;visibility:visible;mso-wrap-style:square;v-text-anchor:top" coordsize="104457,1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iOcIA&#10;AADbAAAADwAAAGRycy9kb3ducmV2LnhtbERPTWsCMRC9F/wPYYTeata2iKxGqZaiPRRxFelx2Ew3&#10;SzeTbRJ1/fdGKHibx/uc6byzjTiRD7VjBcNBBoK4dLrmSsF+9/E0BhEissbGMSm4UID5rPcwxVy7&#10;M2/pVMRKpBAOOSowMba5lKE0ZDEMXEucuB/nLcYEfSW1x3MKt418zrKRtFhzajDY0tJQ+VscrYKX&#10;4yhu3n1RfRerv8Wn/Fqaw+6i1GO/e5uAiNTFu/jfvdZp/ivcfkkHyN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KI5wgAAANsAAAAPAAAAAAAAAAAAAAAAAJgCAABkcnMvZG93&#10;bnJldi54bWxQSwUGAAAAAAQABAD1AAAAhwMAAAAA&#10;" path="m53797,826v28931,813,50660,25120,49835,52032c102819,78652,80150,102134,52019,101321,24981,102134,,78804,813,49721,1638,24054,23622,,53797,826xe" fillcolor="#a5ce3a" stroked="f" strokeweight="0">
                  <v:stroke miterlimit="83231f" joinstyle="miter"/>
                  <v:path arrowok="t" textboxrect="0,0,104457,102134"/>
                </v:shape>
                <v:shape id="Shape 15" o:spid="_x0000_s1028" style="position:absolute;left:28524;top:18580;width:8471;height:8471;visibility:visible;mso-wrap-style:square;v-text-anchor:top" coordsize="8471,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ITL8A&#10;AADbAAAADwAAAGRycy9kb3ducmV2LnhtbERPzYrCMBC+C/sOYRa8aeqi1q1G2YrC4k3rAwzNbFts&#10;JiWJWt/eCAve5uP7ndWmN624kfONZQWTcQKCuLS64UrBudiPFiB8QNbYWiYFD/KwWX8MVphpe+cj&#10;3U6hEjGEfYYK6hC6TEpf1mTQj21HHLk/6wyGCF0ltcN7DDet/EqSuTTYcGyosaNtTeXldDUK5rtD&#10;XpTT73yyz5GKh01dV6VKDT/7nyWIQH14i//dvzrOn8Hrl3i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gIhMvwAAANsAAAAPAAAAAAAAAAAAAAAAAJgCAABkcnMvZG93bnJl&#10;di54bWxQSwUGAAAAAAQABAD1AAAAhAMAAAAA&#10;" path="m4229,140v2337,,4242,2057,3962,4369c8064,6693,6147,8471,3962,8331,1638,8331,,6553,,4242,,1918,1918,,4229,140xe" fillcolor="#f8faf0" stroked="f" strokeweight="0">
                  <v:stroke miterlimit="83231f" joinstyle="miter"/>
                  <v:path arrowok="t" textboxrect="0,0,8471,8471"/>
                </v:shape>
                <v:shape id="Shape 111962" o:spid="_x0000_s1029" style="position:absolute;left:29083;top:31268;width:9144;height:42342;visibility:visible;mso-wrap-style:square;v-text-anchor:top" coordsize="9144,42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6msUA&#10;AADfAAAADwAAAGRycy9kb3ducmV2LnhtbERPXUvDMBR9H/gfwhV829JOra5rOmQgGyiIU2SPl+au&#10;KTY3XRO3br/eDAQfD+e7WAy2FQfqfeNYQTpJQBBXTjdcK/j8eB4/gvABWWPrmBScyMOivBoVmGt3&#10;5Hc6bEItYgj7HBWYELpcSl8ZsugnriOO3M71FkOEfS11j8cYbls5TZJMWmw4NhjsaGmo+t78WAWv&#10;92+tSe5W9FVv5Uu4PWf7hxUqdXM9PM1BBBrCv/jPvdZxfprOsilc/kQA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bqaxQAAAN8AAAAPAAAAAAAAAAAAAAAAAJgCAABkcnMv&#10;ZG93bnJldi54bWxQSwUGAAAAAAQABAD1AAAAigMAAAAA&#10;" path="m,l9144,r,42342l,42342,,e" stroked="f" strokeweight="0">
                  <v:stroke miterlimit="83231f" joinstyle="miter"/>
                  <v:path arrowok="t" textboxrect="0,0,9144,42342"/>
                </v:shape>
                <v:shape id="Shape 17" o:spid="_x0000_s1030" style="position:absolute;left:44361;top:31281;width:20106;height:42189;visibility:visible;mso-wrap-style:square;v-text-anchor:top" coordsize="20106,4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OJMMA&#10;AADbAAAADwAAAGRycy9kb3ducmV2LnhtbERPTWvCQBC9C/6HZYRepG6qWGN0lVIq9FCQ2hY8jtkx&#10;iWZnw+7WpP++Kwje5vE+Z7nuTC0u5HxlWcHTKAFBnFtdcaHg+2vzmILwAVljbZkU/JGH9arfW2Km&#10;bcufdNmFQsQQ9hkqKENoMil9XpJBP7INceSO1hkMEbpCaodtDDe1HCfJszRYcWwosaHXkvLz7tco&#10;wPl+evpJJb/pyfAwnrezdPvhlHoYdC8LEIG6cBff3O86zp/B9Zd4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OJMMAAADbAAAADwAAAAAAAAAAAAAAAACYAgAAZHJzL2Rv&#10;d25yZXYueG1sUEsFBgAAAAAEAAQA9QAAAIgDAAAAAA==&#10;" path="m,l6845,,20106,349r,5829l6845,5461r,30988c10389,36449,15710,36601,18580,36449r1526,-641l20106,41961,6972,42189,,42189,,xe" stroked="f" strokeweight="0">
                  <v:stroke miterlimit="83231f" joinstyle="miter"/>
                  <v:path arrowok="t" textboxrect="0,0,20106,42189"/>
                </v:shape>
                <v:shape id="Shape 18" o:spid="_x0000_s1031" style="position:absolute;left:64467;top:31630;width:20051;height:41612;visibility:visible;mso-wrap-style:square;v-text-anchor:top" coordsize="20051,41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AvMMA&#10;AADbAAAADwAAAGRycy9kb3ducmV2LnhtbESPQWvDMAyF74X9B6NBb42zUULI4pYyGGy3NdmhvYlY&#10;S0JjOcRek+7XT4fCbhLv6b1P5X5xg7rSFHrPBp6SFBRx423PrYGv+m2TgwoR2eLgmQzcKMB+97Aq&#10;sbB+5iNdq9gqCeFQoIEuxrHQOjQdOQyJH4lF+/aTwyjr1Go74SzhbtDPaZpphz1LQ4cjvXbUXKof&#10;Z+BsfZ43tb99tJ99Tr+nrN7OaMz6cTm8gIq0xH/z/frdCr7Ayi8ygN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iAvMMAAADbAAAADwAAAAAAAAAAAAAAAACYAgAAZHJzL2Rv&#10;d25yZXYueG1sUEsFBgAAAAAEAAQA9QAAAIgDAAAAAA==&#10;" path="m,l2170,57c12812,1835,20051,10306,20051,21101,19912,31312,11873,40342,1471,41586l,41612,,35459,8772,31774v2580,-2523,4186,-6037,4459,-10279c13625,14395,10082,8109,1763,5925l,5829,,xe" stroked="f" strokeweight="0">
                  <v:stroke miterlimit="83231f" joinstyle="miter"/>
                  <v:path arrowok="t" textboxrect="0,0,20051,41612"/>
                </v:shape>
                <w10:anchorlock/>
              </v:group>
            </w:pict>
          </mc:Fallback>
        </mc:AlternateContent>
      </w:r>
      <w:r>
        <w:rPr>
          <w:sz w:val="22"/>
        </w:rPr>
        <w:t xml:space="preserve">, Andrea </w:t>
      </w:r>
      <w:proofErr w:type="spellStart"/>
      <w:r>
        <w:rPr>
          <w:sz w:val="22"/>
        </w:rPr>
        <w:t>Bonetti</w:t>
      </w:r>
      <w:proofErr w:type="spellEnd"/>
      <w:r>
        <w:rPr>
          <w:rFonts w:ascii="Calibri" w:eastAsia="Calibri" w:hAnsi="Calibri" w:cs="Calibri"/>
          <w:noProof/>
          <w:color w:val="000000"/>
          <w:sz w:val="22"/>
        </w:rPr>
        <mc:AlternateContent>
          <mc:Choice Requires="wpg">
            <w:drawing>
              <wp:inline distT="0" distB="0" distL="0" distR="0">
                <wp:extent cx="104458" cy="102134"/>
                <wp:effectExtent l="0" t="0" r="0" b="0"/>
                <wp:docPr id="100297" name="Group 100297"/>
                <wp:cNvGraphicFramePr/>
                <a:graphic xmlns:a="http://schemas.openxmlformats.org/drawingml/2006/main">
                  <a:graphicData uri="http://schemas.microsoft.com/office/word/2010/wordprocessingGroup">
                    <wpg:wgp>
                      <wpg:cNvGrpSpPr/>
                      <wpg:grpSpPr>
                        <a:xfrm>
                          <a:off x="0" y="0"/>
                          <a:ext cx="104458" cy="102134"/>
                          <a:chOff x="0" y="0"/>
                          <a:chExt cx="104458" cy="102134"/>
                        </a:xfrm>
                      </wpg:grpSpPr>
                      <wps:wsp>
                        <wps:cNvPr id="20" name="Shape 20"/>
                        <wps:cNvSpPr/>
                        <wps:spPr>
                          <a:xfrm>
                            <a:off x="0" y="0"/>
                            <a:ext cx="104458" cy="102134"/>
                          </a:xfrm>
                          <a:custGeom>
                            <a:avLst/>
                            <a:gdLst/>
                            <a:ahLst/>
                            <a:cxnLst/>
                            <a:rect l="0" t="0" r="0" b="0"/>
                            <a:pathLst>
                              <a:path w="104458" h="102134">
                                <a:moveTo>
                                  <a:pt x="53797" y="826"/>
                                </a:moveTo>
                                <a:cubicBezTo>
                                  <a:pt x="82728" y="1639"/>
                                  <a:pt x="104458" y="25946"/>
                                  <a:pt x="103632" y="52858"/>
                                </a:cubicBezTo>
                                <a:cubicBezTo>
                                  <a:pt x="102819" y="78652"/>
                                  <a:pt x="80150" y="102134"/>
                                  <a:pt x="52019" y="101321"/>
                                </a:cubicBezTo>
                                <a:cubicBezTo>
                                  <a:pt x="24981" y="102134"/>
                                  <a:pt x="0" y="78804"/>
                                  <a:pt x="813" y="49721"/>
                                </a:cubicBezTo>
                                <a:cubicBezTo>
                                  <a:pt x="1638" y="24054"/>
                                  <a:pt x="23622" y="0"/>
                                  <a:pt x="53797" y="826"/>
                                </a:cubicBezTo>
                                <a:close/>
                              </a:path>
                            </a:pathLst>
                          </a:custGeom>
                          <a:ln w="0" cap="flat">
                            <a:miter lim="127000"/>
                          </a:ln>
                        </wps:spPr>
                        <wps:style>
                          <a:lnRef idx="0">
                            <a:srgbClr val="000000"/>
                          </a:lnRef>
                          <a:fillRef idx="1">
                            <a:srgbClr val="A5CE3A"/>
                          </a:fillRef>
                          <a:effectRef idx="0">
                            <a:scrgbClr r="0" g="0" b="0"/>
                          </a:effectRef>
                          <a:fontRef idx="none"/>
                        </wps:style>
                        <wps:bodyPr/>
                      </wps:wsp>
                      <wps:wsp>
                        <wps:cNvPr id="21" name="Shape 21"/>
                        <wps:cNvSpPr/>
                        <wps:spPr>
                          <a:xfrm>
                            <a:off x="28524" y="18580"/>
                            <a:ext cx="8471" cy="8471"/>
                          </a:xfrm>
                          <a:custGeom>
                            <a:avLst/>
                            <a:gdLst/>
                            <a:ahLst/>
                            <a:cxnLst/>
                            <a:rect l="0" t="0" r="0" b="0"/>
                            <a:pathLst>
                              <a:path w="8471" h="8471">
                                <a:moveTo>
                                  <a:pt x="4229" y="140"/>
                                </a:moveTo>
                                <a:cubicBezTo>
                                  <a:pt x="6566" y="140"/>
                                  <a:pt x="8471" y="2197"/>
                                  <a:pt x="8192" y="4509"/>
                                </a:cubicBezTo>
                                <a:cubicBezTo>
                                  <a:pt x="8065"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lnRef>
                          <a:fillRef idx="1">
                            <a:srgbClr val="F8FAF0"/>
                          </a:fillRef>
                          <a:effectRef idx="0">
                            <a:scrgbClr r="0" g="0" b="0"/>
                          </a:effectRef>
                          <a:fontRef idx="none"/>
                        </wps:style>
                        <wps:bodyPr/>
                      </wps:wsp>
                      <wps:wsp>
                        <wps:cNvPr id="111963" name="Shape 111963"/>
                        <wps:cNvSpPr/>
                        <wps:spPr>
                          <a:xfrm>
                            <a:off x="29083" y="31268"/>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3" name="Shape 23"/>
                        <wps:cNvSpPr/>
                        <wps:spPr>
                          <a:xfrm>
                            <a:off x="44374" y="31281"/>
                            <a:ext cx="20093" cy="42189"/>
                          </a:xfrm>
                          <a:custGeom>
                            <a:avLst/>
                            <a:gdLst/>
                            <a:ahLst/>
                            <a:cxnLst/>
                            <a:rect l="0" t="0" r="0" b="0"/>
                            <a:pathLst>
                              <a:path w="20093" h="42189">
                                <a:moveTo>
                                  <a:pt x="0" y="0"/>
                                </a:moveTo>
                                <a:lnTo>
                                  <a:pt x="6833" y="0"/>
                                </a:lnTo>
                                <a:lnTo>
                                  <a:pt x="20093" y="349"/>
                                </a:lnTo>
                                <a:lnTo>
                                  <a:pt x="20093" y="6178"/>
                                </a:lnTo>
                                <a:lnTo>
                                  <a:pt x="6833" y="5461"/>
                                </a:lnTo>
                                <a:lnTo>
                                  <a:pt x="6833" y="36449"/>
                                </a:lnTo>
                                <a:cubicBezTo>
                                  <a:pt x="10376" y="36449"/>
                                  <a:pt x="15697" y="36601"/>
                                  <a:pt x="18567" y="36449"/>
                                </a:cubicBezTo>
                                <a:lnTo>
                                  <a:pt x="20093" y="35808"/>
                                </a:lnTo>
                                <a:lnTo>
                                  <a:pt x="20093" y="41961"/>
                                </a:lnTo>
                                <a:lnTo>
                                  <a:pt x="6960" y="42189"/>
                                </a:lnTo>
                                <a:lnTo>
                                  <a:pt x="0" y="4218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24" name="Shape 24"/>
                        <wps:cNvSpPr/>
                        <wps:spPr>
                          <a:xfrm>
                            <a:off x="64467" y="31630"/>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9" y="25737"/>
                                  <a:pt x="13231" y="21495"/>
                                </a:cubicBezTo>
                                <a:cubicBezTo>
                                  <a:pt x="13625" y="14395"/>
                                  <a:pt x="10082" y="8109"/>
                                  <a:pt x="1763" y="5925"/>
                                </a:cubicBezTo>
                                <a:lnTo>
                                  <a:pt x="0" y="582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0CFD985D" id="Group 100297" o:spid="_x0000_s1026" style="width:8.25pt;height:8.05pt;mso-position-horizontal-relative:char;mso-position-vertical-relative:line" coordsize="104458,10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">
                <v:shape id="Shape 20" o:spid="_x0000_s1027" style="position:absolute;width:104458;height:102134;visibility:visible;mso-wrap-style:square;v-text-anchor:top" coordsize="104458,1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Tt8AA&#10;AADbAAAADwAAAGRycy9kb3ducmV2LnhtbERPy4rCMBTdC/MP4Q6409RXlWqUQRgYoQt1Btxemmtb&#10;bG5KEm3n781CcHk4782uN414kPO1ZQWTcQKCuLC65lLB3+/3aAXCB2SNjWVS8E8edtuPwQYzbTs+&#10;0eMcShFD2GeooAqhzaT0RUUG/di2xJG7WmcwROhKqR12Mdw0cpokqTRYc2yosKV9RcXtfDcKyjzv&#10;jny/5Hp+2+dusZwd0iMrNfzsv9YgAvXhLX65f7SCaVwfv8Qf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9Tt8AAAADbAAAADwAAAAAAAAAAAAAAAACYAgAAZHJzL2Rvd25y&#10;ZXYueG1sUEsFBgAAAAAEAAQA9QAAAIUDAAAAAA==&#10;" path="m53797,826v28931,813,50661,25120,49835,52032c102819,78652,80150,102134,52019,101321,24981,102134,,78804,813,49721,1638,24054,23622,,53797,826xe" fillcolor="#a5ce3a" stroked="f" strokeweight="0">
                  <v:stroke miterlimit="83231f" joinstyle="miter"/>
                  <v:path arrowok="t" textboxrect="0,0,104458,102134"/>
                </v:shape>
                <v:shape id="Shape 21" o:spid="_x0000_s1028" style="position:absolute;left:28524;top:18580;width:8471;height:8471;visibility:visible;mso-wrap-style:square;v-text-anchor:top" coordsize="8471,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E8sIA&#10;AADbAAAADwAAAGRycy9kb3ducmV2LnhtbESPwWrDMBBE74X8g9hCbo1sU5zEiRLiUkPprXE+YLE2&#10;tqm1MpLqOH8fFQo9DjPzhtkfZzOIiZzvLStIVwkI4sbqnlsFl7p62YDwAVnjYJkU3MnD8bB42mOh&#10;7Y2/aDqHVkQI+wIVdCGMhZS+6cigX9mROHpX6wyGKF0rtcNbhJtBZkmSS4M9x4UOR3rrqPk+/xgF&#10;+ftnWTev2zKtSqT6btdubNdKLZ/n0w5EoDn8h//aH1pBlsLvl/gD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10TywgAAANsAAAAPAAAAAAAAAAAAAAAAAJgCAABkcnMvZG93&#10;bnJldi54bWxQSwUGAAAAAAQABAD1AAAAhwMAAAAA&#10;" path="m4229,140v2337,,4242,2057,3963,4369c8065,6693,6147,8471,3963,8331,1638,8331,,6553,,4242,,1918,1918,,4229,140xe" fillcolor="#f8faf0" stroked="f" strokeweight="0">
                  <v:stroke miterlimit="83231f" joinstyle="miter"/>
                  <v:path arrowok="t" textboxrect="0,0,8471,8471"/>
                </v:shape>
                <v:shape id="Shape 111963" o:spid="_x0000_s1029" style="position:absolute;left:29083;top:31268;width:9144;height:42342;visibility:visible;mso-wrap-style:square;v-text-anchor:top" coordsize="9144,42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UfAcUA&#10;AADfAAAADwAAAGRycy9kb3ducmV2LnhtbERPXUvDMBR9F/wP4Qp7c2mdVtc1HTIYGyiIU2SPl+au&#10;KTY3tcm2br/eDAQfD+e7mA+2FQfqfeNYQTpOQBBXTjdcK/j8WN4+gfABWWPrmBScyMO8vL4qMNfu&#10;yO902IRaxBD2OSowIXS5lL4yZNGPXUccuZ3rLYYI+1rqHo8x3LbyLkkyabHh2GCwo4Wh6nuztwpe&#10;H95ak9yv6KveypcwOWc/jytUanQzPM9ABBrCv/jPvdZxfppOswlc/kQA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pR8BxQAAAN8AAAAPAAAAAAAAAAAAAAAAAJgCAABkcnMv&#10;ZG93bnJldi54bWxQSwUGAAAAAAQABAD1AAAAigMAAAAA&#10;" path="m,l9144,r,42342l,42342,,e" stroked="f" strokeweight="0">
                  <v:stroke miterlimit="83231f" joinstyle="miter"/>
                  <v:path arrowok="t" textboxrect="0,0,9144,42342"/>
                </v:shape>
                <v:shape id="Shape 23" o:spid="_x0000_s1030" style="position:absolute;left:44374;top:31281;width:20093;height:42189;visibility:visible;mso-wrap-style:square;v-text-anchor:top" coordsize="20093,4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fwsEA&#10;AADbAAAADwAAAGRycy9kb3ducmV2LnhtbESPS4vCMBSF94L/IVzBnaYqiFaj+EAYxtWoIO4uzbUp&#10;Nje1idr59xNhwOXhPD7OfNnYUjyp9oVjBYN+AoI4c7rgXMHpuOtNQPiArLF0TAp+ycNy0W7NMdXu&#10;xT/0PIRcxBH2KSowIVSplD4zZNH3XUUcvaurLYYo61zqGl9x3JZymCRjabHgSDBY0cZQdjs8bORO&#10;L1tef2/4zHZ/N5NqPGq2d6W6nWY1AxGoCZ/wf/tLKxiO4P0l/g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HX8LBAAAA2wAAAA8AAAAAAAAAAAAAAAAAmAIAAGRycy9kb3du&#10;cmV2LnhtbFBLBQYAAAAABAAEAPUAAACGAwAAAAA=&#10;" path="m,l6833,,20093,349r,5829l6833,5461r,30988c10376,36449,15697,36601,18567,36449r1526,-641l20093,41961,6960,42189,,42189,,xe" stroked="f" strokeweight="0">
                  <v:stroke miterlimit="83231f" joinstyle="miter"/>
                  <v:path arrowok="t" textboxrect="0,0,20093,42189"/>
                </v:shape>
                <v:shape id="Shape 24" o:spid="_x0000_s1031" style="position:absolute;left:64467;top:31630;width:20051;height:41612;visibility:visible;mso-wrap-style:square;v-text-anchor:top" coordsize="20051,41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lABMIA&#10;AADbAAAADwAAAGRycy9kb3ducmV2LnhtbESPT2vCQBTE74V+h+UJ3upGCRJSVxGhYG816cHeHtln&#10;Esy+Ddk1f/z0riD0OMzMb5jNbjSN6KlztWUFy0UEgriwuuZSwW/+9ZGAcB5ZY2OZFEzkYLd9f9tg&#10;qu3AJ+ozX4oAYZeigsr7NpXSFRUZdAvbEgfvYjuDPsiulLrDIcBNI1dRtJYGaw4LFbZ0qKi4Zjej&#10;4E/bJClyO32XP3VC9/M6jwdUaj4b958gPI3+P/xqH7WCVQzPL+EH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2UAEwgAAANsAAAAPAAAAAAAAAAAAAAAAAJgCAABkcnMvZG93&#10;bnJldi54bWxQSwUGAAAAAAQABAD1AAAAhwMAAAAA&#10;" path="m,l2170,57c12812,1835,20051,10306,20051,21101,19912,31312,11873,40342,1471,41586l,41612,,35459,8772,31774v2580,-2523,4187,-6037,4459,-10279c13625,14395,10082,8109,1763,5925l,5829,,xe" stroked="f" strokeweight="0">
                  <v:stroke miterlimit="83231f" joinstyle="miter"/>
                  <v:path arrowok="t" textboxrect="0,0,20051,41612"/>
                </v:shape>
                <w10:anchorlock/>
              </v:group>
            </w:pict>
          </mc:Fallback>
        </mc:AlternateContent>
      </w:r>
      <w:r>
        <w:rPr>
          <w:sz w:val="22"/>
        </w:rPr>
        <w:t xml:space="preserve">, Ester Vicario Bravo, </w:t>
      </w:r>
      <w:proofErr w:type="spellStart"/>
      <w:r>
        <w:rPr>
          <w:sz w:val="22"/>
        </w:rPr>
        <w:t>Tzachi</w:t>
      </w:r>
      <w:proofErr w:type="spellEnd"/>
      <w:r>
        <w:rPr>
          <w:sz w:val="22"/>
        </w:rPr>
        <w:t xml:space="preserve"> </w:t>
      </w:r>
      <w:proofErr w:type="spellStart"/>
      <w:r>
        <w:rPr>
          <w:sz w:val="22"/>
        </w:rPr>
        <w:t>Noy</w:t>
      </w:r>
      <w:proofErr w:type="spellEnd"/>
      <w:r>
        <w:rPr>
          <w:rFonts w:ascii="Calibri" w:eastAsia="Calibri" w:hAnsi="Calibri" w:cs="Calibri"/>
          <w:noProof/>
          <w:color w:val="000000"/>
          <w:sz w:val="22"/>
        </w:rPr>
        <mc:AlternateContent>
          <mc:Choice Requires="wpg">
            <w:drawing>
              <wp:inline distT="0" distB="0" distL="0" distR="0">
                <wp:extent cx="104458" cy="102134"/>
                <wp:effectExtent l="0" t="0" r="0" b="0"/>
                <wp:docPr id="100298" name="Group 100298"/>
                <wp:cNvGraphicFramePr/>
                <a:graphic xmlns:a="http://schemas.openxmlformats.org/drawingml/2006/main">
                  <a:graphicData uri="http://schemas.microsoft.com/office/word/2010/wordprocessingGroup">
                    <wpg:wgp>
                      <wpg:cNvGrpSpPr/>
                      <wpg:grpSpPr>
                        <a:xfrm>
                          <a:off x="0" y="0"/>
                          <a:ext cx="104458" cy="102134"/>
                          <a:chOff x="0" y="0"/>
                          <a:chExt cx="104458" cy="102134"/>
                        </a:xfrm>
                      </wpg:grpSpPr>
                      <wps:wsp>
                        <wps:cNvPr id="26" name="Shape 26"/>
                        <wps:cNvSpPr/>
                        <wps:spPr>
                          <a:xfrm>
                            <a:off x="0" y="0"/>
                            <a:ext cx="104458" cy="102134"/>
                          </a:xfrm>
                          <a:custGeom>
                            <a:avLst/>
                            <a:gdLst/>
                            <a:ahLst/>
                            <a:cxnLst/>
                            <a:rect l="0" t="0" r="0" b="0"/>
                            <a:pathLst>
                              <a:path w="104458" h="102134">
                                <a:moveTo>
                                  <a:pt x="53797" y="826"/>
                                </a:moveTo>
                                <a:cubicBezTo>
                                  <a:pt x="82728" y="1639"/>
                                  <a:pt x="104458" y="25946"/>
                                  <a:pt x="103632" y="52858"/>
                                </a:cubicBezTo>
                                <a:cubicBezTo>
                                  <a:pt x="102819" y="78652"/>
                                  <a:pt x="80150" y="102134"/>
                                  <a:pt x="52019" y="101321"/>
                                </a:cubicBezTo>
                                <a:cubicBezTo>
                                  <a:pt x="24981" y="102134"/>
                                  <a:pt x="0" y="78804"/>
                                  <a:pt x="813" y="49721"/>
                                </a:cubicBezTo>
                                <a:cubicBezTo>
                                  <a:pt x="1638" y="24054"/>
                                  <a:pt x="23622" y="0"/>
                                  <a:pt x="53797" y="826"/>
                                </a:cubicBezTo>
                                <a:close/>
                              </a:path>
                            </a:pathLst>
                          </a:custGeom>
                          <a:ln w="0" cap="flat">
                            <a:miter lim="127000"/>
                          </a:ln>
                        </wps:spPr>
                        <wps:style>
                          <a:lnRef idx="0">
                            <a:srgbClr val="000000"/>
                          </a:lnRef>
                          <a:fillRef idx="1">
                            <a:srgbClr val="A5CE3A"/>
                          </a:fillRef>
                          <a:effectRef idx="0">
                            <a:scrgbClr r="0" g="0" b="0"/>
                          </a:effectRef>
                          <a:fontRef idx="none"/>
                        </wps:style>
                        <wps:bodyPr/>
                      </wps:wsp>
                      <wps:wsp>
                        <wps:cNvPr id="27" name="Shape 27"/>
                        <wps:cNvSpPr/>
                        <wps:spPr>
                          <a:xfrm>
                            <a:off x="28524" y="18580"/>
                            <a:ext cx="8471" cy="8471"/>
                          </a:xfrm>
                          <a:custGeom>
                            <a:avLst/>
                            <a:gdLst/>
                            <a:ahLst/>
                            <a:cxnLst/>
                            <a:rect l="0" t="0" r="0" b="0"/>
                            <a:pathLst>
                              <a:path w="8471" h="8471">
                                <a:moveTo>
                                  <a:pt x="4229" y="140"/>
                                </a:moveTo>
                                <a:cubicBezTo>
                                  <a:pt x="6566" y="140"/>
                                  <a:pt x="8471" y="2197"/>
                                  <a:pt x="8192" y="4509"/>
                                </a:cubicBezTo>
                                <a:cubicBezTo>
                                  <a:pt x="8065"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lnRef>
                          <a:fillRef idx="1">
                            <a:srgbClr val="F8FAF0"/>
                          </a:fillRef>
                          <a:effectRef idx="0">
                            <a:scrgbClr r="0" g="0" b="0"/>
                          </a:effectRef>
                          <a:fontRef idx="none"/>
                        </wps:style>
                        <wps:bodyPr/>
                      </wps:wsp>
                      <wps:wsp>
                        <wps:cNvPr id="111964" name="Shape 111964"/>
                        <wps:cNvSpPr/>
                        <wps:spPr>
                          <a:xfrm>
                            <a:off x="29083" y="31268"/>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9" name="Shape 29"/>
                        <wps:cNvSpPr/>
                        <wps:spPr>
                          <a:xfrm>
                            <a:off x="44361" y="31281"/>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30" name="Shape 30"/>
                        <wps:cNvSpPr/>
                        <wps:spPr>
                          <a:xfrm>
                            <a:off x="64467" y="31630"/>
                            <a:ext cx="20051" cy="41612"/>
                          </a:xfrm>
                          <a:custGeom>
                            <a:avLst/>
                            <a:gdLst/>
                            <a:ahLst/>
                            <a:cxnLst/>
                            <a:rect l="0" t="0" r="0" b="0"/>
                            <a:pathLst>
                              <a:path w="20051" h="41612">
                                <a:moveTo>
                                  <a:pt x="0" y="0"/>
                                </a:moveTo>
                                <a:lnTo>
                                  <a:pt x="2170" y="57"/>
                                </a:lnTo>
                                <a:cubicBezTo>
                                  <a:pt x="12813" y="1835"/>
                                  <a:pt x="20051" y="10306"/>
                                  <a:pt x="20051" y="21101"/>
                                </a:cubicBezTo>
                                <a:cubicBezTo>
                                  <a:pt x="19912" y="31312"/>
                                  <a:pt x="11873" y="40342"/>
                                  <a:pt x="1472" y="41586"/>
                                </a:cubicBezTo>
                                <a:lnTo>
                                  <a:pt x="0" y="41612"/>
                                </a:lnTo>
                                <a:lnTo>
                                  <a:pt x="0" y="35459"/>
                                </a:lnTo>
                                <a:lnTo>
                                  <a:pt x="8772" y="31774"/>
                                </a:lnTo>
                                <a:cubicBezTo>
                                  <a:pt x="11352" y="29251"/>
                                  <a:pt x="12959" y="25737"/>
                                  <a:pt x="13232" y="21495"/>
                                </a:cubicBezTo>
                                <a:cubicBezTo>
                                  <a:pt x="13626" y="14395"/>
                                  <a:pt x="10082" y="8109"/>
                                  <a:pt x="1763" y="5925"/>
                                </a:cubicBezTo>
                                <a:lnTo>
                                  <a:pt x="0" y="582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593A37BF" id="Group 100298" o:spid="_x0000_s1026" style="width:8.25pt;height:8.05pt;mso-position-horizontal-relative:char;mso-position-vertical-relative:line" coordsize="104458,10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">
                <v:shape id="Shape 26" o:spid="_x0000_s1027" style="position:absolute;width:104458;height:102134;visibility:visible;mso-wrap-style:square;v-text-anchor:top" coordsize="104458,1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uWMMA&#10;AADbAAAADwAAAGRycy9kb3ducmV2LnhtbESPQWvCQBSE74L/YXmF3nRTrVGiq4ggtJCDTQWvj+wz&#10;CWbfht3VpP++Wyh4HGbmG2azG0wrHuR8Y1nB2zQBQVxa3XCl4Px9nKxA+ICssbVMCn7Iw247Hm0w&#10;07bnL3oUoRIRwj5DBXUIXSalL2sy6Ke2I47e1TqDIUpXSe2wj3DTylmSpNJgw3Ghxo4ONZW34m4U&#10;VHnen/h+yfX77ZC7xXL+mZ5YqdeXYb8GEWgIz/B/+0MrmKXw9yX+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puWMMAAADbAAAADwAAAAAAAAAAAAAAAACYAgAAZHJzL2Rv&#10;d25yZXYueG1sUEsFBgAAAAAEAAQA9QAAAIgDAAAAAA==&#10;" path="m53797,826v28931,813,50661,25120,49835,52032c102819,78652,80150,102134,52019,101321,24981,102134,,78804,813,49721,1638,24054,23622,,53797,826xe" fillcolor="#a5ce3a" stroked="f" strokeweight="0">
                  <v:stroke miterlimit="83231f" joinstyle="miter"/>
                  <v:path arrowok="t" textboxrect="0,0,104458,102134"/>
                </v:shape>
                <v:shape id="Shape 27" o:spid="_x0000_s1028" style="position:absolute;left:28524;top:18580;width:8471;height:8471;visibility:visible;mso-wrap-style:square;v-text-anchor:top" coordsize="8471,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J5HcIA&#10;AADbAAAADwAAAGRycy9kb3ducmV2LnhtbESPwWrDMBBE74X8g9hCb41sE+LEiRLiEkPprXE+YLE2&#10;tqm1MpKa2H9fFQo9DjPzhtkfJzOIOznfW1aQLhMQxI3VPbcKrnX1ugHhA7LGwTIpmMnD8bB42mOh&#10;7YM/6X4JrYgQ9gUq6EIYCyl905FBv7QjcfRu1hkMUbpWaoePCDeDzJJkLQ32HBc6HOmto+br8m0U&#10;rM8fZd2stmValUj1bHM3trlSL8/TaQci0BT+w3/td60gy+H3S/wB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nkdwgAAANsAAAAPAAAAAAAAAAAAAAAAAJgCAABkcnMvZG93&#10;bnJldi54bWxQSwUGAAAAAAQABAD1AAAAhwMAAAAA&#10;" path="m4229,140v2337,,4242,2057,3963,4369c8065,6693,6147,8471,3963,8331,1638,8331,,6553,,4242,,1918,1918,,4229,140xe" fillcolor="#f8faf0" stroked="f" strokeweight="0">
                  <v:stroke miterlimit="83231f" joinstyle="miter"/>
                  <v:path arrowok="t" textboxrect="0,0,8471,8471"/>
                </v:shape>
                <v:shape id="Shape 111964" o:spid="_x0000_s1029" style="position:absolute;left:29083;top:31268;width:9144;height:42342;visibility:visible;mso-wrap-style:square;v-text-anchor:top" coordsize="9144,42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HdcUA&#10;AADfAAAADwAAAGRycy9kb3ducmV2LnhtbERPXWvCMBR9F/wP4Qq+aVp13dYZRQRxsMGYG2OPl+au&#10;KTY3tYna+euNMNjj4XzPl52txYlaXzlWkI4TEMSF0xWXCj4/NqMHED4ga6wdk4Jf8rBc9HtzzLU7&#10;8zuddqEUMYR9jgpMCE0upS8MWfRj1xBH7se1FkOEbSl1i+cYbms5SZJMWqw4NhhsaG2o2O+OVsHr&#10;3VttktmWvspv+RKml+xwv0WlhoNu9QQiUBf+xX/uZx3np+ljNoPbnwh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Id1xQAAAN8AAAAPAAAAAAAAAAAAAAAAAJgCAABkcnMv&#10;ZG93bnJldi54bWxQSwUGAAAAAAQABAD1AAAAigMAAAAA&#10;" path="m,l9144,r,42342l,42342,,e" stroked="f" strokeweight="0">
                  <v:stroke miterlimit="83231f" joinstyle="miter"/>
                  <v:path arrowok="t" textboxrect="0,0,9144,42342"/>
                </v:shape>
                <v:shape id="Shape 29" o:spid="_x0000_s1030" style="position:absolute;left:44361;top:31281;width:20106;height:42189;visibility:visible;mso-wrap-style:square;v-text-anchor:top" coordsize="20106,4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w1cMYA&#10;AADbAAAADwAAAGRycy9kb3ducmV2LnhtbESPT0vDQBTE70K/w/IKXqTdGLFNYrdFRKGHgtg/0ONr&#10;9plEs2/D7tqk374rCB6HmfkNs1gNphVncr6xrOB+moAgLq1uuFKw371NMhA+IGtsLZOCC3lYLUc3&#10;Cyy07fmDzttQiQhhX6CCOoSukNKXNRn0U9sRR+/TOoMhSldJ7bCPcNPKNElm0mDDcaHGjl5qKr+3&#10;P0YB5sfHr0Mm+VU/3J3SvJ9n7xun1O14eH4CEWgI/+G/9lorSHP4/R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2w1cMYAAADbAAAADwAAAAAAAAAAAAAAAACYAgAAZHJz&#10;L2Rvd25yZXYueG1sUEsFBgAAAAAEAAQA9QAAAIsDAAAAAA==&#10;" path="m,l6845,,20106,349r,5829l6845,5461r,30988c10389,36449,15710,36601,18580,36449r1526,-641l20106,41961,6972,42189,,42189,,xe" stroked="f" strokeweight="0">
                  <v:stroke miterlimit="83231f" joinstyle="miter"/>
                  <v:path arrowok="t" textboxrect="0,0,20106,42189"/>
                </v:shape>
                <v:shape id="Shape 30" o:spid="_x0000_s1031" style="position:absolute;left:64467;top:31630;width:20051;height:41612;visibility:visible;mso-wrap-style:square;v-text-anchor:top" coordsize="20051,41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Q2r8A&#10;AADbAAAADwAAAGRycy9kb3ducmV2LnhtbERPTYvCMBC9C/6HMMLeNHUVKdVYRFjQ22o96G1oxrbY&#10;TEoT27q/fnMQPD7e9yYdTC06al1lWcF8FoEgzq2uuFBwyX6mMQjnkTXWlknBixyk2/Fog4m2PZ+o&#10;O/tChBB2CSoovW8SKV1ekkE3sw1x4O62NegDbAupW+xDuKnldxStpMGKQ0OJDe1Lyh/np1Fw0zaO&#10;88y+jsVvFdPfdZUte1TqazLs1iA8Df4jfrsPWsEirA9fwg+Q2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O9DavwAAANsAAAAPAAAAAAAAAAAAAAAAAJgCAABkcnMvZG93bnJl&#10;di54bWxQSwUGAAAAAAQABAD1AAAAhAMAAAAA&#10;" path="m,l2170,57c12813,1835,20051,10306,20051,21101,19912,31312,11873,40342,1472,41586l,41612,,35459,8772,31774v2580,-2523,4187,-6037,4460,-10279c13626,14395,10082,8109,1763,5925l,5829,,xe" stroked="f" strokeweight="0">
                  <v:stroke miterlimit="83231f" joinstyle="miter"/>
                  <v:path arrowok="t" textboxrect="0,0,20051,41612"/>
                </v:shape>
                <w10:anchorlock/>
              </v:group>
            </w:pict>
          </mc:Fallback>
        </mc:AlternateContent>
      </w:r>
      <w:r>
        <w:rPr>
          <w:sz w:val="22"/>
        </w:rPr>
        <w:t xml:space="preserve">, Adam </w:t>
      </w:r>
      <w:proofErr w:type="spellStart"/>
      <w:r>
        <w:rPr>
          <w:sz w:val="22"/>
        </w:rPr>
        <w:t>Teman</w:t>
      </w:r>
      <w:proofErr w:type="spellEnd"/>
      <w:r>
        <w:rPr>
          <w:rFonts w:ascii="Calibri" w:eastAsia="Calibri" w:hAnsi="Calibri" w:cs="Calibri"/>
          <w:noProof/>
          <w:color w:val="000000"/>
          <w:sz w:val="22"/>
        </w:rPr>
        <mc:AlternateContent>
          <mc:Choice Requires="wpg">
            <w:drawing>
              <wp:inline distT="0" distB="0" distL="0" distR="0">
                <wp:extent cx="104458" cy="102134"/>
                <wp:effectExtent l="0" t="0" r="0" b="0"/>
                <wp:docPr id="100299" name="Group 100299"/>
                <wp:cNvGraphicFramePr/>
                <a:graphic xmlns:a="http://schemas.openxmlformats.org/drawingml/2006/main">
                  <a:graphicData uri="http://schemas.microsoft.com/office/word/2010/wordprocessingGroup">
                    <wpg:wgp>
                      <wpg:cNvGrpSpPr/>
                      <wpg:grpSpPr>
                        <a:xfrm>
                          <a:off x="0" y="0"/>
                          <a:ext cx="104458" cy="102134"/>
                          <a:chOff x="0" y="0"/>
                          <a:chExt cx="104458" cy="102134"/>
                        </a:xfrm>
                      </wpg:grpSpPr>
                      <wps:wsp>
                        <wps:cNvPr id="32" name="Shape 32"/>
                        <wps:cNvSpPr/>
                        <wps:spPr>
                          <a:xfrm>
                            <a:off x="0" y="0"/>
                            <a:ext cx="104458" cy="102134"/>
                          </a:xfrm>
                          <a:custGeom>
                            <a:avLst/>
                            <a:gdLst/>
                            <a:ahLst/>
                            <a:cxnLst/>
                            <a:rect l="0" t="0" r="0" b="0"/>
                            <a:pathLst>
                              <a:path w="104458" h="102134">
                                <a:moveTo>
                                  <a:pt x="53797" y="826"/>
                                </a:moveTo>
                                <a:cubicBezTo>
                                  <a:pt x="82728" y="1639"/>
                                  <a:pt x="104458" y="25946"/>
                                  <a:pt x="103632" y="52858"/>
                                </a:cubicBezTo>
                                <a:cubicBezTo>
                                  <a:pt x="102819" y="78652"/>
                                  <a:pt x="80150" y="102134"/>
                                  <a:pt x="52019" y="101321"/>
                                </a:cubicBezTo>
                                <a:cubicBezTo>
                                  <a:pt x="24981" y="102134"/>
                                  <a:pt x="0" y="78804"/>
                                  <a:pt x="813" y="49721"/>
                                </a:cubicBezTo>
                                <a:cubicBezTo>
                                  <a:pt x="1638" y="24054"/>
                                  <a:pt x="23622" y="0"/>
                                  <a:pt x="53797" y="826"/>
                                </a:cubicBezTo>
                                <a:close/>
                              </a:path>
                            </a:pathLst>
                          </a:custGeom>
                          <a:ln w="0" cap="flat">
                            <a:miter lim="127000"/>
                          </a:ln>
                        </wps:spPr>
                        <wps:style>
                          <a:lnRef idx="0">
                            <a:srgbClr val="000000"/>
                          </a:lnRef>
                          <a:fillRef idx="1">
                            <a:srgbClr val="A5CE3A"/>
                          </a:fillRef>
                          <a:effectRef idx="0">
                            <a:scrgbClr r="0" g="0" b="0"/>
                          </a:effectRef>
                          <a:fontRef idx="none"/>
                        </wps:style>
                        <wps:bodyPr/>
                      </wps:wsp>
                      <wps:wsp>
                        <wps:cNvPr id="33" name="Shape 33"/>
                        <wps:cNvSpPr/>
                        <wps:spPr>
                          <a:xfrm>
                            <a:off x="28524" y="18580"/>
                            <a:ext cx="8471" cy="8471"/>
                          </a:xfrm>
                          <a:custGeom>
                            <a:avLst/>
                            <a:gdLst/>
                            <a:ahLst/>
                            <a:cxnLst/>
                            <a:rect l="0" t="0" r="0" b="0"/>
                            <a:pathLst>
                              <a:path w="8471" h="8471">
                                <a:moveTo>
                                  <a:pt x="4229" y="140"/>
                                </a:moveTo>
                                <a:cubicBezTo>
                                  <a:pt x="6566" y="140"/>
                                  <a:pt x="8471" y="2197"/>
                                  <a:pt x="8192" y="4509"/>
                                </a:cubicBezTo>
                                <a:cubicBezTo>
                                  <a:pt x="8065"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lnRef>
                          <a:fillRef idx="1">
                            <a:srgbClr val="F8FAF0"/>
                          </a:fillRef>
                          <a:effectRef idx="0">
                            <a:scrgbClr r="0" g="0" b="0"/>
                          </a:effectRef>
                          <a:fontRef idx="none"/>
                        </wps:style>
                        <wps:bodyPr/>
                      </wps:wsp>
                      <wps:wsp>
                        <wps:cNvPr id="111965" name="Shape 111965"/>
                        <wps:cNvSpPr/>
                        <wps:spPr>
                          <a:xfrm>
                            <a:off x="29083" y="31268"/>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5" name="Shape 35"/>
                        <wps:cNvSpPr/>
                        <wps:spPr>
                          <a:xfrm>
                            <a:off x="44361" y="31281"/>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36" name="Shape 36"/>
                        <wps:cNvSpPr/>
                        <wps:spPr>
                          <a:xfrm>
                            <a:off x="64467" y="31630"/>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8" y="25737"/>
                                  <a:pt x="13231" y="21495"/>
                                </a:cubicBezTo>
                                <a:cubicBezTo>
                                  <a:pt x="13625" y="14395"/>
                                  <a:pt x="10082" y="8109"/>
                                  <a:pt x="1763" y="5925"/>
                                </a:cubicBezTo>
                                <a:lnTo>
                                  <a:pt x="0" y="582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4849EAA9" id="Group 100299" o:spid="_x0000_s1026" style="width:8.25pt;height:8.05pt;mso-position-horizontal-relative:char;mso-position-vertical-relative:line" coordsize="104458,10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">
                <v:shape id="Shape 32" o:spid="_x0000_s1027" style="position:absolute;width:104458;height:102134;visibility:visible;mso-wrap-style:square;v-text-anchor:top" coordsize="104458,1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hsMA&#10;AADbAAAADwAAAGRycy9kb3ducmV2LnhtbESPT4vCMBTE7wt+h/AEb2u66rrSNYoIgkIP/oO9Pppn&#10;W2xeShJt/fZGEPY4zMxvmPmyM7W4k/OVZQVfwwQEcW51xYWC82nzOQPhA7LG2jIpeJCH5aL3McdU&#10;25YPdD+GQkQI+xQVlCE0qZQ+L8mgH9qGOHoX6wyGKF0htcM2wk0tR0kylQYrjgslNrQuKb8eb0ZB&#10;kWXtnm9/mZ5c15n7/hnvpntWatDvVr8gAnXhP/xub7WC8QheX+IP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j+hsMAAADbAAAADwAAAAAAAAAAAAAAAACYAgAAZHJzL2Rv&#10;d25yZXYueG1sUEsFBgAAAAAEAAQA9QAAAIgDAAAAAA==&#10;" path="m53797,826v28931,813,50661,25120,49835,52032c102819,78652,80150,102134,52019,101321,24981,102134,,78804,813,49721,1638,24054,23622,,53797,826xe" fillcolor="#a5ce3a" stroked="f" strokeweight="0">
                  <v:stroke miterlimit="83231f" joinstyle="miter"/>
                  <v:path arrowok="t" textboxrect="0,0,104458,102134"/>
                </v:shape>
                <v:shape id="Shape 33" o:spid="_x0000_s1028" style="position:absolute;left:28524;top:18580;width:8471;height:8471;visibility:visible;mso-wrap-style:square;v-text-anchor:top" coordsize="8471,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pw8MA&#10;AADbAAAADwAAAGRycy9kb3ducmV2LnhtbESPzWrDMBCE74W8g9hAb7WcuuTHiRLikkDprXYfYLE2&#10;tom1MpKa2G8fFQo9DjPzDbM7jKYXN3K+s6xgkaQgiGurO24UfFfnlzUIH5A19pZJwUQeDvvZ0w5z&#10;be/8RbcyNCJC2OeooA1hyKX0dUsGfWIH4uhdrDMYonSN1A7vEW56+ZqmS2mw47jQ4kDvLdXX8sco&#10;WJ4+i6p+2xSLc4FUTXblhmal1PN8PG5BBBrDf/iv/aEVZBn8fok/QO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Dpw8MAAADbAAAADwAAAAAAAAAAAAAAAACYAgAAZHJzL2Rv&#10;d25yZXYueG1sUEsFBgAAAAAEAAQA9QAAAIgDAAAAAA==&#10;" path="m4229,140v2337,,4242,2057,3963,4369c8065,6693,6147,8471,3963,8331,1638,8331,,6553,,4242,,1918,1918,,4229,140xe" fillcolor="#f8faf0" stroked="f" strokeweight="0">
                  <v:stroke miterlimit="83231f" joinstyle="miter"/>
                  <v:path arrowok="t" textboxrect="0,0,8471,8471"/>
                </v:shape>
                <v:shape id="Shape 111965" o:spid="_x0000_s1029" style="position:absolute;left:29083;top:31268;width:9144;height:42342;visibility:visible;mso-wrap-style:square;v-text-anchor:top" coordsize="9144,42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Ai7sUA&#10;AADfAAAADwAAAGRycy9kb3ducmV2LnhtbERPXUvDMBR9F/Yfwh345tI6V2ddNmQgExwMqwwfL821&#10;KTY3tYlt9dcbYbDHw/lebUbbiJ46XztWkM4SEMSl0zVXCt5eH6+WIHxA1tg4JgU/5GGznlysMNdu&#10;4Bfqi1CJGMI+RwUmhDaX0peGLPqZa4kj9+E6iyHCrpK6wyGG20ZeJ0kmLdYcGwy2tDVUfhbfVsF+&#10;cWhMcrOjY/Uun8P8N/u63aFSl9Px4R5EoDGcxSf3k47z0/QuW8D/nwh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LuxQAAAN8AAAAPAAAAAAAAAAAAAAAAAJgCAABkcnMv&#10;ZG93bnJldi54bWxQSwUGAAAAAAQABAD1AAAAigMAAAAA&#10;" path="m,l9144,r,42342l,42342,,e" stroked="f" strokeweight="0">
                  <v:stroke miterlimit="83231f" joinstyle="miter"/>
                  <v:path arrowok="t" textboxrect="0,0,9144,42342"/>
                </v:shape>
                <v:shape id="Shape 35" o:spid="_x0000_s1030" style="position:absolute;left:44361;top:31281;width:20106;height:42189;visibility:visible;mso-wrap-style:square;v-text-anchor:top" coordsize="20106,4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qMUA&#10;AADbAAAADwAAAGRycy9kb3ducmV2LnhtbESPQWvCQBSE70L/w/IKXopuVKwxdRURCz0USq1Cj6/Z&#10;1ySafRt2VxP/vVsoeBxm5htmsepMLS7kfGVZwWiYgCDOra64ULD/eh2kIHxA1lhbJgVX8rBaPvQW&#10;mGnb8idddqEQEcI+QwVlCE0mpc9LMuiHtiGO3q91BkOUrpDaYRvhppbjJHmWBiuOCyU2tCkpP+3O&#10;RgHOv6fHQyp5qydPP+N5O0s/3p1S/cdu/QIiUBfu4f/2m1YwmcLfl/g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moxQAAANsAAAAPAAAAAAAAAAAAAAAAAJgCAABkcnMv&#10;ZG93bnJldi54bWxQSwUGAAAAAAQABAD1AAAAigMAAAAA&#10;" path="m,l6845,,20106,349r,5829l6845,5461r,30988c10389,36449,15710,36601,18580,36449r1526,-641l20106,41961,6972,42189,,42189,,xe" stroked="f" strokeweight="0">
                  <v:stroke miterlimit="83231f" joinstyle="miter"/>
                  <v:path arrowok="t" textboxrect="0,0,20106,42189"/>
                </v:shape>
                <v:shape id="Shape 36" o:spid="_x0000_s1031" style="position:absolute;left:64467;top:31630;width:20051;height:41612;visibility:visible;mso-wrap-style:square;v-text-anchor:top" coordsize="20051,41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7tNcMA&#10;AADbAAAADwAAAGRycy9kb3ducmV2LnhtbESPQWvCQBSE74L/YXmCN91US1hSVymC0N5q0kN7e2Sf&#10;STD7NmRXk/TXu4VCj8PMfMPsDqNtxZ163zjW8LROQBCXzjRcafgsTisFwgdkg61j0jCRh8N+Ptth&#10;ZtzAZ7rnoRIRwj5DDXUIXSalL2uy6NeuI47exfUWQ5R9JU2PQ4TbVm6SJJUWG44LNXZ0rKm85jer&#10;4ds4pcrCTe/VR6Po5ystngfUerkYX19ABBrDf/iv/WY0bFP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7tNcMAAADbAAAADwAAAAAAAAAAAAAAAACYAgAAZHJzL2Rv&#10;d25yZXYueG1sUEsFBgAAAAAEAAQA9QAAAIgDAAAAAA==&#10;" path="m,l2170,57c12812,1835,20051,10306,20051,21101,19912,31312,11873,40342,1471,41586l,41612,,35459,8772,31774v2580,-2523,4186,-6037,4459,-10279c13625,14395,10082,8109,1763,5925l,5829,,xe" stroked="f" strokeweight="0">
                  <v:stroke miterlimit="83231f" joinstyle="miter"/>
                  <v:path arrowok="t" textboxrect="0,0,20051,41612"/>
                </v:shape>
                <w10:anchorlock/>
              </v:group>
            </w:pict>
          </mc:Fallback>
        </mc:AlternateContent>
      </w:r>
      <w:r>
        <w:rPr>
          <w:sz w:val="22"/>
        </w:rPr>
        <w:t>,</w:t>
      </w:r>
    </w:p>
    <w:p w:rsidR="002C68B0" w:rsidRDefault="00C1553A">
      <w:pPr>
        <w:spacing w:after="0" w:line="240" w:lineRule="auto"/>
        <w:ind w:left="0" w:right="0" w:firstLine="0"/>
        <w:jc w:val="center"/>
      </w:pPr>
      <w:proofErr w:type="gramStart"/>
      <w:r>
        <w:rPr>
          <w:sz w:val="22"/>
        </w:rPr>
        <w:t>and</w:t>
      </w:r>
      <w:proofErr w:type="gramEnd"/>
      <w:r>
        <w:rPr>
          <w:sz w:val="22"/>
        </w:rPr>
        <w:t xml:space="preserve"> Andreas Burg</w:t>
      </w:r>
      <w:r>
        <w:rPr>
          <w:rFonts w:ascii="Calibri" w:eastAsia="Calibri" w:hAnsi="Calibri" w:cs="Calibri"/>
          <w:noProof/>
          <w:color w:val="000000"/>
          <w:sz w:val="22"/>
        </w:rPr>
        <mc:AlternateContent>
          <mc:Choice Requires="wpg">
            <w:drawing>
              <wp:inline distT="0" distB="0" distL="0" distR="0">
                <wp:extent cx="104458" cy="102134"/>
                <wp:effectExtent l="0" t="0" r="0" b="0"/>
                <wp:docPr id="100300" name="Group 100300"/>
                <wp:cNvGraphicFramePr/>
                <a:graphic xmlns:a="http://schemas.openxmlformats.org/drawingml/2006/main">
                  <a:graphicData uri="http://schemas.microsoft.com/office/word/2010/wordprocessingGroup">
                    <wpg:wgp>
                      <wpg:cNvGrpSpPr/>
                      <wpg:grpSpPr>
                        <a:xfrm>
                          <a:off x="0" y="0"/>
                          <a:ext cx="104458" cy="102134"/>
                          <a:chOff x="0" y="0"/>
                          <a:chExt cx="104458" cy="102134"/>
                        </a:xfrm>
                      </wpg:grpSpPr>
                      <wps:wsp>
                        <wps:cNvPr id="39" name="Shape 39"/>
                        <wps:cNvSpPr/>
                        <wps:spPr>
                          <a:xfrm>
                            <a:off x="0" y="0"/>
                            <a:ext cx="104458" cy="102134"/>
                          </a:xfrm>
                          <a:custGeom>
                            <a:avLst/>
                            <a:gdLst/>
                            <a:ahLst/>
                            <a:cxnLst/>
                            <a:rect l="0" t="0" r="0" b="0"/>
                            <a:pathLst>
                              <a:path w="104458" h="102134">
                                <a:moveTo>
                                  <a:pt x="53797" y="826"/>
                                </a:moveTo>
                                <a:cubicBezTo>
                                  <a:pt x="82728" y="1639"/>
                                  <a:pt x="104458" y="25946"/>
                                  <a:pt x="103632" y="52858"/>
                                </a:cubicBezTo>
                                <a:cubicBezTo>
                                  <a:pt x="102819" y="78652"/>
                                  <a:pt x="80150" y="102134"/>
                                  <a:pt x="52019" y="101321"/>
                                </a:cubicBezTo>
                                <a:cubicBezTo>
                                  <a:pt x="24981" y="102134"/>
                                  <a:pt x="0" y="78804"/>
                                  <a:pt x="813" y="49721"/>
                                </a:cubicBezTo>
                                <a:cubicBezTo>
                                  <a:pt x="1638" y="24054"/>
                                  <a:pt x="23622" y="0"/>
                                  <a:pt x="53797" y="826"/>
                                </a:cubicBezTo>
                                <a:close/>
                              </a:path>
                            </a:pathLst>
                          </a:custGeom>
                          <a:ln w="0" cap="flat">
                            <a:miter lim="127000"/>
                          </a:ln>
                        </wps:spPr>
                        <wps:style>
                          <a:lnRef idx="0">
                            <a:srgbClr val="000000"/>
                          </a:lnRef>
                          <a:fillRef idx="1">
                            <a:srgbClr val="A5CE3A"/>
                          </a:fillRef>
                          <a:effectRef idx="0">
                            <a:scrgbClr r="0" g="0" b="0"/>
                          </a:effectRef>
                          <a:fontRef idx="none"/>
                        </wps:style>
                        <wps:bodyPr/>
                      </wps:wsp>
                      <wps:wsp>
                        <wps:cNvPr id="40" name="Shape 40"/>
                        <wps:cNvSpPr/>
                        <wps:spPr>
                          <a:xfrm>
                            <a:off x="28524" y="18580"/>
                            <a:ext cx="8471" cy="8471"/>
                          </a:xfrm>
                          <a:custGeom>
                            <a:avLst/>
                            <a:gdLst/>
                            <a:ahLst/>
                            <a:cxnLst/>
                            <a:rect l="0" t="0" r="0" b="0"/>
                            <a:pathLst>
                              <a:path w="8471" h="8471">
                                <a:moveTo>
                                  <a:pt x="4229" y="140"/>
                                </a:moveTo>
                                <a:cubicBezTo>
                                  <a:pt x="6566" y="140"/>
                                  <a:pt x="8471" y="2197"/>
                                  <a:pt x="8192" y="4509"/>
                                </a:cubicBezTo>
                                <a:cubicBezTo>
                                  <a:pt x="8065"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lnRef>
                          <a:fillRef idx="1">
                            <a:srgbClr val="F8FAF0"/>
                          </a:fillRef>
                          <a:effectRef idx="0">
                            <a:scrgbClr r="0" g="0" b="0"/>
                          </a:effectRef>
                          <a:fontRef idx="none"/>
                        </wps:style>
                        <wps:bodyPr/>
                      </wps:wsp>
                      <wps:wsp>
                        <wps:cNvPr id="111966" name="Shape 111966"/>
                        <wps:cNvSpPr/>
                        <wps:spPr>
                          <a:xfrm>
                            <a:off x="29083" y="31268"/>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2" name="Shape 42"/>
                        <wps:cNvSpPr/>
                        <wps:spPr>
                          <a:xfrm>
                            <a:off x="44361" y="31280"/>
                            <a:ext cx="20106" cy="42189"/>
                          </a:xfrm>
                          <a:custGeom>
                            <a:avLst/>
                            <a:gdLst/>
                            <a:ahLst/>
                            <a:cxnLst/>
                            <a:rect l="0" t="0" r="0" b="0"/>
                            <a:pathLst>
                              <a:path w="20106" h="42189">
                                <a:moveTo>
                                  <a:pt x="0" y="0"/>
                                </a:moveTo>
                                <a:lnTo>
                                  <a:pt x="6845" y="0"/>
                                </a:lnTo>
                                <a:lnTo>
                                  <a:pt x="20106" y="349"/>
                                </a:lnTo>
                                <a:lnTo>
                                  <a:pt x="20106" y="6178"/>
                                </a:lnTo>
                                <a:lnTo>
                                  <a:pt x="6845" y="5461"/>
                                </a:lnTo>
                                <a:lnTo>
                                  <a:pt x="6845" y="36449"/>
                                </a:lnTo>
                                <a:cubicBezTo>
                                  <a:pt x="10389" y="36449"/>
                                  <a:pt x="15710" y="36601"/>
                                  <a:pt x="18580" y="36449"/>
                                </a:cubicBezTo>
                                <a:lnTo>
                                  <a:pt x="20106" y="35808"/>
                                </a:lnTo>
                                <a:lnTo>
                                  <a:pt x="20106" y="41961"/>
                                </a:lnTo>
                                <a:lnTo>
                                  <a:pt x="6972" y="42189"/>
                                </a:lnTo>
                                <a:lnTo>
                                  <a:pt x="0" y="4218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s:wsp>
                        <wps:cNvPr id="43" name="Shape 43"/>
                        <wps:cNvSpPr/>
                        <wps:spPr>
                          <a:xfrm>
                            <a:off x="64467" y="31629"/>
                            <a:ext cx="20051" cy="41612"/>
                          </a:xfrm>
                          <a:custGeom>
                            <a:avLst/>
                            <a:gdLst/>
                            <a:ahLst/>
                            <a:cxnLst/>
                            <a:rect l="0" t="0" r="0" b="0"/>
                            <a:pathLst>
                              <a:path w="20051" h="41612">
                                <a:moveTo>
                                  <a:pt x="0" y="0"/>
                                </a:moveTo>
                                <a:lnTo>
                                  <a:pt x="2170" y="57"/>
                                </a:lnTo>
                                <a:cubicBezTo>
                                  <a:pt x="12812" y="1835"/>
                                  <a:pt x="20051" y="10306"/>
                                  <a:pt x="20051" y="21101"/>
                                </a:cubicBezTo>
                                <a:cubicBezTo>
                                  <a:pt x="19912" y="31312"/>
                                  <a:pt x="11873" y="40342"/>
                                  <a:pt x="1471" y="41586"/>
                                </a:cubicBezTo>
                                <a:lnTo>
                                  <a:pt x="0" y="41612"/>
                                </a:lnTo>
                                <a:lnTo>
                                  <a:pt x="0" y="35459"/>
                                </a:lnTo>
                                <a:lnTo>
                                  <a:pt x="8772" y="31774"/>
                                </a:lnTo>
                                <a:cubicBezTo>
                                  <a:pt x="11352" y="29251"/>
                                  <a:pt x="12958" y="25737"/>
                                  <a:pt x="13231" y="21495"/>
                                </a:cubicBezTo>
                                <a:cubicBezTo>
                                  <a:pt x="13625" y="14395"/>
                                  <a:pt x="10082" y="8109"/>
                                  <a:pt x="1763" y="5925"/>
                                </a:cubicBezTo>
                                <a:lnTo>
                                  <a:pt x="0" y="5829"/>
                                </a:lnTo>
                                <a:lnTo>
                                  <a:pt x="0" y="0"/>
                                </a:lnTo>
                                <a:close/>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7C9561F4" id="Group 100300" o:spid="_x0000_s1026" style="width:8.25pt;height:8.05pt;mso-position-horizontal-relative:char;mso-position-vertical-relative:line" coordsize="104458,102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">
                <v:shape id="Shape 39" o:spid="_x0000_s1027" style="position:absolute;width:104458;height:102134;visibility:visible;mso-wrap-style:square;v-text-anchor:top" coordsize="104458,102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s98QA&#10;AADbAAAADwAAAGRycy9kb3ducmV2LnhtbESPW4vCMBSE3wX/QzjCvmm6uuulaxQRFlbogzfw9dAc&#10;22JzUpJou/9+Iyz4OMzMN8xy3ZlaPMj5yrKC91ECgji3uuJCwfn0PZyD8AFZY22ZFPySh/Wq31ti&#10;qm3LB3ocQyEihH2KCsoQmlRKn5dk0I9sQxy9q3UGQ5SukNphG+GmluMkmUqDFceFEhvalpTfjnej&#10;oMiyds/3S6Y/btvMfc4mu+melXobdJsvEIG68Ar/t3+0gskC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cbPfEAAAA2wAAAA8AAAAAAAAAAAAAAAAAmAIAAGRycy9k&#10;b3ducmV2LnhtbFBLBQYAAAAABAAEAPUAAACJAwAAAAA=&#10;" path="m53797,826v28931,813,50661,25120,49835,52032c102819,78652,80150,102134,52019,101321,24981,102134,,78804,813,49721,1638,24054,23622,,53797,826xe" fillcolor="#a5ce3a" stroked="f" strokeweight="0">
                  <v:stroke miterlimit="83231f" joinstyle="miter"/>
                  <v:path arrowok="t" textboxrect="0,0,104458,102134"/>
                </v:shape>
                <v:shape id="Shape 40" o:spid="_x0000_s1028" style="position:absolute;left:28524;top:18580;width:8471;height:8471;visibility:visible;mso-wrap-style:square;v-text-anchor:top" coordsize="8471,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Eyb8A&#10;AADbAAAADwAAAGRycy9kb3ducmV2LnhtbERPy4rCMBTdC/MP4Q7MTlNFfFTTYocRZHbT+gGX5toW&#10;m5uSZLT+vVkILg/nvc9H04sbOd9ZVjCfJSCIa6s7bhScq+N0A8IHZI29ZVLwIA959jHZY6rtnf/o&#10;VoZGxBD2KSpoQxhSKX3dkkE/swNx5C7WGQwRukZqh/cYbnq5SJKVNNhxbGhxoO+W6mv5bxSsfn6L&#10;ql5ui/mxQKoedu2GZq3U1+d42IEINIa3+OU+aQXLuD5+iT9AZk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RATJvwAAANsAAAAPAAAAAAAAAAAAAAAAAJgCAABkcnMvZG93bnJl&#10;di54bWxQSwUGAAAAAAQABAD1AAAAhAMAAAAA&#10;" path="m4229,140v2337,,4242,2057,3963,4369c8065,6693,6147,8471,3963,8331,1638,8331,,6553,,4242,,1918,1918,,4229,140xe" fillcolor="#f8faf0" stroked="f" strokeweight="0">
                  <v:stroke miterlimit="83231f" joinstyle="miter"/>
                  <v:path arrowok="t" textboxrect="0,0,8471,8471"/>
                </v:shape>
                <v:shape id="Shape 111966" o:spid="_x0000_s1029" style="position:absolute;left:29083;top:31268;width:9144;height:42342;visibility:visible;mso-wrap-style:square;v-text-anchor:top" coordsize="9144,42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K8mcUA&#10;AADfAAAADwAAAGRycy9kb3ducmV2LnhtbERPXWvCMBR9H+w/hCvsbaZ12s1qFBkMBwrDboiPl+ba&#10;lDU3XZNpt19vBgMfD+d7vuxtI07U+dqxgnSYgCAuna65UvDx/nL/BMIHZI2NY1LwQx6Wi9ubOeba&#10;nXlHpyJUIoawz1GBCaHNpfSlIYt+6FriyB1dZzFE2FVSd3iO4baRoyTJpMWaY4PBlp4NlZ/Ft1Ww&#10;nbw1JhmvaV8d5CY8/GZfj2tU6m7Qr2YgAvXhKv53v+o4P02nWQZ/fyIA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0ryZxQAAAN8AAAAPAAAAAAAAAAAAAAAAAJgCAABkcnMv&#10;ZG93bnJldi54bWxQSwUGAAAAAAQABAD1AAAAigMAAAAA&#10;" path="m,l9144,r,42342l,42342,,e" stroked="f" strokeweight="0">
                  <v:stroke miterlimit="83231f" joinstyle="miter"/>
                  <v:path arrowok="t" textboxrect="0,0,9144,42342"/>
                </v:shape>
                <v:shape id="Shape 42" o:spid="_x0000_s1030" style="position:absolute;left:44361;top:31280;width:20106;height:42189;visibility:visible;mso-wrap-style:square;v-text-anchor:top" coordsize="20106,4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CocYA&#10;AADbAAAADwAAAGRycy9kb3ducmV2LnhtbESPQWvCQBSE7wX/w/KEXopumtY2RlcpUsGDINUWenzN&#10;viax2bdhdzXx37uFQo/DzHzDzJe9acSZnK8tK7gfJyCIC6trLhW8H9ajDIQPyBoby6TgQh6Wi8HN&#10;HHNtO36j8z6UIkLY56igCqHNpfRFRQb92LbE0fu2zmCI0pVSO+wi3DQyTZInabDmuFBhS6uKip/9&#10;ySjA6efk+JFJftUPd1/ptHvOdlun1O2wf5mBCNSH//Bfe6MVPKbw+yX+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dCocYAAADbAAAADwAAAAAAAAAAAAAAAACYAgAAZHJz&#10;L2Rvd25yZXYueG1sUEsFBgAAAAAEAAQA9QAAAIsDAAAAAA==&#10;" path="m,l6845,,20106,349r,5829l6845,5461r,30988c10389,36449,15710,36601,18580,36449r1526,-641l20106,41961,6972,42189,,42189,,xe" stroked="f" strokeweight="0">
                  <v:stroke miterlimit="83231f" joinstyle="miter"/>
                  <v:path arrowok="t" textboxrect="0,0,20106,42189"/>
                </v:shape>
                <v:shape id="Shape 43" o:spid="_x0000_s1031" style="position:absolute;left:64467;top:31629;width:20051;height:41612;visibility:visible;mso-wrap-style:square;v-text-anchor:top" coordsize="20051,41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890MIA&#10;AADbAAAADwAAAGRycy9kb3ducmV2LnhtbESPQYvCMBSE74L/IbyFvWm6rkjpmhYRBPem1oPeHs3b&#10;tti8lCbaur/eCILHYWa+YZbZYBpxo87VlhV8TSMQxIXVNZcKjvlmEoNwHlljY5kU3MlBlo5HS0y0&#10;7XlPt4MvRYCwS1BB5X2bSOmKigy6qW2Jg/dnO4M+yK6UusM+wE0jZ1G0kAZrDgsVtrSuqLgcrkbB&#10;Wds4LnJ7/y13dUz/p0U+71Gpz49h9QPC0+Df4Vd7qxX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z3QwgAAANsAAAAPAAAAAAAAAAAAAAAAAJgCAABkcnMvZG93&#10;bnJldi54bWxQSwUGAAAAAAQABAD1AAAAhwMAAAAA&#10;" path="m,l2170,57c12812,1835,20051,10306,20051,21101,19912,31312,11873,40342,1471,41586l,41612,,35459,8772,31774v2580,-2523,4186,-6037,4459,-10279c13625,14395,10082,8109,1763,5925l,5829,,xe" stroked="f" strokeweight="0">
                  <v:stroke miterlimit="83231f" joinstyle="miter"/>
                  <v:path arrowok="t" textboxrect="0,0,20051,41612"/>
                </v:shape>
                <w10:anchorlock/>
              </v:group>
            </w:pict>
          </mc:Fallback>
        </mc:AlternateContent>
      </w:r>
      <w:r>
        <w:rPr>
          <w:sz w:val="22"/>
        </w:rPr>
        <w:t xml:space="preserve">, </w:t>
      </w:r>
      <w:r>
        <w:rPr>
          <w:i/>
          <w:sz w:val="22"/>
        </w:rPr>
        <w:t>Member, IEEE</w:t>
      </w:r>
    </w:p>
    <w:p w:rsidR="002C68B0" w:rsidRDefault="002C68B0">
      <w:pPr>
        <w:sectPr w:rsidR="002C68B0">
          <w:headerReference w:type="even" r:id="rId7"/>
          <w:headerReference w:type="default" r:id="rId8"/>
          <w:footerReference w:type="even" r:id="rId9"/>
          <w:footerReference w:type="default" r:id="rId10"/>
          <w:headerReference w:type="first" r:id="rId11"/>
          <w:footerReference w:type="first" r:id="rId12"/>
          <w:pgSz w:w="12240" w:h="15840"/>
          <w:pgMar w:top="626" w:right="2021" w:bottom="766" w:left="979" w:header="176" w:footer="111" w:gutter="0"/>
          <w:cols w:space="720"/>
          <w:titlePg/>
        </w:sectPr>
      </w:pPr>
    </w:p>
    <w:p w:rsidR="002C68B0" w:rsidRDefault="00C1553A">
      <w:pPr>
        <w:spacing w:after="136" w:line="226" w:lineRule="auto"/>
        <w:ind w:right="-15"/>
      </w:pPr>
      <w:r>
        <w:rPr>
          <w:b/>
          <w:i/>
          <w:sz w:val="18"/>
        </w:rPr>
        <w:lastRenderedPageBreak/>
        <w:t>Abstract</w:t>
      </w:r>
      <w:r>
        <w:rPr>
          <w:b/>
          <w:sz w:val="18"/>
        </w:rPr>
        <w:t>—</w:t>
      </w:r>
      <w:proofErr w:type="gramStart"/>
      <w:r>
        <w:rPr>
          <w:b/>
          <w:sz w:val="18"/>
        </w:rPr>
        <w:t>The</w:t>
      </w:r>
      <w:proofErr w:type="gramEnd"/>
      <w:r>
        <w:rPr>
          <w:b/>
          <w:sz w:val="18"/>
        </w:rPr>
        <w:t xml:space="preserve"> rise of data-intensive applications has resulted in an increasing demand for high-density and low-power on-chip embedded memories. Gain-cell embedded DRAM (GC-</w:t>
      </w:r>
      <w:proofErr w:type="spellStart"/>
      <w:r>
        <w:rPr>
          <w:b/>
          <w:sz w:val="18"/>
        </w:rPr>
        <w:t>eDRAM</w:t>
      </w:r>
      <w:proofErr w:type="spellEnd"/>
      <w:r>
        <w:rPr>
          <w:b/>
          <w:sz w:val="18"/>
        </w:rPr>
        <w:t xml:space="preserve">) is a logic-compatible alternative to conventional static random access memory (SRAM) </w:t>
      </w:r>
      <w:r>
        <w:rPr>
          <w:b/>
          <w:sz w:val="18"/>
        </w:rPr>
        <w:t>which offers higher density, lower leakage power, and two-ported operation. However, in order to maintain the stored data, GC-</w:t>
      </w:r>
      <w:proofErr w:type="spellStart"/>
      <w:r>
        <w:rPr>
          <w:b/>
          <w:sz w:val="18"/>
        </w:rPr>
        <w:t>eDRAM</w:t>
      </w:r>
      <w:proofErr w:type="spellEnd"/>
      <w:r>
        <w:rPr>
          <w:b/>
          <w:sz w:val="18"/>
        </w:rPr>
        <w:t xml:space="preserve"> requires periodic refresh cycles, which are determined according to the worst-case data retention time (DRT) across process,</w:t>
      </w:r>
      <w:r>
        <w:rPr>
          <w:b/>
          <w:sz w:val="18"/>
        </w:rPr>
        <w:t xml:space="preserve"> voltage and temperature (PVT) variations. Even though several DRT characterization methodologies have been reported in literature, they often require unfeasible run-times for accurate DRT evaluation, or they result in highly pessimistic design margins due</w:t>
      </w:r>
      <w:r>
        <w:rPr>
          <w:b/>
          <w:sz w:val="18"/>
        </w:rPr>
        <w:t xml:space="preserve"> to their inaccuracy. In this work, we propose </w:t>
      </w:r>
      <w:proofErr w:type="gramStart"/>
      <w:r>
        <w:rPr>
          <w:b/>
          <w:sz w:val="18"/>
        </w:rPr>
        <w:t>an</w:t>
      </w:r>
      <w:proofErr w:type="gramEnd"/>
      <w:r>
        <w:rPr>
          <w:b/>
          <w:sz w:val="18"/>
        </w:rPr>
        <w:t xml:space="preserve"> current-based DRT (IDRT) characterization methodology that enables accurate DRT evaluation across process variations without the need for a large number of costly electronic design automation (EDA) software</w:t>
      </w:r>
      <w:r>
        <w:rPr>
          <w:b/>
          <w:sz w:val="18"/>
        </w:rPr>
        <w:t xml:space="preserve"> licenses. The presented approach is compared with other DRT characterization methodologies for both accuracy and run-time across several gain-cell structures at different process technologies, providing less than a 4% DRT error and over 100</w:t>
      </w:r>
      <w:r>
        <w:rPr>
          <w:rFonts w:ascii="Calibri" w:eastAsia="Calibri" w:hAnsi="Calibri" w:cs="Calibri"/>
          <w:sz w:val="18"/>
        </w:rPr>
        <w:t xml:space="preserve">× </w:t>
      </w:r>
      <w:r>
        <w:rPr>
          <w:b/>
          <w:sz w:val="18"/>
        </w:rPr>
        <w:t>shorter run-t</w:t>
      </w:r>
      <w:r>
        <w:rPr>
          <w:b/>
          <w:sz w:val="18"/>
        </w:rPr>
        <w:t>ime compared to a conventional DRT evaluation methodology.</w:t>
      </w:r>
    </w:p>
    <w:p w:rsidR="002C68B0" w:rsidRDefault="00C1553A">
      <w:pPr>
        <w:spacing w:after="439" w:line="226" w:lineRule="auto"/>
        <w:ind w:right="-15"/>
      </w:pPr>
      <w:r>
        <w:rPr>
          <w:b/>
          <w:i/>
          <w:sz w:val="18"/>
        </w:rPr>
        <w:t>Index Terms</w:t>
      </w:r>
      <w:r>
        <w:rPr>
          <w:b/>
          <w:sz w:val="18"/>
        </w:rPr>
        <w:t>—</w:t>
      </w:r>
      <w:proofErr w:type="gramStart"/>
      <w:r>
        <w:rPr>
          <w:b/>
          <w:sz w:val="18"/>
        </w:rPr>
        <w:t>Embedded</w:t>
      </w:r>
      <w:proofErr w:type="gramEnd"/>
      <w:r>
        <w:rPr>
          <w:b/>
          <w:sz w:val="18"/>
        </w:rPr>
        <w:t xml:space="preserve"> dynamic random access memory (</w:t>
      </w:r>
      <w:proofErr w:type="spellStart"/>
      <w:r>
        <w:rPr>
          <w:b/>
          <w:sz w:val="18"/>
        </w:rPr>
        <w:t>eDRAM</w:t>
      </w:r>
      <w:proofErr w:type="spellEnd"/>
      <w:r>
        <w:rPr>
          <w:b/>
          <w:sz w:val="18"/>
        </w:rPr>
        <w:t>), gain-cells (GCs), retention time, embedded memory.</w:t>
      </w:r>
    </w:p>
    <w:p w:rsidR="002C68B0" w:rsidRDefault="00C1553A">
      <w:pPr>
        <w:pStyle w:val="Heading1"/>
      </w:pPr>
      <w:r>
        <w:rPr>
          <w:sz w:val="20"/>
        </w:rPr>
        <w:t>I. I</w:t>
      </w:r>
      <w:r>
        <w:t>NTRODUCTION</w:t>
      </w:r>
    </w:p>
    <w:p w:rsidR="002C68B0" w:rsidRDefault="00C1553A">
      <w:pPr>
        <w:framePr w:dropCap="drop" w:lines="2" w:wrap="around" w:vAnchor="text" w:hAnchor="text"/>
        <w:spacing w:after="0" w:line="465" w:lineRule="exact"/>
        <w:ind w:right="0" w:firstLine="0"/>
      </w:pPr>
      <w:r>
        <w:rPr>
          <w:b/>
          <w:position w:val="2"/>
          <w:sz w:val="58"/>
        </w:rPr>
        <w:t>W</w:t>
      </w:r>
    </w:p>
    <w:p w:rsidR="002C68B0" w:rsidRDefault="00C1553A">
      <w:pPr>
        <w:spacing w:after="246"/>
        <w:ind w:firstLine="0"/>
      </w:pPr>
      <w:r>
        <w:t>ITH an increasing interest in data-intensive applications, such as neural networks, the silicon area and power consumption of modern system-on-chips (</w:t>
      </w:r>
      <w:proofErr w:type="spellStart"/>
      <w:r>
        <w:t>SoCs</w:t>
      </w:r>
      <w:proofErr w:type="spellEnd"/>
      <w:r>
        <w:t>) is often dominated by embedded memories [1]–[5]. Traditionally, on-chip embedded memories are implem</w:t>
      </w:r>
      <w:r>
        <w:t>ented using the</w:t>
      </w:r>
    </w:p>
    <w:p w:rsidR="002C68B0" w:rsidRDefault="00C1553A">
      <w:pPr>
        <w:spacing w:after="32" w:line="240" w:lineRule="auto"/>
        <w:ind w:right="-3" w:firstLine="134"/>
      </w:pPr>
      <w:r>
        <w:rPr>
          <w:sz w:val="16"/>
        </w:rPr>
        <w:t xml:space="preserve">Manuscript received May 17, 2019; revised September 3, 2019 and December 16, 2019; accepted January 26, 2020. This article was recommended by Associate Editor R. </w:t>
      </w:r>
      <w:proofErr w:type="spellStart"/>
      <w:r>
        <w:rPr>
          <w:sz w:val="16"/>
        </w:rPr>
        <w:t>Azarderakhsh</w:t>
      </w:r>
      <w:proofErr w:type="spellEnd"/>
      <w:r>
        <w:rPr>
          <w:sz w:val="16"/>
        </w:rPr>
        <w:t xml:space="preserve">. </w:t>
      </w:r>
      <w:r>
        <w:rPr>
          <w:i/>
          <w:sz w:val="16"/>
        </w:rPr>
        <w:t xml:space="preserve">(Corresponding author: Robert </w:t>
      </w:r>
      <w:proofErr w:type="spellStart"/>
      <w:r>
        <w:rPr>
          <w:i/>
          <w:sz w:val="16"/>
        </w:rPr>
        <w:t>Giterman</w:t>
      </w:r>
      <w:proofErr w:type="spellEnd"/>
      <w:r>
        <w:rPr>
          <w:i/>
          <w:sz w:val="16"/>
        </w:rPr>
        <w:t>.)</w:t>
      </w:r>
    </w:p>
    <w:p w:rsidR="002C68B0" w:rsidRDefault="00C1553A">
      <w:pPr>
        <w:spacing w:after="32" w:line="240" w:lineRule="auto"/>
        <w:ind w:right="-3" w:firstLine="134"/>
      </w:pPr>
      <w:r>
        <w:rPr>
          <w:sz w:val="16"/>
        </w:rPr>
        <w:t xml:space="preserve">Robert </w:t>
      </w:r>
      <w:proofErr w:type="spellStart"/>
      <w:r>
        <w:rPr>
          <w:sz w:val="16"/>
        </w:rPr>
        <w:t>Giterman</w:t>
      </w:r>
      <w:proofErr w:type="spellEnd"/>
      <w:r>
        <w:rPr>
          <w:sz w:val="16"/>
        </w:rPr>
        <w:t>, Andrea</w:t>
      </w:r>
      <w:r>
        <w:rPr>
          <w:sz w:val="16"/>
        </w:rPr>
        <w:t xml:space="preserve"> </w:t>
      </w:r>
      <w:proofErr w:type="spellStart"/>
      <w:r>
        <w:rPr>
          <w:sz w:val="16"/>
        </w:rPr>
        <w:t>Bonetti</w:t>
      </w:r>
      <w:proofErr w:type="spellEnd"/>
      <w:r>
        <w:rPr>
          <w:sz w:val="16"/>
        </w:rPr>
        <w:t>, and Andreas Burg are with the Telecommunications Circuits Laboratory (TCL), Institute of Electrical Engineering, EPFL, 1015 Lausanne, Switzerland (e-mail: robert.giterman@epfl.ch). Ester Vicario Bravo is with TU Delft University, 2628 CD Delft, T</w:t>
      </w:r>
      <w:r>
        <w:rPr>
          <w:sz w:val="16"/>
        </w:rPr>
        <w:t>he</w:t>
      </w:r>
    </w:p>
    <w:p w:rsidR="002C68B0" w:rsidRDefault="00C1553A">
      <w:pPr>
        <w:spacing w:after="32" w:line="240" w:lineRule="auto"/>
        <w:ind w:left="-3" w:right="-3" w:hanging="10"/>
      </w:pPr>
      <w:r>
        <w:rPr>
          <w:sz w:val="16"/>
        </w:rPr>
        <w:t>Netherlands.</w:t>
      </w:r>
    </w:p>
    <w:p w:rsidR="002C68B0" w:rsidRDefault="00C1553A">
      <w:pPr>
        <w:spacing w:after="32" w:line="240" w:lineRule="auto"/>
        <w:ind w:right="-3" w:firstLine="134"/>
      </w:pPr>
      <w:proofErr w:type="spellStart"/>
      <w:r>
        <w:rPr>
          <w:sz w:val="16"/>
        </w:rPr>
        <w:t>Tzachi</w:t>
      </w:r>
      <w:proofErr w:type="spellEnd"/>
      <w:r>
        <w:rPr>
          <w:sz w:val="16"/>
        </w:rPr>
        <w:t xml:space="preserve"> </w:t>
      </w:r>
      <w:proofErr w:type="spellStart"/>
      <w:r>
        <w:rPr>
          <w:sz w:val="16"/>
        </w:rPr>
        <w:t>Noy</w:t>
      </w:r>
      <w:proofErr w:type="spellEnd"/>
      <w:r>
        <w:rPr>
          <w:sz w:val="16"/>
        </w:rPr>
        <w:t xml:space="preserve"> and Adam </w:t>
      </w:r>
      <w:proofErr w:type="spellStart"/>
      <w:r>
        <w:rPr>
          <w:sz w:val="16"/>
        </w:rPr>
        <w:t>Teman</w:t>
      </w:r>
      <w:proofErr w:type="spellEnd"/>
      <w:r>
        <w:rPr>
          <w:sz w:val="16"/>
        </w:rPr>
        <w:t xml:space="preserve"> are with the Emerging </w:t>
      </w:r>
      <w:proofErr w:type="spellStart"/>
      <w:r>
        <w:rPr>
          <w:sz w:val="16"/>
        </w:rPr>
        <w:t>Nanoscaled</w:t>
      </w:r>
      <w:proofErr w:type="spellEnd"/>
      <w:r>
        <w:rPr>
          <w:sz w:val="16"/>
        </w:rPr>
        <w:t xml:space="preserve"> Integrated Circuits and Systems (</w:t>
      </w:r>
      <w:proofErr w:type="spellStart"/>
      <w:r>
        <w:rPr>
          <w:sz w:val="16"/>
        </w:rPr>
        <w:t>EnICS</w:t>
      </w:r>
      <w:proofErr w:type="spellEnd"/>
      <w:r>
        <w:rPr>
          <w:sz w:val="16"/>
        </w:rPr>
        <w:t>) Labs, Faculty of Engineering, Bar-</w:t>
      </w:r>
      <w:proofErr w:type="spellStart"/>
      <w:r>
        <w:rPr>
          <w:sz w:val="16"/>
        </w:rPr>
        <w:t>Ilan</w:t>
      </w:r>
      <w:proofErr w:type="spellEnd"/>
      <w:r>
        <w:rPr>
          <w:sz w:val="16"/>
        </w:rPr>
        <w:t xml:space="preserve"> University, Ramat </w:t>
      </w:r>
      <w:proofErr w:type="spellStart"/>
      <w:r>
        <w:rPr>
          <w:sz w:val="16"/>
        </w:rPr>
        <w:t>Gan</w:t>
      </w:r>
      <w:proofErr w:type="spellEnd"/>
      <w:r>
        <w:rPr>
          <w:sz w:val="16"/>
        </w:rPr>
        <w:t xml:space="preserve"> 5290002, Israel (e-mail: adam.teman@biu.ac.il).</w:t>
      </w:r>
    </w:p>
    <w:p w:rsidR="002C68B0" w:rsidRDefault="00C1553A">
      <w:pPr>
        <w:spacing w:after="32" w:line="240" w:lineRule="auto"/>
        <w:ind w:right="-3" w:firstLine="134"/>
      </w:pPr>
      <w:r>
        <w:rPr>
          <w:sz w:val="16"/>
        </w:rPr>
        <w:t>Color versions of one or more of</w:t>
      </w:r>
      <w:r>
        <w:rPr>
          <w:sz w:val="16"/>
        </w:rPr>
        <w:t xml:space="preserve"> the figures in this article are available online at http://ieeexplore.ieee.org.</w:t>
      </w:r>
    </w:p>
    <w:p w:rsidR="002C68B0" w:rsidRDefault="00C1553A">
      <w:pPr>
        <w:spacing w:after="32" w:line="240" w:lineRule="auto"/>
        <w:ind w:left="147" w:right="-3" w:hanging="10"/>
      </w:pPr>
      <w:r>
        <w:rPr>
          <w:sz w:val="16"/>
        </w:rPr>
        <w:lastRenderedPageBreak/>
        <w:t>Digital Object Identifier 10.1109/TCSI.2020.2971695</w:t>
      </w:r>
    </w:p>
    <w:p w:rsidR="002C68B0" w:rsidRDefault="00C1553A">
      <w:pPr>
        <w:ind w:firstLine="0"/>
      </w:pPr>
      <w:proofErr w:type="gramStart"/>
      <w:r>
        <w:t>conventional</w:t>
      </w:r>
      <w:proofErr w:type="gramEnd"/>
      <w:r>
        <w:t xml:space="preserve"> 6-transistor (6T) static random access memory (SRAM) due to its successful scaling across process nodes, high </w:t>
      </w:r>
      <w:r>
        <w:t xml:space="preserve">performance, and reliable operation under nominal supply voltages. However, 6T SRAM requires a big area footprint due to the large memory </w:t>
      </w:r>
      <w:proofErr w:type="spellStart"/>
      <w:r>
        <w:t>bitcell</w:t>
      </w:r>
      <w:proofErr w:type="spellEnd"/>
      <w:r>
        <w:t>, it dissipates significant static power due to its high leakage, and it fails to operate reliably under scaled</w:t>
      </w:r>
      <w:r>
        <w:t xml:space="preserve"> supply voltages. Therefore, when higher memory densities are required, a one-transistor one-capacitor (1T-1C) embedded dynamic random access memory ( </w:t>
      </w:r>
      <w:proofErr w:type="spellStart"/>
      <w:r>
        <w:t>eDRAM</w:t>
      </w:r>
      <w:proofErr w:type="spellEnd"/>
      <w:r>
        <w:t xml:space="preserve"> ) is preferred over SRAM as it can be implemented with more dense 1T-1C storage cells [1], [6]–[9].</w:t>
      </w:r>
      <w:r>
        <w:t xml:space="preserve"> However, the 1 T-1C </w:t>
      </w:r>
      <w:proofErr w:type="spellStart"/>
      <w:r>
        <w:t>eDRAM</w:t>
      </w:r>
      <w:proofErr w:type="spellEnd"/>
      <w:r>
        <w:t xml:space="preserve"> requires dedicated process steps to fabricate the cell capacitor resulting in additional complexity and cost, and it suffers from </w:t>
      </w:r>
      <w:proofErr w:type="gramStart"/>
      <w:r>
        <w:t>a</w:t>
      </w:r>
      <w:proofErr w:type="gramEnd"/>
      <w:r>
        <w:t xml:space="preserve"> destructive read operation, which increases power consumption.</w:t>
      </w:r>
    </w:p>
    <w:tbl>
      <w:tblPr>
        <w:tblStyle w:val="TableGrid"/>
        <w:tblpPr w:vertAnchor="text" w:horzAnchor="margin" w:tblpX="2" w:tblpY="6057"/>
        <w:tblOverlap w:val="never"/>
        <w:tblW w:w="10291" w:type="dxa"/>
        <w:tblInd w:w="0" w:type="dxa"/>
        <w:tblCellMar>
          <w:top w:w="0" w:type="dxa"/>
          <w:left w:w="115" w:type="dxa"/>
          <w:bottom w:w="0" w:type="dxa"/>
          <w:right w:w="115" w:type="dxa"/>
        </w:tblCellMar>
        <w:tblLook w:val="04A0" w:firstRow="1" w:lastRow="0" w:firstColumn="1" w:lastColumn="0" w:noHBand="0" w:noVBand="1"/>
      </w:tblPr>
      <w:tblGrid>
        <w:gridCol w:w="10291"/>
      </w:tblGrid>
      <w:tr w:rsidR="002C68B0">
        <w:tc>
          <w:tcPr>
            <w:tcW w:w="7241" w:type="dxa"/>
            <w:tcBorders>
              <w:top w:val="nil"/>
              <w:left w:val="nil"/>
              <w:bottom w:val="nil"/>
              <w:right w:val="nil"/>
            </w:tcBorders>
          </w:tcPr>
          <w:p w:rsidR="002C68B0" w:rsidRDefault="00C1553A">
            <w:pPr>
              <w:spacing w:after="0" w:line="276" w:lineRule="auto"/>
              <w:ind w:left="0" w:right="0" w:firstLine="0"/>
              <w:jc w:val="center"/>
            </w:pPr>
            <w:r>
              <w:rPr>
                <w:sz w:val="16"/>
              </w:rPr>
              <w:t>1549-8328 © 2020 IEEE. Personal us</w:t>
            </w:r>
            <w:r>
              <w:rPr>
                <w:sz w:val="16"/>
              </w:rPr>
              <w:t>e is permitted, but republication/redistribution requires IEEE permission. See https://www.ieee.org/publications/rights/index.html for more information.</w:t>
            </w:r>
          </w:p>
        </w:tc>
      </w:tr>
    </w:tbl>
    <w:p w:rsidR="002C68B0" w:rsidRDefault="00C1553A">
      <w:r>
        <w:t>Gain-cell embedded DRAM (GC-</w:t>
      </w:r>
      <w:proofErr w:type="spellStart"/>
      <w:r>
        <w:t>eDRAM</w:t>
      </w:r>
      <w:proofErr w:type="spellEnd"/>
      <w:r>
        <w:t xml:space="preserve">) is an interesting alternative to conventional SRAM and 1 T-1C </w:t>
      </w:r>
      <w:proofErr w:type="spellStart"/>
      <w:r>
        <w:t>eDRAM</w:t>
      </w:r>
      <w:proofErr w:type="spellEnd"/>
      <w:r>
        <w:t xml:space="preserve"> [10]–[23]. Compared to SRAM, GC-</w:t>
      </w:r>
      <w:proofErr w:type="spellStart"/>
      <w:r>
        <w:t>eDRAM</w:t>
      </w:r>
      <w:proofErr w:type="spellEnd"/>
      <w:r>
        <w:t xml:space="preserve"> offers higher density due to its lower transistor count, low-leakage, and inherent two-ported operation. Compared t</w:t>
      </w:r>
      <w:r>
        <w:t xml:space="preserve">o 1 T-1C </w:t>
      </w:r>
      <w:proofErr w:type="spellStart"/>
      <w:r>
        <w:t>eDRAM</w:t>
      </w:r>
      <w:proofErr w:type="spellEnd"/>
      <w:r>
        <w:t>, it is fully logic-compatible, thus it does not require additional process steps, and its read operation is nondestructive. The majority of gain cell (GC) implementations reported in literature [10] comprise a write port, a storage node (SN)</w:t>
      </w:r>
      <w:r>
        <w:t xml:space="preserve"> holding the data on a parasitic SN capacitor, and a read port. In this paper, 3-transistor (3T) and 4T NMOS-only GCs, depicted in Fig. 1, are considered as working examples, as they feature the basic GC characteristics that are common to most GC implement</w:t>
      </w:r>
      <w:r>
        <w:t xml:space="preserve">ations. Nevertheless, the contributions of this paper immediately apply also to other GC implementations. For the considered GCs, the write port, which is implemented with either a single (Fig. 1(a)) or two (Fig. 1(b)) write transistors (MW and MB) starts </w:t>
      </w:r>
      <w:r>
        <w:t>conducting when the write word line (WWL) is asserted, allowing to write the data provided on the write bit line (WBL) into the SN. When the GC is not accessed, the data is dynamically stored on the parasitic capacitance associated with the SN and, for the</w:t>
      </w:r>
      <w:r>
        <w:t xml:space="preserve"> GCs in Fig. </w:t>
      </w:r>
      <w:proofErr w:type="gramStart"/>
      <w:r>
        <w:t>1 ,</w:t>
      </w:r>
      <w:proofErr w:type="gramEnd"/>
      <w:r>
        <w:t xml:space="preserve"> the read bit line (RBL) is </w:t>
      </w:r>
      <w:proofErr w:type="spellStart"/>
      <w:r>
        <w:t>precharged</w:t>
      </w:r>
      <w:proofErr w:type="spellEnd"/>
      <w:r>
        <w:t xml:space="preserve"> to a default voltage, “</w:t>
      </w:r>
      <w:r>
        <w:rPr>
          <w:i/>
        </w:rPr>
        <w:t>V</w:t>
      </w:r>
      <w:r>
        <w:rPr>
          <w:vertAlign w:val="subscript"/>
        </w:rPr>
        <w:t>DD</w:t>
      </w:r>
      <w:r>
        <w:t xml:space="preserve">”. The read operation is performed once the read word line (RWL) is driven to GND (4T) or </w:t>
      </w:r>
      <w:r>
        <w:rPr>
          <w:i/>
        </w:rPr>
        <w:t>V</w:t>
      </w:r>
      <w:r>
        <w:rPr>
          <w:vertAlign w:val="subscript"/>
        </w:rPr>
        <w:t xml:space="preserve">DD </w:t>
      </w:r>
      <w:r>
        <w:t>(3T), allowing the</w:t>
      </w:r>
    </w:p>
    <w:p w:rsidR="002C68B0" w:rsidRDefault="00C1553A">
      <w:pPr>
        <w:spacing w:after="232" w:line="240" w:lineRule="auto"/>
        <w:ind w:left="0" w:right="0" w:firstLine="0"/>
        <w:jc w:val="center"/>
      </w:pPr>
      <w:r>
        <w:rPr>
          <w:noProof/>
        </w:rPr>
        <w:lastRenderedPageBreak/>
        <w:drawing>
          <wp:inline distT="0" distB="0" distL="0" distR="0">
            <wp:extent cx="3086100" cy="1162050"/>
            <wp:effectExtent l="0" t="0" r="0" b="0"/>
            <wp:docPr id="102541" name="Picture 102541"/>
            <wp:cNvGraphicFramePr/>
            <a:graphic xmlns:a="http://schemas.openxmlformats.org/drawingml/2006/main">
              <a:graphicData uri="http://schemas.openxmlformats.org/drawingml/2006/picture">
                <pic:pic xmlns:pic="http://schemas.openxmlformats.org/drawingml/2006/picture">
                  <pic:nvPicPr>
                    <pic:cNvPr id="102541" name="Picture 102541"/>
                    <pic:cNvPicPr/>
                  </pic:nvPicPr>
                  <pic:blipFill>
                    <a:blip r:embed="rId13"/>
                    <a:stretch>
                      <a:fillRect/>
                    </a:stretch>
                  </pic:blipFill>
                  <pic:spPr>
                    <a:xfrm>
                      <a:off x="0" y="0"/>
                      <a:ext cx="3086100" cy="1162050"/>
                    </a:xfrm>
                    <a:prstGeom prst="rect">
                      <a:avLst/>
                    </a:prstGeom>
                  </pic:spPr>
                </pic:pic>
              </a:graphicData>
            </a:graphic>
          </wp:inline>
        </w:drawing>
      </w:r>
    </w:p>
    <w:p w:rsidR="002C68B0" w:rsidRDefault="00C1553A">
      <w:pPr>
        <w:spacing w:after="206" w:line="240" w:lineRule="auto"/>
        <w:ind w:left="-3" w:right="-3" w:hanging="10"/>
      </w:pPr>
      <w:r>
        <w:rPr>
          <w:sz w:val="16"/>
        </w:rPr>
        <w:t>Fig. 1. (a) 3T and (b) 4T all-NMOS gain-cell schematics with</w:t>
      </w:r>
      <w:r>
        <w:rPr>
          <w:sz w:val="16"/>
        </w:rPr>
        <w:t xml:space="preserve"> the main leakage mechanisms affecting the storage node.</w:t>
      </w:r>
    </w:p>
    <w:p w:rsidR="002C68B0" w:rsidRDefault="00C1553A">
      <w:pPr>
        <w:ind w:firstLine="0"/>
      </w:pPr>
      <w:proofErr w:type="gramStart"/>
      <w:r>
        <w:t>read</w:t>
      </w:r>
      <w:proofErr w:type="gramEnd"/>
      <w:r>
        <w:t xml:space="preserve"> transistors (MR and MS) to conditionally discharge the RBL depending on value (charge) stored on the SN.</w:t>
      </w:r>
    </w:p>
    <w:p w:rsidR="002C68B0" w:rsidRDefault="00C1553A">
      <w:r>
        <w:t>As GCs rely on dynamic storage, the data stored on the SN deteriorates over time due to l</w:t>
      </w:r>
      <w:r>
        <w:t>eakage currents. Therefore, it requires periodic refresh operations to avoid the loss of data. The refresh period for GC-</w:t>
      </w:r>
      <w:proofErr w:type="spellStart"/>
      <w:r>
        <w:t>eDRAM</w:t>
      </w:r>
      <w:proofErr w:type="spellEnd"/>
      <w:r>
        <w:t xml:space="preserve"> is determined by its data retention time (DRT), which is defined as the maximum time interval between a write operation and a suc</w:t>
      </w:r>
      <w:r>
        <w:t>cessful read operation. The DRT depends on various parameters, such as the stored data, the temperature and operating voltage, the amount of global process variations (GPVs) and local process variations (LPVs), and the operating frequency, among others. Th</w:t>
      </w:r>
      <w:r>
        <w:t>erefore, the memory content is maintained only when the refresh period is set to a smaller value than the lowest DRT of the memory array and according to worst-case operating conditions, which maximize the leakage through the SN.</w:t>
      </w:r>
    </w:p>
    <w:p w:rsidR="002C68B0" w:rsidRDefault="00C1553A">
      <w:r w:rsidRPr="000052BD">
        <w:rPr>
          <w:highlight w:val="yellow"/>
        </w:rPr>
        <w:t>With technology and voltag</w:t>
      </w:r>
      <w:r w:rsidRPr="000052BD">
        <w:rPr>
          <w:highlight w:val="yellow"/>
        </w:rPr>
        <w:t>e scaling, the increased leakage currents and process variations have been shown to reduce the DRT of GC-</w:t>
      </w:r>
      <w:proofErr w:type="spellStart"/>
      <w:r w:rsidRPr="000052BD">
        <w:rPr>
          <w:highlight w:val="yellow"/>
        </w:rPr>
        <w:t>eDRAMs</w:t>
      </w:r>
      <w:proofErr w:type="spellEnd"/>
      <w:r w:rsidRPr="000052BD">
        <w:rPr>
          <w:highlight w:val="yellow"/>
        </w:rPr>
        <w:t xml:space="preserve"> [14], [20], resulting in increased power consumption and reduced memory availability, which become even more significant when taking into accoun</w:t>
      </w:r>
      <w:r w:rsidRPr="000052BD">
        <w:rPr>
          <w:highlight w:val="yellow"/>
        </w:rPr>
        <w:t>t various design margins to guarantee reliable operation under process, voltage and temperature (PVT) variations. Therefore, an accurate and practical evaluation of the DRT across the design and variation space is crucial</w:t>
      </w:r>
      <w:r>
        <w:t xml:space="preserve"> for the integration of reliable GC</w:t>
      </w:r>
      <w:r>
        <w:t>-</w:t>
      </w:r>
      <w:proofErr w:type="spellStart"/>
      <w:r>
        <w:t>eDRAMs</w:t>
      </w:r>
      <w:proofErr w:type="spellEnd"/>
      <w:r>
        <w:t xml:space="preserve"> in nanometer nodes.</w:t>
      </w:r>
    </w:p>
    <w:p w:rsidR="002C68B0" w:rsidRDefault="00C1553A">
      <w:r>
        <w:t>The most straightforward and accurate method to evaluate the DRT of GCs is referred to as effective DRT (EDRT) characterization methodology [10]. In this approach, a write operation is applied to the GC, followed by an idle phas</w:t>
      </w:r>
      <w:r>
        <w:t xml:space="preserve">e, and a subsequent trial-and-error read operations are performed to verify the integrity of the stored data. This test is repeated for increasing idle phases and the DRT is defined as the longest idle phase that still enables to correctly read the stored </w:t>
      </w:r>
      <w:r>
        <w:t>data. While the EDRT approach provides the most accurate evaluation of the DRT, it becomes impractical to evaluate the DRT of large memory arrays across LPVs, as many trial-</w:t>
      </w:r>
      <w:proofErr w:type="spellStart"/>
      <w:r>
        <w:t>anderror</w:t>
      </w:r>
      <w:proofErr w:type="spellEnd"/>
      <w:r>
        <w:t xml:space="preserve"> transient simulations need to be repeated for each Monte Carlo (MC) run. T</w:t>
      </w:r>
      <w:r>
        <w:t>his time consuming analysis either leads to a prohibitive run-time or it requires a large number of costly electronic design automation (EDA) software licenses. In order to avoid the long run-times of multiple EDRT simulations, modern Spice simulators prov</w:t>
      </w:r>
      <w:r>
        <w:t xml:space="preserve">ide optimization methods which can be used instead of trial-and-error simulations in order to find the maximum read-after-write delay while successfully maintaining the correctness of the output data. While this </w:t>
      </w:r>
      <w:r>
        <w:lastRenderedPageBreak/>
        <w:t>approach is useful in determining the DRT un</w:t>
      </w:r>
      <w:r>
        <w:t>der a given operating condition, extensive Monte-Carlo simulations would still result in unfeasible run-times.</w:t>
      </w:r>
    </w:p>
    <w:p w:rsidR="002C68B0" w:rsidRDefault="00C1553A">
      <w:r>
        <w:t>In order to reduce the DRT evaluation run-time and to avoid the need for high license costs, a voltage-based DRT (VDRT) characterization methodol</w:t>
      </w:r>
      <w:r>
        <w:t xml:space="preserve">ogy has been proposed in [10], where the voltage of the SN is monitored. According to the VDRT methodology, </w:t>
      </w:r>
      <w:r w:rsidRPr="00573496">
        <w:rPr>
          <w:color w:val="FF0000"/>
        </w:rPr>
        <w:t>the DRT is determined as the time interval after a write operation at which the voltage difference between stored ‘1’ and ‘0’ crosses a critical thr</w:t>
      </w:r>
      <w:r w:rsidRPr="00573496">
        <w:rPr>
          <w:color w:val="FF0000"/>
        </w:rPr>
        <w:t xml:space="preserve">eshold at which its polarity can no longer be distinguished reliably using a read operation. The </w:t>
      </w:r>
      <w:r>
        <w:t>simulation time of the VDRT approach is significantly shorter than the time required by the EDRT methodology as it does not require trial-</w:t>
      </w:r>
      <w:proofErr w:type="spellStart"/>
      <w:r>
        <w:t>anderror</w:t>
      </w:r>
      <w:proofErr w:type="spellEnd"/>
      <w:r>
        <w:t xml:space="preserve"> read accesse</w:t>
      </w:r>
      <w:r>
        <w:t>s. Hence, it can be easily used for LPV analyses when executing a high number of MC runs. However, the consideration of the SN voltage only does not account for the impact of LPVs on the GC read port. Thus, the accuracy of the VDRT methodology is limited.</w:t>
      </w:r>
    </w:p>
    <w:p w:rsidR="002C68B0" w:rsidRDefault="00C1553A">
      <w:r>
        <w:t xml:space="preserve">To avoid the limitations of existing strategies to determine the DRT, we present a new, current-based DRT </w:t>
      </w:r>
      <w:proofErr w:type="gramStart"/>
      <w:r>
        <w:t>( IDRT</w:t>
      </w:r>
      <w:proofErr w:type="gramEnd"/>
      <w:r>
        <w:t xml:space="preserve"> ) method. The proposed method relies on current monitoring through the read port, thereby taking into account the LPV affecting both the SN vol</w:t>
      </w:r>
      <w:r>
        <w:t>tage deterioration and the RBL driver. The IDRT method is compatible with MC runs as it does not rely on time-consuming trial-and-error transient simulations of the read operation, and it enables an accurate evaluation of the DRT across LPVs without the ne</w:t>
      </w:r>
      <w:r>
        <w:t>ed for a large number of costly EDA software licenses. The IDRT method is compared with state-of-the-art EDRT and VDRT characterization methodologies in terms of accuracy and runtime for different GC-</w:t>
      </w:r>
      <w:proofErr w:type="spellStart"/>
      <w:r>
        <w:t>eDRAM</w:t>
      </w:r>
      <w:proofErr w:type="spellEnd"/>
      <w:r>
        <w:t xml:space="preserve"> </w:t>
      </w:r>
      <w:proofErr w:type="spellStart"/>
      <w:r>
        <w:t>bitcell</w:t>
      </w:r>
      <w:proofErr w:type="spellEnd"/>
      <w:r>
        <w:t xml:space="preserve"> topologies as well as various process tech</w:t>
      </w:r>
      <w:r>
        <w:t>nologies. The IDRT method provides less than 3.7% DRT deviation from the reference EDRT approach, which is over 26</w:t>
      </w:r>
      <w:r>
        <w:rPr>
          <w:rFonts w:ascii="Calibri" w:eastAsia="Calibri" w:hAnsi="Calibri" w:cs="Calibri"/>
        </w:rPr>
        <w:t xml:space="preserve">× </w:t>
      </w:r>
      <w:r>
        <w:t>lower than the average error of the VDRT method. Furthermore, the DRTs of both a 3T GC and a 4T GC designed in a 28 nm process technology ar</w:t>
      </w:r>
      <w:r>
        <w:t>e measured and analyzed across the design and variations space to demonstrate how the EDRT and IDRT methodologies can coexist for an accurate evaluation of the DRT in GC-</w:t>
      </w:r>
      <w:proofErr w:type="spellStart"/>
      <w:r>
        <w:t>eDRAMs</w:t>
      </w:r>
      <w:proofErr w:type="spellEnd"/>
      <w:r>
        <w:t>.</w:t>
      </w:r>
    </w:p>
    <w:p w:rsidR="002C68B0" w:rsidRDefault="00C1553A">
      <w:pPr>
        <w:spacing w:after="120"/>
      </w:pPr>
      <w:r>
        <w:rPr>
          <w:i/>
        </w:rPr>
        <w:t xml:space="preserve">Contributions: </w:t>
      </w:r>
      <w:r>
        <w:t>The major contributions of this paper are summarized as follows</w:t>
      </w:r>
      <w:r>
        <w:rPr>
          <w:rFonts w:ascii="Calibri" w:eastAsia="Calibri" w:hAnsi="Calibri" w:cs="Calibri"/>
        </w:rPr>
        <w:t>:</w:t>
      </w:r>
    </w:p>
    <w:p w:rsidR="002C68B0" w:rsidRDefault="00C1553A">
      <w:pPr>
        <w:numPr>
          <w:ilvl w:val="0"/>
          <w:numId w:val="1"/>
        </w:numPr>
        <w:ind w:left="484" w:hanging="285"/>
      </w:pPr>
      <w:r>
        <w:t xml:space="preserve">This work presents a Current-based DRT </w:t>
      </w:r>
      <w:proofErr w:type="gramStart"/>
      <w:r>
        <w:t>( IDRT</w:t>
      </w:r>
      <w:proofErr w:type="gramEnd"/>
      <w:r>
        <w:t xml:space="preserve"> ) method, which provides an accurate DRT evaluation tool without relying on time-consuming trial-and-error transient simulations.</w:t>
      </w:r>
    </w:p>
    <w:p w:rsidR="002C68B0" w:rsidRDefault="00C1553A">
      <w:pPr>
        <w:numPr>
          <w:ilvl w:val="0"/>
          <w:numId w:val="1"/>
        </w:numPr>
        <w:ind w:left="484" w:hanging="285"/>
      </w:pPr>
      <w:r>
        <w:t>The IDRT method is compared with the EDRT and VDRT methods for different GC st</w:t>
      </w:r>
      <w:r>
        <w:t>ructures and across different process technologies (i.e., 28 nm FD-SOI and 28nm Bulk CMOS), demonstrating an average DRT error below 3.7 %.</w:t>
      </w:r>
    </w:p>
    <w:p w:rsidR="002C68B0" w:rsidRDefault="00C1553A">
      <w:pPr>
        <w:numPr>
          <w:ilvl w:val="0"/>
          <w:numId w:val="1"/>
        </w:numPr>
        <w:ind w:left="484" w:hanging="285"/>
      </w:pPr>
      <w:r>
        <w:t>The IDRT method is used to explore the design and variation space of 3T and 4T GCs in 28nm technology.</w:t>
      </w:r>
    </w:p>
    <w:p w:rsidR="002C68B0" w:rsidRDefault="00C1553A">
      <w:pPr>
        <w:numPr>
          <w:ilvl w:val="0"/>
          <w:numId w:val="1"/>
        </w:numPr>
        <w:ind w:left="484" w:hanging="285"/>
      </w:pPr>
      <w:r>
        <w:t>The DRT extra</w:t>
      </w:r>
      <w:r>
        <w:t>cted from the IDRT methodology is used to evaluate key GC-</w:t>
      </w:r>
      <w:proofErr w:type="spellStart"/>
      <w:r>
        <w:t>eDRAM</w:t>
      </w:r>
      <w:proofErr w:type="spellEnd"/>
      <w:r>
        <w:t xml:space="preserve"> characteristics, such as retention power and memory availability for different memory sizes under process variations, to demonstrate </w:t>
      </w:r>
      <w:r>
        <w:lastRenderedPageBreak/>
        <w:t>how the IDRT methodology can be used to reduce overly pessi</w:t>
      </w:r>
      <w:r>
        <w:t>mistic worst-case refresh.</w:t>
      </w:r>
    </w:p>
    <w:p w:rsidR="002C68B0" w:rsidRDefault="00C1553A">
      <w:pPr>
        <w:spacing w:after="330"/>
      </w:pPr>
      <w:r>
        <w:rPr>
          <w:i/>
        </w:rPr>
        <w:t xml:space="preserve">Outline: </w:t>
      </w:r>
      <w:r>
        <w:t>The rest of this paper is organized as follows. Section II analyzes the main mechanisms which affect the DRT of GC-</w:t>
      </w:r>
      <w:proofErr w:type="spellStart"/>
      <w:r>
        <w:t>eDRAM</w:t>
      </w:r>
      <w:proofErr w:type="spellEnd"/>
      <w:r>
        <w:t>. The proposed IDRT characterization methodology is described in Section III. Section IV evaluates the accuracy of the IDRT method and c</w:t>
      </w:r>
      <w:r>
        <w:t>ompares it with state-of-the-art EDRT and VDRT methodologies. The DRT analysis of 3T and 4T GCs across different design choices as well as global and local variations is provided in Section V. Section VI provides analysis and results of key GC-</w:t>
      </w:r>
      <w:proofErr w:type="spellStart"/>
      <w:r>
        <w:t>eDRAM</w:t>
      </w:r>
      <w:proofErr w:type="spellEnd"/>
      <w:r>
        <w:t xml:space="preserve"> charac</w:t>
      </w:r>
      <w:r>
        <w:t>teristics evaluated at a macro level using the extracted DRT. Finally, Section VII concludes the paper.</w:t>
      </w:r>
    </w:p>
    <w:p w:rsidR="002C68B0" w:rsidRDefault="00C1553A">
      <w:pPr>
        <w:pStyle w:val="Heading1"/>
      </w:pPr>
      <w:r>
        <w:rPr>
          <w:sz w:val="20"/>
        </w:rPr>
        <w:t>II. DRT A</w:t>
      </w:r>
      <w:r>
        <w:t>NALYSIS</w:t>
      </w:r>
    </w:p>
    <w:p w:rsidR="002C68B0" w:rsidRDefault="00C1553A">
      <w:pPr>
        <w:spacing w:after="362"/>
      </w:pPr>
      <w:r>
        <w:t>This section describes the different mechanisms, which affect the DRT of GC-</w:t>
      </w:r>
      <w:proofErr w:type="spellStart"/>
      <w:r>
        <w:t>eDRAM</w:t>
      </w:r>
      <w:proofErr w:type="spellEnd"/>
      <w:r>
        <w:t xml:space="preserve"> based on the examples of the 3T all-NMOS and 4T all-N</w:t>
      </w:r>
      <w:r>
        <w:t xml:space="preserve">MOS </w:t>
      </w:r>
      <w:proofErr w:type="spellStart"/>
      <w:r>
        <w:t>bitcells</w:t>
      </w:r>
      <w:proofErr w:type="spellEnd"/>
      <w:r>
        <w:t xml:space="preserve">. </w:t>
      </w:r>
      <w:r w:rsidRPr="004143E7">
        <w:rPr>
          <w:highlight w:val="yellow"/>
        </w:rPr>
        <w:t>The DRT is primarily affected by the leakage currents, which deteriorate the SN voltage, and the read port variation, which affects the RBL access latency during read operations.</w:t>
      </w:r>
    </w:p>
    <w:p w:rsidR="002C68B0" w:rsidRDefault="00C1553A">
      <w:pPr>
        <w:spacing w:after="121" w:line="240" w:lineRule="auto"/>
        <w:ind w:left="-3" w:right="-15" w:hanging="10"/>
        <w:jc w:val="left"/>
      </w:pPr>
      <w:r>
        <w:rPr>
          <w:i/>
        </w:rPr>
        <w:t>A. Storage Node Leakage</w:t>
      </w:r>
    </w:p>
    <w:p w:rsidR="002C68B0" w:rsidRDefault="00C1553A">
      <w:r>
        <w:t>The write port of GCs has the most sign</w:t>
      </w:r>
      <w:r>
        <w:t>ificant effect on the SN deterioration. The most simple version of a GC write port consists of a single transistor (1T), implemented with either an NMOS or a PMOS, which is controlled by the WWL and enables data transfer from the WBL to the SN during a wri</w:t>
      </w:r>
      <w:r>
        <w:t xml:space="preserve">te operation. Fig. 1(a) depicts a 3T all-NMOS GC, which contains a 1T write port implemented with an NMOS device (MW). During standby, the WWL is driven to GND and the voltage of the WBL is determined by the data written to other rows of the memory. </w:t>
      </w:r>
      <w:r w:rsidRPr="004143E7">
        <w:rPr>
          <w:highlight w:val="yellow"/>
        </w:rPr>
        <w:t>When t</w:t>
      </w:r>
      <w:r w:rsidRPr="004143E7">
        <w:rPr>
          <w:highlight w:val="yellow"/>
        </w:rPr>
        <w:t>he WBL holds an opposite value to the SN, a sub-threshold leakage (</w:t>
      </w:r>
      <w:proofErr w:type="spellStart"/>
      <w:r w:rsidRPr="004143E7">
        <w:rPr>
          <w:i/>
          <w:highlight w:val="yellow"/>
        </w:rPr>
        <w:t>I</w:t>
      </w:r>
      <w:r w:rsidRPr="004143E7">
        <w:rPr>
          <w:highlight w:val="yellow"/>
          <w:vertAlign w:val="subscript"/>
        </w:rPr>
        <w:t>sub</w:t>
      </w:r>
      <w:proofErr w:type="spellEnd"/>
      <w:r w:rsidRPr="004143E7">
        <w:rPr>
          <w:highlight w:val="yellow"/>
        </w:rPr>
        <w:t>) path is created between the drain and source of MW. In addition, when the cell stores a ‘1’, the SN deteriorates even further through gate leakage (</w:t>
      </w:r>
      <w:proofErr w:type="spellStart"/>
      <w:r w:rsidRPr="004143E7">
        <w:rPr>
          <w:i/>
          <w:highlight w:val="yellow"/>
        </w:rPr>
        <w:t>I</w:t>
      </w:r>
      <w:r w:rsidRPr="004143E7">
        <w:rPr>
          <w:highlight w:val="yellow"/>
          <w:vertAlign w:val="subscript"/>
        </w:rPr>
        <w:t>gate</w:t>
      </w:r>
      <w:proofErr w:type="spellEnd"/>
      <w:r w:rsidRPr="004143E7">
        <w:rPr>
          <w:highlight w:val="yellow"/>
        </w:rPr>
        <w:t>) to WWL and bulk leakage (</w:t>
      </w:r>
      <w:proofErr w:type="spellStart"/>
      <w:r w:rsidRPr="004143E7">
        <w:rPr>
          <w:i/>
          <w:highlight w:val="yellow"/>
        </w:rPr>
        <w:t>I</w:t>
      </w:r>
      <w:r w:rsidRPr="004143E7">
        <w:rPr>
          <w:highlight w:val="yellow"/>
          <w:vertAlign w:val="subscript"/>
        </w:rPr>
        <w:t>bu</w:t>
      </w:r>
      <w:r w:rsidRPr="004143E7">
        <w:rPr>
          <w:highlight w:val="yellow"/>
          <w:vertAlign w:val="subscript"/>
        </w:rPr>
        <w:t>lk</w:t>
      </w:r>
      <w:proofErr w:type="spellEnd"/>
      <w:r w:rsidRPr="004143E7">
        <w:rPr>
          <w:highlight w:val="yellow"/>
        </w:rPr>
        <w:t>) to the substrate of MW, resulting in a faster deterioration of ‘1’ compared to ‘0’.</w:t>
      </w:r>
      <w:r>
        <w:t xml:space="preserve"> With technology scaling, the impact of </w:t>
      </w:r>
      <w:proofErr w:type="spellStart"/>
      <w:r>
        <w:rPr>
          <w:i/>
        </w:rPr>
        <w:t>I</w:t>
      </w:r>
      <w:r>
        <w:rPr>
          <w:vertAlign w:val="subscript"/>
        </w:rPr>
        <w:t>gate</w:t>
      </w:r>
      <w:proofErr w:type="spellEnd"/>
      <w:r>
        <w:rPr>
          <w:vertAlign w:val="subscript"/>
        </w:rPr>
        <w:t xml:space="preserve"> </w:t>
      </w:r>
      <w:r>
        <w:t xml:space="preserve">and </w:t>
      </w:r>
      <w:proofErr w:type="spellStart"/>
      <w:r>
        <w:rPr>
          <w:i/>
        </w:rPr>
        <w:t>I</w:t>
      </w:r>
      <w:r>
        <w:rPr>
          <w:vertAlign w:val="subscript"/>
        </w:rPr>
        <w:t>bulk</w:t>
      </w:r>
      <w:proofErr w:type="spellEnd"/>
      <w:r>
        <w:rPr>
          <w:vertAlign w:val="subscript"/>
        </w:rPr>
        <w:t xml:space="preserve"> </w:t>
      </w:r>
      <w:r>
        <w:t xml:space="preserve">have become comparable to that of </w:t>
      </w:r>
      <w:proofErr w:type="spellStart"/>
      <w:r>
        <w:rPr>
          <w:i/>
        </w:rPr>
        <w:t>I</w:t>
      </w:r>
      <w:r>
        <w:rPr>
          <w:vertAlign w:val="subscript"/>
        </w:rPr>
        <w:t>sub</w:t>
      </w:r>
      <w:proofErr w:type="spellEnd"/>
      <w:r>
        <w:rPr>
          <w:vertAlign w:val="subscript"/>
        </w:rPr>
        <w:t xml:space="preserve"> </w:t>
      </w:r>
      <w:r>
        <w:t xml:space="preserve">under nominal conditions [24]. </w:t>
      </w:r>
      <w:r w:rsidRPr="004143E7">
        <w:rPr>
          <w:color w:val="FF0000"/>
        </w:rPr>
        <w:t xml:space="preserve">However, due to the exponential dependence </w:t>
      </w:r>
      <w:r w:rsidRPr="004143E7">
        <w:rPr>
          <w:color w:val="FF0000"/>
        </w:rPr>
        <w:t xml:space="preserve">of </w:t>
      </w:r>
      <w:proofErr w:type="spellStart"/>
      <w:r w:rsidRPr="004143E7">
        <w:rPr>
          <w:i/>
          <w:color w:val="FF0000"/>
        </w:rPr>
        <w:t>I</w:t>
      </w:r>
      <w:r w:rsidRPr="004143E7">
        <w:rPr>
          <w:color w:val="FF0000"/>
          <w:vertAlign w:val="subscript"/>
        </w:rPr>
        <w:t>sub</w:t>
      </w:r>
      <w:proofErr w:type="spellEnd"/>
      <w:r w:rsidRPr="004143E7">
        <w:rPr>
          <w:color w:val="FF0000"/>
          <w:vertAlign w:val="subscript"/>
        </w:rPr>
        <w:t xml:space="preserve"> </w:t>
      </w:r>
      <w:r w:rsidRPr="004143E7">
        <w:rPr>
          <w:color w:val="FF0000"/>
        </w:rPr>
        <w:t xml:space="preserve">on temperature and process variations, it remains the most significant leakage across corners which deteriorates the SN. </w:t>
      </w:r>
      <w:r>
        <w:t xml:space="preserve">In order to reduce the effect of </w:t>
      </w:r>
      <w:proofErr w:type="spellStart"/>
      <w:r>
        <w:rPr>
          <w:i/>
        </w:rPr>
        <w:t>I</w:t>
      </w:r>
      <w:r>
        <w:rPr>
          <w:vertAlign w:val="subscript"/>
        </w:rPr>
        <w:t>sub</w:t>
      </w:r>
      <w:proofErr w:type="spellEnd"/>
      <w:r>
        <w:rPr>
          <w:vertAlign w:val="subscript"/>
        </w:rPr>
        <w:t xml:space="preserve"> </w:t>
      </w:r>
      <w:r>
        <w:t>on the SN degradation, a 4T GC with internal feedback was proposed in [20]. The 4T GC, de</w:t>
      </w:r>
      <w:r>
        <w:t>picted in Fig. 1(b), introduces two additional transistors to the original 1T write port implementation, which form an internal feedback that helps to retain the weaker (‘1’) voltage level by reducing the leakage from the WBL through MF. However, while the</w:t>
      </w:r>
      <w:r>
        <w:t xml:space="preserve"> 4T GC reduces </w:t>
      </w:r>
      <w:proofErr w:type="spellStart"/>
      <w:r>
        <w:rPr>
          <w:i/>
        </w:rPr>
        <w:t>I</w:t>
      </w:r>
      <w:r>
        <w:rPr>
          <w:vertAlign w:val="subscript"/>
        </w:rPr>
        <w:t>sub</w:t>
      </w:r>
      <w:proofErr w:type="spellEnd"/>
      <w:r>
        <w:t>, it adds two additional gate leakage components through MF.</w:t>
      </w:r>
    </w:p>
    <w:p w:rsidR="002C68B0" w:rsidRDefault="00C1553A">
      <w:r>
        <w:t xml:space="preserve">The leakage mechanisms through the read port of the GC depend on the number of transistors implementing it. In the case of a 1T read port (Fig. 1(a)), both the RWL and RBL are </w:t>
      </w:r>
      <w:r>
        <w:t xml:space="preserve">driven to </w:t>
      </w:r>
      <w:r>
        <w:rPr>
          <w:i/>
        </w:rPr>
        <w:t>V</w:t>
      </w:r>
      <w:r>
        <w:rPr>
          <w:vertAlign w:val="subscript"/>
        </w:rPr>
        <w:t xml:space="preserve">DD </w:t>
      </w:r>
      <w:r>
        <w:t xml:space="preserve">during standby, increasing the deterioration of a stored ‘0’ through </w:t>
      </w:r>
      <w:proofErr w:type="spellStart"/>
      <w:r>
        <w:rPr>
          <w:i/>
        </w:rPr>
        <w:t>I</w:t>
      </w:r>
      <w:r>
        <w:rPr>
          <w:vertAlign w:val="subscript"/>
        </w:rPr>
        <w:t>gate</w:t>
      </w:r>
      <w:proofErr w:type="spellEnd"/>
      <w:r>
        <w:rPr>
          <w:vertAlign w:val="subscript"/>
        </w:rPr>
        <w:t xml:space="preserve"> </w:t>
      </w:r>
      <w:r>
        <w:t xml:space="preserve">leakage from the diffusions of MR to the SN. </w:t>
      </w:r>
      <w:r>
        <w:lastRenderedPageBreak/>
        <w:t xml:space="preserve">On the other hand, the source of MS in the 2T read port (Fig. 1(a)) is driven to GND, hence </w:t>
      </w:r>
      <w:proofErr w:type="spellStart"/>
      <w:r>
        <w:rPr>
          <w:i/>
        </w:rPr>
        <w:t>I</w:t>
      </w:r>
      <w:r>
        <w:rPr>
          <w:vertAlign w:val="subscript"/>
        </w:rPr>
        <w:t>gate</w:t>
      </w:r>
      <w:proofErr w:type="spellEnd"/>
      <w:r>
        <w:rPr>
          <w:vertAlign w:val="subscript"/>
        </w:rPr>
        <w:t xml:space="preserve"> </w:t>
      </w:r>
      <w:r>
        <w:t>is drawn from the SN whe</w:t>
      </w:r>
      <w:r>
        <w:t>n it holds a ‘1’. The effect of the</w:t>
      </w:r>
    </w:p>
    <w:p w:rsidR="002C68B0" w:rsidRDefault="00C1553A">
      <w:pPr>
        <w:spacing w:after="304" w:line="240" w:lineRule="auto"/>
        <w:ind w:left="0" w:right="0" w:firstLine="0"/>
        <w:jc w:val="center"/>
      </w:pPr>
      <w:r>
        <w:rPr>
          <w:noProof/>
        </w:rPr>
        <w:drawing>
          <wp:inline distT="0" distB="0" distL="0" distR="0">
            <wp:extent cx="2873375" cy="2279650"/>
            <wp:effectExtent l="0" t="0" r="0" b="0"/>
            <wp:docPr id="103683" name="Picture 103683"/>
            <wp:cNvGraphicFramePr/>
            <a:graphic xmlns:a="http://schemas.openxmlformats.org/drawingml/2006/main">
              <a:graphicData uri="http://schemas.openxmlformats.org/drawingml/2006/picture">
                <pic:pic xmlns:pic="http://schemas.openxmlformats.org/drawingml/2006/picture">
                  <pic:nvPicPr>
                    <pic:cNvPr id="103683" name="Picture 103683"/>
                    <pic:cNvPicPr/>
                  </pic:nvPicPr>
                  <pic:blipFill>
                    <a:blip r:embed="rId14"/>
                    <a:stretch>
                      <a:fillRect/>
                    </a:stretch>
                  </pic:blipFill>
                  <pic:spPr>
                    <a:xfrm>
                      <a:off x="0" y="0"/>
                      <a:ext cx="2873375" cy="2279650"/>
                    </a:xfrm>
                    <a:prstGeom prst="rect">
                      <a:avLst/>
                    </a:prstGeom>
                  </pic:spPr>
                </pic:pic>
              </a:graphicData>
            </a:graphic>
          </wp:inline>
        </w:drawing>
      </w:r>
    </w:p>
    <w:p w:rsidR="002C68B0" w:rsidRDefault="00C1553A">
      <w:pPr>
        <w:spacing w:after="438" w:line="240" w:lineRule="auto"/>
        <w:ind w:left="-3" w:right="-3" w:hanging="10"/>
      </w:pPr>
      <w:r>
        <w:rPr>
          <w:sz w:val="16"/>
        </w:rPr>
        <w:t>Fig. 2.</w:t>
      </w:r>
      <w:r>
        <w:rPr>
          <w:sz w:val="16"/>
        </w:rPr>
        <w:tab/>
        <w:t>Voltage-based DRT (VDRT) measurement illustration [10].</w:t>
      </w:r>
    </w:p>
    <w:p w:rsidR="002C68B0" w:rsidRDefault="00C1553A">
      <w:pPr>
        <w:spacing w:after="280"/>
        <w:ind w:firstLine="0"/>
      </w:pPr>
      <w:proofErr w:type="gramStart"/>
      <w:r>
        <w:t>various</w:t>
      </w:r>
      <w:proofErr w:type="gramEnd"/>
      <w:r>
        <w:t xml:space="preserve"> leakage mechanisms on the SN deterioration can be derived from Fig. 2, illustrating the SN voltage after write, as extracted from simulations of t</w:t>
      </w:r>
      <w:r>
        <w:t>he 3T GC under worst-case biasing conditions.</w:t>
      </w:r>
    </w:p>
    <w:p w:rsidR="002C68B0" w:rsidRDefault="00C1553A">
      <w:pPr>
        <w:spacing w:after="121" w:line="240" w:lineRule="auto"/>
        <w:ind w:left="-3" w:right="-15" w:hanging="10"/>
        <w:jc w:val="left"/>
      </w:pPr>
      <w:r>
        <w:rPr>
          <w:i/>
        </w:rPr>
        <w:t>B. Read Port Variation</w:t>
      </w:r>
    </w:p>
    <w:p w:rsidR="002C68B0" w:rsidRDefault="00C1553A">
      <w:r>
        <w:t xml:space="preserve">The read port has a strong impact on the DRT through the read access delay, which is determined by the on-current of the read transistors. </w:t>
      </w:r>
      <w:r w:rsidRPr="00313E11">
        <w:rPr>
          <w:highlight w:val="yellow"/>
        </w:rPr>
        <w:t>A 1T read port, depicted in Fig. 1( b), contains</w:t>
      </w:r>
      <w:r w:rsidRPr="00313E11">
        <w:rPr>
          <w:highlight w:val="yellow"/>
        </w:rPr>
        <w:t xml:space="preserve"> a single transistor which is controlled by the SN, and conditionally enables a current path between the RBL and the RWL to either discharge RBL when the cell holds a ‘1’, or keep it charged at </w:t>
      </w:r>
      <w:r w:rsidRPr="00313E11">
        <w:rPr>
          <w:i/>
          <w:highlight w:val="yellow"/>
        </w:rPr>
        <w:t>V</w:t>
      </w:r>
      <w:r w:rsidRPr="00313E11">
        <w:rPr>
          <w:highlight w:val="yellow"/>
          <w:vertAlign w:val="subscript"/>
        </w:rPr>
        <w:t xml:space="preserve">DD </w:t>
      </w:r>
      <w:r w:rsidRPr="00313E11">
        <w:rPr>
          <w:highlight w:val="yellow"/>
        </w:rPr>
        <w:t>when it holds a ‘0’. The RBL evaluation delay is often the</w:t>
      </w:r>
      <w:r w:rsidRPr="00313E11">
        <w:rPr>
          <w:highlight w:val="yellow"/>
        </w:rPr>
        <w:t xml:space="preserve"> dominant portion of the total read latency of the GC array due to the large RBL capacitance and degraded SN voltage [20].</w:t>
      </w:r>
      <w:r>
        <w:t xml:space="preserve"> Moreover, process variations that affect the threshold voltage (</w:t>
      </w:r>
      <w:r>
        <w:rPr>
          <w:i/>
        </w:rPr>
        <w:t>V</w:t>
      </w:r>
      <w:r>
        <w:rPr>
          <w:vertAlign w:val="subscript"/>
        </w:rPr>
        <w:t>T</w:t>
      </w:r>
      <w:r>
        <w:t>) of MR have a strong impact on the RBL delay, limiting the DRT whe</w:t>
      </w:r>
      <w:r>
        <w:t xml:space="preserve">n the RBL discharge pace is either too slow (for ‘1’) or too fast (for ‘0’) under the target latency constraints [13]. </w:t>
      </w:r>
      <w:r w:rsidRPr="00ED42F0">
        <w:rPr>
          <w:highlight w:val="yellow"/>
        </w:rPr>
        <w:t xml:space="preserve">Finally, a 1T read port is also affected by unselected transistors sharing the same column, which cause the RBL voltage to saturate at a </w:t>
      </w:r>
      <w:r w:rsidRPr="00ED42F0">
        <w:rPr>
          <w:highlight w:val="yellow"/>
        </w:rPr>
        <w:t xml:space="preserve">level close to </w:t>
      </w:r>
      <w:r w:rsidRPr="00ED42F0">
        <w:rPr>
          <w:i/>
          <w:highlight w:val="yellow"/>
        </w:rPr>
        <w:t>V</w:t>
      </w:r>
      <w:r w:rsidRPr="00ED42F0">
        <w:rPr>
          <w:highlight w:val="yellow"/>
          <w:vertAlign w:val="subscript"/>
        </w:rPr>
        <w:t>DD</w:t>
      </w:r>
      <w:r w:rsidRPr="00ED42F0">
        <w:rPr>
          <w:highlight w:val="yellow"/>
        </w:rPr>
        <w:t>-</w:t>
      </w:r>
      <w:r w:rsidRPr="00ED42F0">
        <w:rPr>
          <w:i/>
          <w:highlight w:val="yellow"/>
        </w:rPr>
        <w:t>V</w:t>
      </w:r>
      <w:r w:rsidRPr="00ED42F0">
        <w:rPr>
          <w:highlight w:val="yellow"/>
          <w:vertAlign w:val="subscript"/>
        </w:rPr>
        <w:t>T</w:t>
      </w:r>
      <w:r>
        <w:rPr>
          <w:vertAlign w:val="subscript"/>
        </w:rPr>
        <w:t xml:space="preserve"> </w:t>
      </w:r>
      <w:r>
        <w:t>when other cells in the column store a ‘1’. In order to avoid RBL saturation, a 2T read port is incorporated in the 3T GC, as shown in Fig. 1(a). In this more robust read port, the RWL is connected to the gate of MR, decoupling MS fro</w:t>
      </w:r>
      <w:r>
        <w:t xml:space="preserve">m the RBL when the cell is not selected. </w:t>
      </w:r>
      <w:r w:rsidRPr="00214679">
        <w:rPr>
          <w:highlight w:val="yellow"/>
        </w:rPr>
        <w:t>Fig. 3 illustrates these phenomena by plotting the RBL voltage distributions as a function of the SN voltage across process variations following a read access from a 1T and 2T read ports. The simulations were conduc</w:t>
      </w:r>
      <w:r w:rsidRPr="00214679">
        <w:rPr>
          <w:highlight w:val="yellow"/>
        </w:rPr>
        <w:t xml:space="preserve">ted under worst-case biasing conditions with all the unselected cells in the column storing a ‘1’, causing the RBL voltage of the 1T read port to saturate at a level close to </w:t>
      </w:r>
      <w:r w:rsidRPr="00214679">
        <w:rPr>
          <w:i/>
          <w:highlight w:val="yellow"/>
        </w:rPr>
        <w:t>V</w:t>
      </w:r>
      <w:r w:rsidRPr="00214679">
        <w:rPr>
          <w:highlight w:val="yellow"/>
          <w:vertAlign w:val="subscript"/>
        </w:rPr>
        <w:t>DD</w:t>
      </w:r>
      <w:r w:rsidRPr="00214679">
        <w:rPr>
          <w:highlight w:val="yellow"/>
        </w:rPr>
        <w:t>-</w:t>
      </w:r>
      <w:r w:rsidRPr="00214679">
        <w:rPr>
          <w:i/>
          <w:highlight w:val="yellow"/>
        </w:rPr>
        <w:t>V</w:t>
      </w:r>
      <w:r w:rsidRPr="00214679">
        <w:rPr>
          <w:highlight w:val="yellow"/>
          <w:vertAlign w:val="subscript"/>
        </w:rPr>
        <w:t xml:space="preserve">T </w:t>
      </w:r>
      <w:r w:rsidRPr="00214679">
        <w:rPr>
          <w:highlight w:val="yellow"/>
        </w:rPr>
        <w:t>before completely discharging to GND. On the other hand, the RBL voltage of the 2T read port discharges close to GND when the SN voltage is high enough</w:t>
      </w:r>
      <w:r>
        <w:t xml:space="preserve"> </w:t>
      </w:r>
      <w:r>
        <w:lastRenderedPageBreak/>
        <w:t>in order to completely discharge RBL within the 1ns read access.</w:t>
      </w:r>
    </w:p>
    <w:p w:rsidR="002C68B0" w:rsidRDefault="00C1553A">
      <w:r>
        <w:t xml:space="preserve">The main drawback of the voltage-based </w:t>
      </w:r>
      <w:r>
        <w:t>VDRT methodology is that it fails to capture the effect of the read port</w:t>
      </w:r>
    </w:p>
    <w:p w:rsidR="002C68B0" w:rsidRDefault="00C1553A">
      <w:pPr>
        <w:spacing w:after="239" w:line="240" w:lineRule="auto"/>
        <w:ind w:left="0" w:right="0" w:firstLine="0"/>
        <w:jc w:val="center"/>
      </w:pPr>
      <w:r>
        <w:rPr>
          <w:noProof/>
        </w:rPr>
        <w:drawing>
          <wp:inline distT="0" distB="0" distL="0" distR="0">
            <wp:extent cx="2867025" cy="2257425"/>
            <wp:effectExtent l="0" t="0" r="0" b="0"/>
            <wp:docPr id="104681" name="Picture 104681"/>
            <wp:cNvGraphicFramePr/>
            <a:graphic xmlns:a="http://schemas.openxmlformats.org/drawingml/2006/main">
              <a:graphicData uri="http://schemas.openxmlformats.org/drawingml/2006/picture">
                <pic:pic xmlns:pic="http://schemas.openxmlformats.org/drawingml/2006/picture">
                  <pic:nvPicPr>
                    <pic:cNvPr id="104681" name="Picture 104681"/>
                    <pic:cNvPicPr/>
                  </pic:nvPicPr>
                  <pic:blipFill>
                    <a:blip r:embed="rId15"/>
                    <a:stretch>
                      <a:fillRect/>
                    </a:stretch>
                  </pic:blipFill>
                  <pic:spPr>
                    <a:xfrm>
                      <a:off x="0" y="0"/>
                      <a:ext cx="2867025" cy="2257425"/>
                    </a:xfrm>
                    <a:prstGeom prst="rect">
                      <a:avLst/>
                    </a:prstGeom>
                  </pic:spPr>
                </pic:pic>
              </a:graphicData>
            </a:graphic>
          </wp:inline>
        </w:drawing>
      </w:r>
    </w:p>
    <w:p w:rsidR="002C68B0" w:rsidRDefault="00C1553A">
      <w:pPr>
        <w:spacing w:after="549" w:line="240" w:lineRule="auto"/>
        <w:ind w:left="-3" w:right="-3" w:hanging="10"/>
      </w:pPr>
      <w:r>
        <w:rPr>
          <w:sz w:val="16"/>
        </w:rPr>
        <w:t>Fig. 3. RBL voltage distributions following 1ns read access to a 1T read port across SN voltages.</w:t>
      </w:r>
    </w:p>
    <w:p w:rsidR="002C68B0" w:rsidRDefault="00C1553A">
      <w:pPr>
        <w:spacing w:after="479"/>
        <w:ind w:firstLine="0"/>
      </w:pPr>
      <w:proofErr w:type="gramStart"/>
      <w:r>
        <w:t>variations</w:t>
      </w:r>
      <w:proofErr w:type="gramEnd"/>
      <w:r>
        <w:t xml:space="preserve"> on the DRT. In the next section, we present the current-based IDRT methodology, which provides much better accuracy than VDRT as it captures both the leakage and read port variations effects on the DRT.</w:t>
      </w:r>
    </w:p>
    <w:p w:rsidR="002C68B0" w:rsidRDefault="00C1553A">
      <w:pPr>
        <w:spacing w:after="72" w:line="241" w:lineRule="auto"/>
        <w:ind w:left="744" w:right="-15" w:hanging="10"/>
        <w:jc w:val="center"/>
      </w:pPr>
      <w:r>
        <w:t>III. C</w:t>
      </w:r>
      <w:r>
        <w:rPr>
          <w:sz w:val="16"/>
        </w:rPr>
        <w:t>URRENT</w:t>
      </w:r>
      <w:r>
        <w:t>-B</w:t>
      </w:r>
      <w:r>
        <w:rPr>
          <w:sz w:val="16"/>
        </w:rPr>
        <w:t xml:space="preserve">ASED </w:t>
      </w:r>
      <w:r>
        <w:t>DRT (IDRT)</w:t>
      </w:r>
    </w:p>
    <w:p w:rsidR="002C68B0" w:rsidRDefault="00C1553A">
      <w:pPr>
        <w:pStyle w:val="Heading1"/>
        <w:spacing w:after="219"/>
      </w:pPr>
      <w:r>
        <w:rPr>
          <w:sz w:val="20"/>
        </w:rPr>
        <w:t>C</w:t>
      </w:r>
      <w:r>
        <w:t>HARACTERIZA</w:t>
      </w:r>
      <w:r>
        <w:t xml:space="preserve">TION </w:t>
      </w:r>
      <w:r>
        <w:rPr>
          <w:sz w:val="20"/>
        </w:rPr>
        <w:t>M</w:t>
      </w:r>
      <w:r>
        <w:t>ETHODOLOGY</w:t>
      </w:r>
    </w:p>
    <w:p w:rsidR="002C68B0" w:rsidRDefault="00C1553A">
      <w:r>
        <w:t xml:space="preserve">In this section, we describe the IDRT evaluation methodology, where </w:t>
      </w:r>
      <w:r w:rsidRPr="00214679">
        <w:rPr>
          <w:color w:val="FF0000"/>
        </w:rPr>
        <w:t xml:space="preserve">the DRT is determined according to the maximum time interval following a write operation until the moment when the current through the active read port crosses a critical </w:t>
      </w:r>
      <w:r w:rsidRPr="00214679">
        <w:rPr>
          <w:color w:val="FF0000"/>
        </w:rPr>
        <w:t xml:space="preserve">threshold at which the read operation for a specified read access latency would fail. </w:t>
      </w:r>
      <w:r>
        <w:t>The IDRT methodology consists of three phases that comprise:</w:t>
      </w:r>
    </w:p>
    <w:p w:rsidR="002C68B0" w:rsidRDefault="00C1553A">
      <w:pPr>
        <w:numPr>
          <w:ilvl w:val="0"/>
          <w:numId w:val="2"/>
        </w:numPr>
      </w:pPr>
      <w:r>
        <w:t>A single EDRT simulation, comprising transferring a ‘1’ or a ‘0’ to SN of the GC, applying the opposite volta</w:t>
      </w:r>
      <w:r>
        <w:t>ge level to the WBL and performing a read operation following a pre-determined idle time.</w:t>
      </w:r>
    </w:p>
    <w:p w:rsidR="002C68B0" w:rsidRDefault="00C1553A">
      <w:pPr>
        <w:numPr>
          <w:ilvl w:val="0"/>
          <w:numId w:val="2"/>
        </w:numPr>
      </w:pPr>
      <w:r>
        <w:t>Reference current acquisition, comprising a replica of the GC read port, and applying a voltage source to the replica SN holding the estimated EDRT voltage, as extrac</w:t>
      </w:r>
      <w:r>
        <w:t>ted from the previous phase.</w:t>
      </w:r>
    </w:p>
    <w:p w:rsidR="002C68B0" w:rsidRDefault="00C1553A">
      <w:pPr>
        <w:numPr>
          <w:ilvl w:val="0"/>
          <w:numId w:val="2"/>
        </w:numPr>
      </w:pPr>
      <w:r>
        <w:t>Evaluation phase, comprising a single GC and a replica GC, where the SN of the GC is connected using an ideal buffer to the replica SN. This test-bench allows to evaluate the IDRT using Monte-Carlo simulations by monitoring the</w:t>
      </w:r>
      <w:r>
        <w:t xml:space="preserve"> current through the replica read port until it reaches the reference current, which is acquired in phase 2.</w:t>
      </w:r>
    </w:p>
    <w:p w:rsidR="002C68B0" w:rsidRDefault="00C1553A">
      <w:r>
        <w:t xml:space="preserve">These phases are depicted in Fig. 4 for the example of a 3T NMOS-only GC as the device under test (DUT). The IDRT </w:t>
      </w:r>
      <w:r>
        <w:lastRenderedPageBreak/>
        <w:t>methodology is suitable for the e</w:t>
      </w:r>
      <w:r>
        <w:t xml:space="preserve">valuation of the DRT across LPVs as the initial trial-and-error EDRT simulations and the reference acquisition are performed </w:t>
      </w:r>
      <w:r>
        <w:rPr>
          <w:i/>
        </w:rPr>
        <w:t xml:space="preserve">only once </w:t>
      </w:r>
      <w:r>
        <w:t xml:space="preserve">at the given operating point, while the subsequent MC evaluation phase contains </w:t>
      </w:r>
      <w:r>
        <w:rPr>
          <w:i/>
        </w:rPr>
        <w:t xml:space="preserve">only a single </w:t>
      </w:r>
      <w:r>
        <w:t>transient simulation for ea</w:t>
      </w:r>
      <w:r>
        <w:t>ch MC iteration. The three phases of the IDRT methodology are elaborately described in the following subsections.</w:t>
      </w:r>
    </w:p>
    <w:p w:rsidR="002C68B0" w:rsidRDefault="00C1553A">
      <w:pPr>
        <w:spacing w:after="121" w:line="240" w:lineRule="auto"/>
        <w:ind w:left="-3" w:right="-15" w:hanging="10"/>
        <w:jc w:val="left"/>
      </w:pPr>
      <w:r>
        <w:rPr>
          <w:i/>
        </w:rPr>
        <w:t>A. EDRT Measurement</w:t>
      </w:r>
    </w:p>
    <w:p w:rsidR="002C68B0" w:rsidRDefault="00C1553A">
      <w:pPr>
        <w:spacing w:after="393"/>
      </w:pPr>
      <w:r>
        <w:t xml:space="preserve">A single EDRT measurement is initially performed at the considered operating conditions, specified by the process corner, </w:t>
      </w:r>
      <w:r>
        <w:t>supply voltage, temperature, and operating frequency. The load of the GCs sharing the same column is added to the shared RBL and a sense amplifier is used to sense the RBL voltage, as depicted in Fig. 4(a). During the idle phase, when the GC is not accesse</w:t>
      </w:r>
      <w:r>
        <w:t>d, the WBL is forced to the opposite voltage of the written value in order to apply worst-case biasing conditions in which the leakage through the SN is maximized, resulting in a faster deterioration of the stored value. Then, a trial read operation is per</w:t>
      </w:r>
      <w:r>
        <w:t>formed following a determined idle phase and the output is compared with the written value. The simulation is repeated for increasingly longer idle periods until the moment when the output of the read operation is incorrect. The longest idle period which s</w:t>
      </w:r>
      <w:r>
        <w:t>till ensures a correct read operation is used to sample the corresponding voltage of the SN (</w:t>
      </w:r>
      <w:r>
        <w:rPr>
          <w:i/>
        </w:rPr>
        <w:t>V</w:t>
      </w:r>
      <w:r>
        <w:rPr>
          <w:vertAlign w:val="subscript"/>
        </w:rPr>
        <w:t>EDRT</w:t>
      </w:r>
      <w:r>
        <w:t>) to be used by the subsequent phase of reference acquisition.</w:t>
      </w:r>
    </w:p>
    <w:p w:rsidR="002C68B0" w:rsidRDefault="00C1553A">
      <w:pPr>
        <w:numPr>
          <w:ilvl w:val="0"/>
          <w:numId w:val="3"/>
        </w:numPr>
        <w:spacing w:after="121" w:line="240" w:lineRule="auto"/>
        <w:ind w:right="-15" w:hanging="254"/>
        <w:jc w:val="left"/>
      </w:pPr>
      <w:r>
        <w:rPr>
          <w:i/>
        </w:rPr>
        <w:t>Reference Current Acquisition</w:t>
      </w:r>
    </w:p>
    <w:p w:rsidR="002C68B0" w:rsidRDefault="00C1553A">
      <w:pPr>
        <w:spacing w:after="391"/>
      </w:pPr>
      <w:r w:rsidRPr="00560DCE">
        <w:rPr>
          <w:color w:val="FF0000"/>
        </w:rPr>
        <w:t>The reference acquisition phase is needed in order to evaluate th</w:t>
      </w:r>
      <w:r w:rsidRPr="00560DCE">
        <w:rPr>
          <w:color w:val="FF0000"/>
        </w:rPr>
        <w:t>e critical current through the read port (</w:t>
      </w:r>
      <w:r w:rsidRPr="00560DCE">
        <w:rPr>
          <w:i/>
          <w:color w:val="FF0000"/>
        </w:rPr>
        <w:t>I</w:t>
      </w:r>
      <w:r w:rsidRPr="00560DCE">
        <w:rPr>
          <w:color w:val="FF0000"/>
          <w:vertAlign w:val="subscript"/>
        </w:rPr>
        <w:t>EDRT</w:t>
      </w:r>
      <w:r w:rsidRPr="00560DCE">
        <w:rPr>
          <w:color w:val="FF0000"/>
        </w:rPr>
        <w:t xml:space="preserve">) that still ensures a successful read operation with the required read access latency at the considered operating point. </w:t>
      </w:r>
      <w:r>
        <w:t xml:space="preserve">The value of </w:t>
      </w:r>
      <w:r>
        <w:rPr>
          <w:i/>
        </w:rPr>
        <w:t>I</w:t>
      </w:r>
      <w:r>
        <w:rPr>
          <w:vertAlign w:val="subscript"/>
        </w:rPr>
        <w:t xml:space="preserve">EDRT </w:t>
      </w:r>
      <w:r>
        <w:t>is then used during the evaluation phase as a critical threshold whi</w:t>
      </w:r>
      <w:r>
        <w:t xml:space="preserve">ch represents the difference between an output of ‘1’ and ‘0’, depending on the polarity of the stored data and the type of transistors used to implement the GC read port. The value of </w:t>
      </w:r>
      <w:r>
        <w:rPr>
          <w:i/>
        </w:rPr>
        <w:t>I</w:t>
      </w:r>
      <w:r>
        <w:rPr>
          <w:vertAlign w:val="subscript"/>
        </w:rPr>
        <w:t xml:space="preserve">EDRT </w:t>
      </w:r>
      <w:r>
        <w:t xml:space="preserve">is obtained using the test-bench shown in Fig. 4(b) where the GC </w:t>
      </w:r>
      <w:r>
        <w:t xml:space="preserve">read-port transistors (M2, M3 in Fig. 4(a)) are replicated (M2a, M3a). </w:t>
      </w:r>
      <w:r w:rsidRPr="00560DCE">
        <w:rPr>
          <w:color w:val="FF0000"/>
        </w:rPr>
        <w:t xml:space="preserve">The previously evaluated </w:t>
      </w:r>
      <w:r w:rsidRPr="00560DCE">
        <w:rPr>
          <w:i/>
          <w:color w:val="FF0000"/>
        </w:rPr>
        <w:t>V</w:t>
      </w:r>
      <w:r w:rsidRPr="00560DCE">
        <w:rPr>
          <w:color w:val="FF0000"/>
          <w:vertAlign w:val="subscript"/>
        </w:rPr>
        <w:t xml:space="preserve">EDRT </w:t>
      </w:r>
      <w:r w:rsidRPr="00560DCE">
        <w:rPr>
          <w:color w:val="FF0000"/>
        </w:rPr>
        <w:t>is applied to the storage node (</w:t>
      </w:r>
      <w:proofErr w:type="spellStart"/>
      <w:r w:rsidRPr="00560DCE">
        <w:rPr>
          <w:color w:val="FF0000"/>
        </w:rPr>
        <w:t>SNa</w:t>
      </w:r>
      <w:proofErr w:type="spellEnd"/>
      <w:r w:rsidRPr="00560DCE">
        <w:rPr>
          <w:color w:val="FF0000"/>
        </w:rPr>
        <w:t xml:space="preserve">), followed by the assertion of the RWL and the pre-charge of the RBL (e.g., to </w:t>
      </w:r>
      <w:r w:rsidRPr="00560DCE">
        <w:rPr>
          <w:i/>
          <w:color w:val="FF0000"/>
        </w:rPr>
        <w:t>V</w:t>
      </w:r>
      <w:r w:rsidRPr="00560DCE">
        <w:rPr>
          <w:color w:val="FF0000"/>
          <w:vertAlign w:val="subscript"/>
        </w:rPr>
        <w:t xml:space="preserve">DD </w:t>
      </w:r>
      <w:r w:rsidRPr="00560DCE">
        <w:rPr>
          <w:color w:val="FF0000"/>
        </w:rPr>
        <w:t>for an NMOS-only read port)</w:t>
      </w:r>
      <w:r>
        <w:t xml:space="preserve">. Then, </w:t>
      </w:r>
      <w:r w:rsidRPr="0035694E">
        <w:rPr>
          <w:highlight w:val="yellow"/>
        </w:rPr>
        <w:t xml:space="preserve">the </w:t>
      </w:r>
      <w:r w:rsidRPr="0035694E">
        <w:rPr>
          <w:i/>
          <w:highlight w:val="yellow"/>
        </w:rPr>
        <w:t>I</w:t>
      </w:r>
      <w:r w:rsidRPr="0035694E">
        <w:rPr>
          <w:highlight w:val="yellow"/>
          <w:vertAlign w:val="subscript"/>
        </w:rPr>
        <w:t xml:space="preserve">EDRT </w:t>
      </w:r>
      <w:r w:rsidRPr="0035694E">
        <w:rPr>
          <w:highlight w:val="yellow"/>
        </w:rPr>
        <w:t>is evaluated as the DC current which dis-charges the RBL for the considered operating point, representing the minimum/maximum read-port current that is necessary for a correct read operation.</w:t>
      </w:r>
    </w:p>
    <w:p w:rsidR="002C68B0" w:rsidRDefault="00C1553A">
      <w:pPr>
        <w:numPr>
          <w:ilvl w:val="0"/>
          <w:numId w:val="3"/>
        </w:numPr>
        <w:spacing w:after="121" w:line="240" w:lineRule="auto"/>
        <w:ind w:right="-15" w:hanging="254"/>
        <w:jc w:val="left"/>
      </w:pPr>
      <w:r>
        <w:rPr>
          <w:i/>
        </w:rPr>
        <w:t>Evaluation Phase</w:t>
      </w:r>
    </w:p>
    <w:tbl>
      <w:tblPr>
        <w:tblStyle w:val="TableGrid"/>
        <w:tblpPr w:vertAnchor="text" w:horzAnchor="margin" w:tblpY="3528"/>
        <w:tblOverlap w:val="never"/>
        <w:tblW w:w="10289" w:type="dxa"/>
        <w:tblInd w:w="0" w:type="dxa"/>
        <w:tblCellMar>
          <w:top w:w="0" w:type="dxa"/>
          <w:left w:w="0" w:type="dxa"/>
          <w:bottom w:w="0" w:type="dxa"/>
          <w:right w:w="0" w:type="dxa"/>
        </w:tblCellMar>
        <w:tblLook w:val="04A0" w:firstRow="1" w:lastRow="0" w:firstColumn="1" w:lastColumn="0" w:noHBand="0" w:noVBand="1"/>
      </w:tblPr>
      <w:tblGrid>
        <w:gridCol w:w="10289"/>
      </w:tblGrid>
      <w:tr w:rsidR="002C68B0">
        <w:tc>
          <w:tcPr>
            <w:tcW w:w="10171" w:type="dxa"/>
            <w:tcBorders>
              <w:top w:val="nil"/>
              <w:left w:val="nil"/>
              <w:bottom w:val="nil"/>
              <w:right w:val="nil"/>
            </w:tcBorders>
          </w:tcPr>
          <w:p w:rsidR="002C68B0" w:rsidRDefault="00C1553A">
            <w:pPr>
              <w:spacing w:after="234" w:line="240" w:lineRule="auto"/>
              <w:ind w:left="0" w:right="0" w:firstLine="0"/>
              <w:jc w:val="right"/>
            </w:pPr>
            <w:r>
              <w:rPr>
                <w:noProof/>
              </w:rPr>
              <w:lastRenderedPageBreak/>
              <w:drawing>
                <wp:inline distT="0" distB="0" distL="0" distR="0">
                  <wp:extent cx="6397625" cy="1266825"/>
                  <wp:effectExtent l="0" t="0" r="0" b="0"/>
                  <wp:docPr id="105405" name="Picture 105405"/>
                  <wp:cNvGraphicFramePr/>
                  <a:graphic xmlns:a="http://schemas.openxmlformats.org/drawingml/2006/main">
                    <a:graphicData uri="http://schemas.openxmlformats.org/drawingml/2006/picture">
                      <pic:pic xmlns:pic="http://schemas.openxmlformats.org/drawingml/2006/picture">
                        <pic:nvPicPr>
                          <pic:cNvPr id="105405" name="Picture 105405"/>
                          <pic:cNvPicPr/>
                        </pic:nvPicPr>
                        <pic:blipFill>
                          <a:blip r:embed="rId16"/>
                          <a:stretch>
                            <a:fillRect/>
                          </a:stretch>
                        </pic:blipFill>
                        <pic:spPr>
                          <a:xfrm>
                            <a:off x="0" y="0"/>
                            <a:ext cx="6397625" cy="1266825"/>
                          </a:xfrm>
                          <a:prstGeom prst="rect">
                            <a:avLst/>
                          </a:prstGeom>
                        </pic:spPr>
                      </pic:pic>
                    </a:graphicData>
                  </a:graphic>
                </wp:inline>
              </w:drawing>
            </w:r>
          </w:p>
          <w:p w:rsidR="002C68B0" w:rsidRDefault="00C1553A">
            <w:pPr>
              <w:spacing w:after="320" w:line="240" w:lineRule="auto"/>
              <w:ind w:left="0" w:right="0" w:firstLine="0"/>
              <w:jc w:val="left"/>
            </w:pPr>
            <w:r>
              <w:rPr>
                <w:sz w:val="16"/>
              </w:rPr>
              <w:t>Fig. 4.</w:t>
            </w:r>
            <w:r>
              <w:rPr>
                <w:sz w:val="16"/>
              </w:rPr>
              <w:tab/>
              <w:t>Phases of the current-based DRT (IDRT) characterization methodology.</w:t>
            </w:r>
          </w:p>
          <w:p w:rsidR="002C68B0" w:rsidRDefault="00C1553A">
            <w:pPr>
              <w:spacing w:after="99" w:line="240" w:lineRule="auto"/>
              <w:ind w:left="0" w:right="0" w:firstLine="0"/>
              <w:jc w:val="center"/>
            </w:pPr>
            <w:r>
              <w:rPr>
                <w:sz w:val="16"/>
              </w:rPr>
              <w:t>TABLE I</w:t>
            </w:r>
          </w:p>
          <w:p w:rsidR="002C68B0" w:rsidRDefault="00C1553A">
            <w:pPr>
              <w:spacing w:after="194" w:line="240" w:lineRule="auto"/>
              <w:ind w:left="0" w:right="0" w:firstLine="0"/>
              <w:jc w:val="center"/>
            </w:pPr>
            <w:r>
              <w:rPr>
                <w:sz w:val="16"/>
              </w:rPr>
              <w:t>A</w:t>
            </w:r>
            <w:r>
              <w:rPr>
                <w:sz w:val="13"/>
              </w:rPr>
              <w:t xml:space="preserve">CCURACY OF THE </w:t>
            </w:r>
            <w:r>
              <w:rPr>
                <w:sz w:val="16"/>
              </w:rPr>
              <w:t>IDRT M</w:t>
            </w:r>
            <w:r>
              <w:rPr>
                <w:sz w:val="13"/>
              </w:rPr>
              <w:t>ETHODOLOGY</w:t>
            </w:r>
          </w:p>
          <w:p w:rsidR="002C68B0" w:rsidRDefault="00C1553A">
            <w:pPr>
              <w:spacing w:after="0" w:line="276" w:lineRule="auto"/>
              <w:ind w:left="0" w:right="0" w:firstLine="0"/>
              <w:jc w:val="center"/>
            </w:pPr>
            <w:r>
              <w:rPr>
                <w:noProof/>
              </w:rPr>
              <w:drawing>
                <wp:inline distT="0" distB="0" distL="0" distR="0" wp14:anchorId="4C8C1E8A" wp14:editId="367C65E1">
                  <wp:extent cx="5813425" cy="2152650"/>
                  <wp:effectExtent l="0" t="0" r="0" b="0"/>
                  <wp:docPr id="105407" name="Picture 105407"/>
                  <wp:cNvGraphicFramePr/>
                  <a:graphic xmlns:a="http://schemas.openxmlformats.org/drawingml/2006/main">
                    <a:graphicData uri="http://schemas.openxmlformats.org/drawingml/2006/picture">
                      <pic:pic xmlns:pic="http://schemas.openxmlformats.org/drawingml/2006/picture">
                        <pic:nvPicPr>
                          <pic:cNvPr id="105407" name="Picture 105407"/>
                          <pic:cNvPicPr/>
                        </pic:nvPicPr>
                        <pic:blipFill>
                          <a:blip r:embed="rId17"/>
                          <a:stretch>
                            <a:fillRect/>
                          </a:stretch>
                        </pic:blipFill>
                        <pic:spPr>
                          <a:xfrm>
                            <a:off x="0" y="0"/>
                            <a:ext cx="5813425" cy="2152650"/>
                          </a:xfrm>
                          <a:prstGeom prst="rect">
                            <a:avLst/>
                          </a:prstGeom>
                        </pic:spPr>
                      </pic:pic>
                    </a:graphicData>
                  </a:graphic>
                </wp:inline>
              </w:drawing>
            </w:r>
          </w:p>
        </w:tc>
      </w:tr>
    </w:tbl>
    <w:p w:rsidR="002C68B0" w:rsidRDefault="00C1553A">
      <w:r>
        <w:t>The evaluation phase is used to evaluate the DRT distribution under LPVs. The corresponding test-bench comprises a copy of the consider</w:t>
      </w:r>
      <w:r>
        <w:t xml:space="preserve">ed GC (M1b–M3b) in order to reproduce the data deterioration of the SN and the read port replica (M2c, M3c), whose current is monitored to evaluate the DRT, as depicted in Fig. 4(c). Similar to the VDRT </w:t>
      </w:r>
      <w:proofErr w:type="spellStart"/>
      <w:r>
        <w:t>methodology</w:t>
      </w:r>
      <w:proofErr w:type="gramStart"/>
      <w:r>
        <w:t>,the</w:t>
      </w:r>
      <w:proofErr w:type="spellEnd"/>
      <w:proofErr w:type="gramEnd"/>
      <w:r>
        <w:t xml:space="preserve"> evaluation phase consists of a write </w:t>
      </w:r>
      <w:r>
        <w:t xml:space="preserve">operation to the GC (M1b–M3b), followed by an idle phase, during which the stored </w:t>
      </w:r>
      <w:proofErr w:type="spellStart"/>
      <w:r>
        <w:t>SNb</w:t>
      </w:r>
      <w:proofErr w:type="spellEnd"/>
      <w:r>
        <w:t xml:space="preserve"> voltage </w:t>
      </w:r>
      <w:r>
        <w:lastRenderedPageBreak/>
        <w:t>deteriorates over time as a result of the various leakage currents. The data deterioration is reproduced on the read port replica (M2c, M3c) using an ideal voltag</w:t>
      </w:r>
      <w:r>
        <w:t xml:space="preserve">e buffer that applies the voltage of </w:t>
      </w:r>
      <w:proofErr w:type="spellStart"/>
      <w:r>
        <w:t>SNb</w:t>
      </w:r>
      <w:proofErr w:type="spellEnd"/>
      <w:r>
        <w:t xml:space="preserve"> to </w:t>
      </w:r>
      <w:proofErr w:type="spellStart"/>
      <w:r>
        <w:t>SNc</w:t>
      </w:r>
      <w:proofErr w:type="spellEnd"/>
      <w:r>
        <w:t>, as presented in Fig. 4(c). Using this setup, the read port replica is constantly enabled and its drive current (</w:t>
      </w:r>
      <w:proofErr w:type="spellStart"/>
      <w:r>
        <w:rPr>
          <w:i/>
        </w:rPr>
        <w:t>i</w:t>
      </w:r>
      <w:r>
        <w:rPr>
          <w:vertAlign w:val="subscript"/>
        </w:rPr>
        <w:t>IDRT</w:t>
      </w:r>
      <w:proofErr w:type="spellEnd"/>
      <w:r>
        <w:t>) is continuously monitored. Therefore, the DRT is determined as the time interval followi</w:t>
      </w:r>
      <w:r>
        <w:t xml:space="preserve">ng the write operation at which the </w:t>
      </w:r>
      <w:proofErr w:type="spellStart"/>
      <w:r>
        <w:rPr>
          <w:i/>
        </w:rPr>
        <w:t>i</w:t>
      </w:r>
      <w:r>
        <w:rPr>
          <w:vertAlign w:val="subscript"/>
        </w:rPr>
        <w:t>IDRT</w:t>
      </w:r>
      <w:proofErr w:type="spellEnd"/>
      <w:r>
        <w:rPr>
          <w:vertAlign w:val="subscript"/>
        </w:rPr>
        <w:t xml:space="preserve"> </w:t>
      </w:r>
      <w:r>
        <w:t xml:space="preserve">crosses the critical </w:t>
      </w:r>
      <w:r>
        <w:rPr>
          <w:i/>
        </w:rPr>
        <w:t>I</w:t>
      </w:r>
      <w:r>
        <w:rPr>
          <w:vertAlign w:val="subscript"/>
        </w:rPr>
        <w:t xml:space="preserve">EDRT </w:t>
      </w:r>
      <w:r>
        <w:t>threshold as determined in the first and second phases.</w:t>
      </w:r>
    </w:p>
    <w:p w:rsidR="002C68B0" w:rsidRDefault="00C1553A">
      <w:pPr>
        <w:spacing w:after="390"/>
      </w:pPr>
      <w:r>
        <w:t>Since the evaluation phase does not rely on any trial-</w:t>
      </w:r>
      <w:proofErr w:type="spellStart"/>
      <w:r>
        <w:t>anderror</w:t>
      </w:r>
      <w:proofErr w:type="spellEnd"/>
      <w:r>
        <w:t xml:space="preserve"> simulations, it can be performed across numerous MC runs in order to evaluate the impact of LPVs on the DRT at feasible run-times without the need of a large number of costly EDA software licen</w:t>
      </w:r>
      <w:r>
        <w:t>ses. Furthermore, as opposed to the VDRT methodology, the effect of LPVs on the read port transistors is considered as well. As the test-bench relies on a replica of the GC read port, the level of variations applied to the read port of the considered GC (M</w:t>
      </w:r>
      <w:r>
        <w:t>2b, M3b) should identically affect the replicated transistors (M2c, M3c) for a consistent evaluation of the DRT across LPVs. This requirement is ensured by correlating the variations applied to the read-port transistors in the simulator settings (i.e., M2b</w:t>
      </w:r>
      <w:r>
        <w:t xml:space="preserve"> with M2c and M3b with M3c for the considered GC).</w:t>
      </w:r>
    </w:p>
    <w:p w:rsidR="002C68B0" w:rsidRDefault="00C1553A">
      <w:pPr>
        <w:pStyle w:val="Heading1"/>
      </w:pPr>
      <w:r>
        <w:rPr>
          <w:sz w:val="20"/>
        </w:rPr>
        <w:lastRenderedPageBreak/>
        <w:t>IV. C</w:t>
      </w:r>
      <w:r>
        <w:t xml:space="preserve">OMPARISON OF </w:t>
      </w:r>
      <w:r>
        <w:rPr>
          <w:sz w:val="20"/>
        </w:rPr>
        <w:t>DRT C</w:t>
      </w:r>
      <w:r>
        <w:t xml:space="preserve">HARACTERIZATION </w:t>
      </w:r>
      <w:r>
        <w:rPr>
          <w:sz w:val="20"/>
        </w:rPr>
        <w:t>M</w:t>
      </w:r>
      <w:r>
        <w:t>ETHODOLOGIES</w:t>
      </w:r>
    </w:p>
    <w:p w:rsidR="002C68B0" w:rsidRDefault="00C1553A">
      <w:pPr>
        <w:spacing w:after="396"/>
      </w:pPr>
      <w:r>
        <w:t>In this section, the IDRT methodology is compared with the existing state-of-the-art EDRT and VDRT methodologies. First, a quantitative analysis of the accuracy achieved by the IDRT methodology is provided and compared to the other methodologies as simulat</w:t>
      </w:r>
      <w:r>
        <w:t>ed on a 3T and 4T all-NMOS GCs at 28nm FD-SOI and 28nm Bulk process technologies. Second, practical aspects of the three competing methodologies are compared.</w:t>
      </w:r>
    </w:p>
    <w:p w:rsidR="002C68B0" w:rsidRDefault="00C1553A">
      <w:pPr>
        <w:spacing w:after="121" w:line="240" w:lineRule="auto"/>
        <w:ind w:left="-3" w:right="-15" w:hanging="10"/>
        <w:jc w:val="left"/>
      </w:pPr>
      <w:r>
        <w:rPr>
          <w:i/>
        </w:rPr>
        <w:t>A. Accuracy of the DRT Characterization Methodologies</w:t>
      </w:r>
    </w:p>
    <w:p w:rsidR="002C68B0" w:rsidRDefault="00C1553A">
      <w:r>
        <w:t>The EDRT methodology provides the DRT value</w:t>
      </w:r>
      <w:r>
        <w:t xml:space="preserve"> with the highest acc</w:t>
      </w:r>
      <w:r>
        <w:t xml:space="preserve">uracy, and therefore it is considered the reference approach to quantify the accuracy of the IDRT and VDRT methodologies. For this analysis, both a 3T all-NMOS and a 4T all-NMOS GC are considered as DUTs for different temperatures and </w:t>
      </w:r>
      <w:r>
        <w:t>for both ‘0’ and ‘1’ data values. Further, the simulations were repeated in both low power (LP) 28 nm FD-SOI and high performance (HP) 28nm Bulk CMOS technologies. Since the 3T GC features a full swing 2T read port, a conventional sense inverter was implem</w:t>
      </w:r>
      <w:r>
        <w:t xml:space="preserve">ented in the EDRT </w:t>
      </w:r>
      <w:proofErr w:type="spellStart"/>
      <w:r>
        <w:t>testbench</w:t>
      </w:r>
      <w:proofErr w:type="spellEnd"/>
      <w:r>
        <w:t>. On the other hand, the limited swing of the 1T read port featured in the 4T GC requires a differential sense-amplifier, which was biased with a reference voltage for comparison with the RBL voltage during read [14].</w:t>
      </w:r>
    </w:p>
    <w:p w:rsidR="002C68B0" w:rsidRDefault="00C1553A">
      <w:r>
        <w:lastRenderedPageBreak/>
        <w:t>The results</w:t>
      </w:r>
      <w:r>
        <w:t xml:space="preserve"> of this comparison are summarized in Table I, which reports the minimum DRTs (among ‘1’ and ‘0’) obtained for the EDRT, VDRT, and IDRT simulations. As expected, the VDRT methodology shows significantly larger errors compared to the IDRT methodology. This </w:t>
      </w:r>
      <w:r>
        <w:t>is because the VDRT does not account for the LPVs of the read port, which results in deviations up-to 83.76% from EDRT simulations. On the other hand, the IDRT methodology provides a maximum</w:t>
      </w:r>
    </w:p>
    <w:p w:rsidR="002C68B0" w:rsidRDefault="00C1553A">
      <w:pPr>
        <w:pStyle w:val="Heading1"/>
      </w:pPr>
      <w:r>
        <w:t>TABLE II</w:t>
      </w:r>
    </w:p>
    <w:p w:rsidR="002C68B0" w:rsidRDefault="00C1553A">
      <w:pPr>
        <w:spacing w:after="212" w:line="240" w:lineRule="auto"/>
        <w:ind w:left="0" w:right="0" w:firstLine="0"/>
        <w:jc w:val="center"/>
      </w:pPr>
      <w:r>
        <w:rPr>
          <w:sz w:val="16"/>
        </w:rPr>
        <w:t>C</w:t>
      </w:r>
      <w:r>
        <w:rPr>
          <w:sz w:val="13"/>
        </w:rPr>
        <w:t xml:space="preserve">OMPARISON OF </w:t>
      </w:r>
      <w:r>
        <w:rPr>
          <w:sz w:val="16"/>
        </w:rPr>
        <w:t>DRT C</w:t>
      </w:r>
      <w:r>
        <w:rPr>
          <w:sz w:val="13"/>
        </w:rPr>
        <w:t xml:space="preserve">HARACTERIZATION </w:t>
      </w:r>
      <w:r>
        <w:rPr>
          <w:sz w:val="16"/>
        </w:rPr>
        <w:t>M</w:t>
      </w:r>
      <w:r>
        <w:rPr>
          <w:sz w:val="13"/>
        </w:rPr>
        <w:t>ETHODOLOGIES</w:t>
      </w:r>
    </w:p>
    <w:p w:rsidR="002C68B0" w:rsidRDefault="00C1553A">
      <w:pPr>
        <w:spacing w:after="494" w:line="240" w:lineRule="auto"/>
        <w:ind w:left="0" w:right="0" w:firstLine="0"/>
        <w:jc w:val="center"/>
      </w:pPr>
      <w:r>
        <w:rPr>
          <w:noProof/>
        </w:rPr>
        <w:drawing>
          <wp:inline distT="0" distB="0" distL="0" distR="0">
            <wp:extent cx="3095625" cy="1035050"/>
            <wp:effectExtent l="0" t="0" r="0" b="0"/>
            <wp:docPr id="106407" name="Picture 106407"/>
            <wp:cNvGraphicFramePr/>
            <a:graphic xmlns:a="http://schemas.openxmlformats.org/drawingml/2006/main">
              <a:graphicData uri="http://schemas.openxmlformats.org/drawingml/2006/picture">
                <pic:pic xmlns:pic="http://schemas.openxmlformats.org/drawingml/2006/picture">
                  <pic:nvPicPr>
                    <pic:cNvPr id="106407" name="Picture 106407"/>
                    <pic:cNvPicPr/>
                  </pic:nvPicPr>
                  <pic:blipFill>
                    <a:blip r:embed="rId18"/>
                    <a:stretch>
                      <a:fillRect/>
                    </a:stretch>
                  </pic:blipFill>
                  <pic:spPr>
                    <a:xfrm>
                      <a:off x="0" y="0"/>
                      <a:ext cx="3095625" cy="1035050"/>
                    </a:xfrm>
                    <a:prstGeom prst="rect">
                      <a:avLst/>
                    </a:prstGeom>
                  </pic:spPr>
                </pic:pic>
              </a:graphicData>
            </a:graphic>
          </wp:inline>
        </w:drawing>
      </w:r>
    </w:p>
    <w:p w:rsidR="002C68B0" w:rsidRDefault="00C1553A">
      <w:pPr>
        <w:spacing w:after="355"/>
        <w:ind w:firstLine="0"/>
      </w:pPr>
      <w:proofErr w:type="gramStart"/>
      <w:r>
        <w:t>devia</w:t>
      </w:r>
      <w:r>
        <w:t>tion</w:t>
      </w:r>
      <w:proofErr w:type="gramEnd"/>
      <w:r>
        <w:t xml:space="preserve"> of only 3.69% due to its effective LPVs tracking of both the write and read ports.</w:t>
      </w:r>
    </w:p>
    <w:p w:rsidR="002C68B0" w:rsidRDefault="00C1553A">
      <w:pPr>
        <w:spacing w:after="48" w:line="240" w:lineRule="auto"/>
        <w:ind w:left="-3" w:right="-15" w:hanging="10"/>
        <w:jc w:val="left"/>
      </w:pPr>
      <w:r>
        <w:rPr>
          <w:i/>
        </w:rPr>
        <w:t>B. Comparison of Practical Aspects in DRT</w:t>
      </w:r>
    </w:p>
    <w:p w:rsidR="002C68B0" w:rsidRDefault="00C1553A">
      <w:pPr>
        <w:spacing w:after="121" w:line="240" w:lineRule="auto"/>
        <w:ind w:left="-3" w:right="-15" w:hanging="10"/>
        <w:jc w:val="left"/>
      </w:pPr>
      <w:r>
        <w:rPr>
          <w:i/>
        </w:rPr>
        <w:t>Characterization Methodologies</w:t>
      </w:r>
    </w:p>
    <w:p w:rsidR="002C68B0" w:rsidRDefault="00C1553A">
      <w:r>
        <w:t>A qualitative comparison based on four relevant practical aspects is provided in Table II for t</w:t>
      </w:r>
      <w:r>
        <w:t>he EDRT, VDRT, and IDRT methodologies. The considered metrics are the accuracy, the complexity of the measurement, the nominal measurement time (i.e., the required time to obtain the DRT under typical operating conditions), the MC measurement time, and the</w:t>
      </w:r>
      <w:r>
        <w:t xml:space="preserve"> number of EDA software </w:t>
      </w:r>
      <w:proofErr w:type="spellStart"/>
      <w:r>
        <w:t>licences</w:t>
      </w:r>
      <w:proofErr w:type="spellEnd"/>
      <w:r>
        <w:t xml:space="preserve"> required to execute a large number of MC runs for LPV analysis.</w:t>
      </w:r>
    </w:p>
    <w:p w:rsidR="002C68B0" w:rsidRDefault="00C1553A">
      <w:r>
        <w:t>Section IV-A has shown that the EDRT methodology provides the highest accuracy and the proposed IDRT method is comparable, while the accuracy of the VDRT metho</w:t>
      </w:r>
      <w:r>
        <w:t xml:space="preserve">dology is limited as it does not include the impact of LPVs on the GC read port. While both the EDRT and the VDRT methodologies can be performed with a single and simple </w:t>
      </w:r>
      <w:proofErr w:type="spellStart"/>
      <w:r>
        <w:t>testbench</w:t>
      </w:r>
      <w:proofErr w:type="spellEnd"/>
      <w:r>
        <w:t>, the IDRT methodology is slightly more complex as it relies on three phases.</w:t>
      </w:r>
      <w:r>
        <w:t xml:space="preserve"> The EDRT methodology relies on the execution of several simulations as the time duration of the idle phase is adjusted to find where the GC starts to fail. Thus, the nominal EDRT methodology takes longer than the VDRT methodology, where the SN voltage is </w:t>
      </w:r>
      <w:r>
        <w:t xml:space="preserve">monitored during a single simulation. </w:t>
      </w:r>
      <w:r w:rsidRPr="005B5DAE">
        <w:rPr>
          <w:highlight w:val="yellow"/>
        </w:rPr>
        <w:t>Among the three approaches, the IDRT method has the longest nominal simulation time since it comprises the EDRT simulation as well as two additional simulations</w:t>
      </w:r>
      <w:r>
        <w:t xml:space="preserve"> (i.e., reference acquisition and evaluation phase). Howev</w:t>
      </w:r>
      <w:r>
        <w:t xml:space="preserve">er, due to the fact that </w:t>
      </w:r>
      <w:r w:rsidRPr="005B5DAE">
        <w:rPr>
          <w:color w:val="FF0000"/>
        </w:rPr>
        <w:t>both VDRT and IDRT methodologies do not require trial-and-error transient simulations when executed in the context of MC simulations, they results in a significantly shorter MC runtime and they do not require a large number of cost</w:t>
      </w:r>
      <w:r w:rsidRPr="005B5DAE">
        <w:rPr>
          <w:color w:val="FF0000"/>
        </w:rPr>
        <w:t>ly EDA software licenses, as opposed to the EDRT method</w:t>
      </w:r>
      <w:r>
        <w:t xml:space="preserve">. Table III depicts the achieved run-times of the three DRT characterization methodologies for a nominal simulation and a varying number </w:t>
      </w:r>
      <w:r>
        <w:lastRenderedPageBreak/>
        <w:t>of Monte Carlo runs. The simulations were initiated on a hyper-t</w:t>
      </w:r>
      <w:r>
        <w:t xml:space="preserve">hreaded 8-core Intel Core i7–3770 processor with 32GB of RAM. The EDRT evaluation was made using the bisection method applied with Cadence’s </w:t>
      </w:r>
      <w:proofErr w:type="spellStart"/>
      <w:r>
        <w:t>Ultrasim</w:t>
      </w:r>
      <w:proofErr w:type="spellEnd"/>
      <w:r>
        <w:t xml:space="preserve"> simulator, while the Monte-Carlo analysis was conducted using Cadence’s </w:t>
      </w:r>
      <w:proofErr w:type="spellStart"/>
      <w:r>
        <w:t>Spectre</w:t>
      </w:r>
      <w:proofErr w:type="spellEnd"/>
      <w:r>
        <w:t xml:space="preserve"> simulator utilizing 8 </w:t>
      </w:r>
      <w:proofErr w:type="spellStart"/>
      <w:r>
        <w:t>Spec</w:t>
      </w:r>
      <w:r>
        <w:t>tre</w:t>
      </w:r>
      <w:proofErr w:type="spellEnd"/>
      <w:r>
        <w:t xml:space="preserve"> licenses. The nominal simulation time of the IDRT methodology was found to be 46 seconds, which is slightly longer than the EDRT run due to the additional, second phase current acquisition. However, the evaluation phase of the IDRT</w:t>
      </w:r>
    </w:p>
    <w:p w:rsidR="002C68B0" w:rsidRDefault="00C1553A">
      <w:pPr>
        <w:pStyle w:val="Heading1"/>
      </w:pPr>
      <w:r>
        <w:t>TABLE III</w:t>
      </w:r>
    </w:p>
    <w:p w:rsidR="002C68B0" w:rsidRDefault="00C1553A">
      <w:pPr>
        <w:spacing w:after="207" w:line="240" w:lineRule="auto"/>
        <w:ind w:left="53" w:right="0" w:firstLine="0"/>
        <w:jc w:val="left"/>
      </w:pPr>
      <w:r>
        <w:rPr>
          <w:sz w:val="16"/>
        </w:rPr>
        <w:t>R</w:t>
      </w:r>
      <w:r>
        <w:rPr>
          <w:sz w:val="13"/>
        </w:rPr>
        <w:t xml:space="preserve">UNTIME </w:t>
      </w:r>
      <w:r>
        <w:rPr>
          <w:sz w:val="16"/>
        </w:rPr>
        <w:t>C</w:t>
      </w:r>
      <w:r>
        <w:rPr>
          <w:sz w:val="13"/>
        </w:rPr>
        <w:t>O</w:t>
      </w:r>
      <w:r>
        <w:rPr>
          <w:sz w:val="13"/>
        </w:rPr>
        <w:t xml:space="preserve">MPARISON OF </w:t>
      </w:r>
      <w:r>
        <w:rPr>
          <w:sz w:val="16"/>
        </w:rPr>
        <w:t>DRT C</w:t>
      </w:r>
      <w:r>
        <w:rPr>
          <w:sz w:val="13"/>
        </w:rPr>
        <w:t xml:space="preserve">HARACTERIZATION </w:t>
      </w:r>
      <w:r>
        <w:rPr>
          <w:sz w:val="16"/>
        </w:rPr>
        <w:t>M</w:t>
      </w:r>
      <w:r>
        <w:rPr>
          <w:sz w:val="13"/>
        </w:rPr>
        <w:t>ETHODOLOGIES</w:t>
      </w:r>
    </w:p>
    <w:p w:rsidR="002C68B0" w:rsidRDefault="00C1553A">
      <w:pPr>
        <w:spacing w:after="676" w:line="240" w:lineRule="auto"/>
        <w:ind w:left="5" w:right="0" w:firstLine="0"/>
        <w:jc w:val="left"/>
      </w:pPr>
      <w:r>
        <w:rPr>
          <w:noProof/>
        </w:rPr>
        <w:drawing>
          <wp:inline distT="0" distB="0" distL="0" distR="0">
            <wp:extent cx="3178175" cy="847725"/>
            <wp:effectExtent l="0" t="0" r="0" b="0"/>
            <wp:docPr id="106409" name="Picture 106409"/>
            <wp:cNvGraphicFramePr/>
            <a:graphic xmlns:a="http://schemas.openxmlformats.org/drawingml/2006/main">
              <a:graphicData uri="http://schemas.openxmlformats.org/drawingml/2006/picture">
                <pic:pic xmlns:pic="http://schemas.openxmlformats.org/drawingml/2006/picture">
                  <pic:nvPicPr>
                    <pic:cNvPr id="106409" name="Picture 106409"/>
                    <pic:cNvPicPr/>
                  </pic:nvPicPr>
                  <pic:blipFill>
                    <a:blip r:embed="rId19"/>
                    <a:stretch>
                      <a:fillRect/>
                    </a:stretch>
                  </pic:blipFill>
                  <pic:spPr>
                    <a:xfrm>
                      <a:off x="0" y="0"/>
                      <a:ext cx="3178175" cy="847725"/>
                    </a:xfrm>
                    <a:prstGeom prst="rect">
                      <a:avLst/>
                    </a:prstGeom>
                  </pic:spPr>
                </pic:pic>
              </a:graphicData>
            </a:graphic>
          </wp:inline>
        </w:drawing>
      </w:r>
    </w:p>
    <w:p w:rsidR="002C68B0" w:rsidRDefault="00C1553A">
      <w:pPr>
        <w:ind w:firstLine="0"/>
      </w:pPr>
      <w:proofErr w:type="gramStart"/>
      <w:r>
        <w:t>methodology</w:t>
      </w:r>
      <w:proofErr w:type="gramEnd"/>
      <w:r>
        <w:t>, which was conducted using 1k, 10k, and 100 k Monte-Carlo runs, was timed at 136 seconds, 1647 seconds, and approximately 4.4 hours, respectively, which are comparable to the Monte-Carlo run-times of the VDRT methodology. The slightly longer ru</w:t>
      </w:r>
      <w:r>
        <w:t>n-times of IDRT compared to VDRT are due to the additional components in the evaluation test-bench which are used to replicate the read port of the GC. As expected, the Monte-Carlo run-time of the EDRT methodology is over an order of magnitude longer, reac</w:t>
      </w:r>
      <w:r>
        <w:t>hing over 5 days for 100k runs.</w:t>
      </w:r>
    </w:p>
    <w:p w:rsidR="002C68B0" w:rsidRDefault="00C1553A">
      <w:pPr>
        <w:spacing w:after="336"/>
      </w:pPr>
      <w:r>
        <w:t>To summarize, the VDRT methodology is suitable for a fast DRT evaluation in the early stage of the design phase. For a rigorous design-space exploration as well as for corner analysis (e.g., GPVs and temperature points), the</w:t>
      </w:r>
      <w:r>
        <w:t xml:space="preserve"> EDRT method should be preferred as it provides the highest measurement accuracy. An accurate evaluation of the DRT across LPVs is enabled by the IDRT approach without the need of a large number of EDA software licenses.</w:t>
      </w:r>
    </w:p>
    <w:p w:rsidR="002C68B0" w:rsidRDefault="00C1553A">
      <w:pPr>
        <w:spacing w:after="72" w:line="241" w:lineRule="auto"/>
        <w:ind w:left="744" w:right="745" w:hanging="10"/>
        <w:jc w:val="center"/>
      </w:pPr>
      <w:r>
        <w:t>V. DRT M</w:t>
      </w:r>
      <w:r>
        <w:rPr>
          <w:sz w:val="16"/>
        </w:rPr>
        <w:t xml:space="preserve">EASUREMENT OF A </w:t>
      </w:r>
      <w:r>
        <w:t xml:space="preserve">3T GC </w:t>
      </w:r>
      <w:r>
        <w:rPr>
          <w:sz w:val="16"/>
        </w:rPr>
        <w:t>AND A</w:t>
      </w:r>
      <w:r>
        <w:rPr>
          <w:sz w:val="16"/>
        </w:rPr>
        <w:t xml:space="preserve"> </w:t>
      </w:r>
      <w:r>
        <w:t xml:space="preserve">4T GC </w:t>
      </w:r>
      <w:r>
        <w:rPr>
          <w:sz w:val="16"/>
        </w:rPr>
        <w:t xml:space="preserve">IN </w:t>
      </w:r>
      <w:r>
        <w:t>28 nm FD-SOI</w:t>
      </w:r>
    </w:p>
    <w:p w:rsidR="002C68B0" w:rsidRPr="00EF323B" w:rsidRDefault="00C1553A">
      <w:pPr>
        <w:rPr>
          <w:color w:val="FF0000"/>
        </w:rPr>
      </w:pPr>
      <w:r>
        <w:t>In this section, the DRTs of a 3T all-NMOS and a 4 T all-NMOS GCs designed in 28nm FD-SOI process technology are measured for different design choices as well as for global process and temperature variations using the EDRT methodolog</w:t>
      </w:r>
      <w:r>
        <w:t xml:space="preserve">y, while the impact of LPVs is evaluated with the IDRT approach. The following design and corner parameters are considered as a baseline: </w:t>
      </w:r>
      <w:r w:rsidRPr="00EF323B">
        <w:rPr>
          <w:color w:val="FF0000"/>
        </w:rPr>
        <w:t>0.9V supply voltage, 1.3V boosting voltage to drive the WWL, 0.7V reference voltage for the 4T GC-</w:t>
      </w:r>
      <w:proofErr w:type="spellStart"/>
      <w:r w:rsidRPr="00EF323B">
        <w:rPr>
          <w:color w:val="FF0000"/>
        </w:rPr>
        <w:t>eDRAM</w:t>
      </w:r>
      <w:proofErr w:type="spellEnd"/>
      <w:r w:rsidRPr="00EF323B">
        <w:rPr>
          <w:color w:val="FF0000"/>
        </w:rPr>
        <w:t xml:space="preserve"> sense amplifie</w:t>
      </w:r>
      <w:r w:rsidRPr="00EF323B">
        <w:rPr>
          <w:color w:val="FF0000"/>
        </w:rPr>
        <w:t>r, minimum-sized transistors, a load of 127 GCs on the RBL to emulate a GC-</w:t>
      </w:r>
      <w:proofErr w:type="spellStart"/>
      <w:r w:rsidRPr="00EF323B">
        <w:rPr>
          <w:color w:val="FF0000"/>
        </w:rPr>
        <w:t>eDRAM</w:t>
      </w:r>
      <w:proofErr w:type="spellEnd"/>
      <w:r w:rsidRPr="00EF323B">
        <w:rPr>
          <w:color w:val="FF0000"/>
        </w:rPr>
        <w:t xml:space="preserve"> of 128 rows, body biasing (BB) is not applied, 1ns period for single-cycle write and read operations, temperature at 27</w:t>
      </w:r>
      <w:r w:rsidRPr="00EF323B">
        <w:rPr>
          <w:rFonts w:ascii="Calibri" w:eastAsia="Calibri" w:hAnsi="Calibri" w:cs="Calibri"/>
          <w:color w:val="FF0000"/>
          <w:sz w:val="15"/>
        </w:rPr>
        <w:t>◦</w:t>
      </w:r>
      <w:r w:rsidRPr="00EF323B">
        <w:rPr>
          <w:color w:val="FF0000"/>
        </w:rPr>
        <w:t>C, and typical (TT) process corner.</w:t>
      </w:r>
    </w:p>
    <w:p w:rsidR="002C68B0" w:rsidRDefault="00C1553A">
      <w:pPr>
        <w:spacing w:after="367"/>
      </w:pPr>
      <w:r>
        <w:t xml:space="preserve">For the considered </w:t>
      </w:r>
      <w:r>
        <w:t>baseline operating point, the analyzed 3T and 4T GCs have nominal DRTs of 673ns and 457</w:t>
      </w:r>
      <w:r>
        <w:rPr>
          <w:rFonts w:ascii="Calibri" w:eastAsia="Calibri" w:hAnsi="Calibri" w:cs="Calibri"/>
          <w:i/>
        </w:rPr>
        <w:t>μ</w:t>
      </w:r>
      <w:r>
        <w:t xml:space="preserve">s, </w:t>
      </w:r>
      <w:r>
        <w:lastRenderedPageBreak/>
        <w:t>respectively, as measured with the EDRT method with the WBL forced to the opposite value corresponding to the worst case.</w:t>
      </w:r>
    </w:p>
    <w:p w:rsidR="002C68B0" w:rsidRDefault="00C1553A">
      <w:pPr>
        <w:numPr>
          <w:ilvl w:val="0"/>
          <w:numId w:val="4"/>
        </w:numPr>
        <w:spacing w:after="121" w:line="240" w:lineRule="auto"/>
        <w:ind w:right="-15" w:hanging="243"/>
        <w:jc w:val="left"/>
      </w:pPr>
      <w:r>
        <w:rPr>
          <w:i/>
        </w:rPr>
        <w:t>Exploration of the Design Space</w:t>
      </w:r>
    </w:p>
    <w:p w:rsidR="002C68B0" w:rsidRDefault="00EF323B">
      <w:r>
        <w:rPr>
          <w:noProof/>
        </w:rPr>
        <w:drawing>
          <wp:anchor distT="0" distB="0" distL="114300" distR="114300" simplePos="0" relativeHeight="251658240" behindDoc="0" locked="0" layoutInCell="1" allowOverlap="0" wp14:anchorId="76C8E738" wp14:editId="145B3519">
            <wp:simplePos x="0" y="0"/>
            <wp:positionH relativeFrom="column">
              <wp:posOffset>-635</wp:posOffset>
            </wp:positionH>
            <wp:positionV relativeFrom="paragraph">
              <wp:posOffset>799554</wp:posOffset>
            </wp:positionV>
            <wp:extent cx="6527800" cy="3940175"/>
            <wp:effectExtent l="0" t="0" r="6350" b="3175"/>
            <wp:wrapSquare wrapText="bothSides"/>
            <wp:docPr id="107373" name="Picture 107373"/>
            <wp:cNvGraphicFramePr/>
            <a:graphic xmlns:a="http://schemas.openxmlformats.org/drawingml/2006/main">
              <a:graphicData uri="http://schemas.openxmlformats.org/drawingml/2006/picture">
                <pic:pic xmlns:pic="http://schemas.openxmlformats.org/drawingml/2006/picture">
                  <pic:nvPicPr>
                    <pic:cNvPr id="107373" name="Picture 107373"/>
                    <pic:cNvPicPr/>
                  </pic:nvPicPr>
                  <pic:blipFill>
                    <a:blip r:embed="rId20"/>
                    <a:stretch>
                      <a:fillRect/>
                    </a:stretch>
                  </pic:blipFill>
                  <pic:spPr>
                    <a:xfrm>
                      <a:off x="0" y="0"/>
                      <a:ext cx="6527800" cy="3940175"/>
                    </a:xfrm>
                    <a:prstGeom prst="rect">
                      <a:avLst/>
                    </a:prstGeom>
                  </pic:spPr>
                </pic:pic>
              </a:graphicData>
            </a:graphic>
          </wp:anchor>
        </w:drawing>
      </w:r>
      <w:r w:rsidR="00C1553A">
        <w:t>In addition to the choice of the GC topology, several design choices can improve the DRT of a given GC [10] and the impact of some of the most effective ones are evaluated in this subsection for the baseline 3T all-NMOS GC. The design space includes differ</w:t>
      </w:r>
      <w:r w:rsidR="00C1553A">
        <w:t xml:space="preserve">ent values for the length of the write </w:t>
      </w:r>
      <w:r w:rsidR="00C1553A">
        <w:t xml:space="preserve">leakage through the write transistor is highly reduced. The leakage current can be further decreased by increasing the threshold voltage of the write transistor with the application of RBB. In particular, the DRT is </w:t>
      </w:r>
      <w:r w:rsidR="00C1553A">
        <w:t>improved by 4</w:t>
      </w:r>
      <w:r w:rsidR="00C1553A">
        <w:rPr>
          <w:rFonts w:ascii="Calibri" w:eastAsia="Calibri" w:hAnsi="Calibri" w:cs="Calibri"/>
        </w:rPr>
        <w:t xml:space="preserve">× </w:t>
      </w:r>
      <w:r w:rsidR="00C1553A">
        <w:t>when an RBB voltage of 0.75V is applied to the write transistor. Further</w:t>
      </w:r>
    </w:p>
    <w:p w:rsidR="002C68B0" w:rsidRDefault="00C1553A">
      <w:pPr>
        <w:ind w:firstLine="0"/>
      </w:pPr>
      <w:r>
        <w:t>DRT improvements of up-to 2</w:t>
      </w:r>
      <w:r>
        <w:rPr>
          <w:rFonts w:ascii="Calibri" w:eastAsia="Calibri" w:hAnsi="Calibri" w:cs="Calibri"/>
        </w:rPr>
        <w:t xml:space="preserve">× </w:t>
      </w:r>
      <w:r>
        <w:t>can be achieved by doubling</w:t>
      </w:r>
    </w:p>
    <w:p w:rsidR="002C68B0" w:rsidRDefault="00C1553A">
      <w:pPr>
        <w:spacing w:after="422"/>
        <w:ind w:firstLine="5"/>
      </w:pPr>
      <w:r>
        <w:rPr>
          <w:i/>
        </w:rPr>
        <w:t>W</w:t>
      </w:r>
      <w:r>
        <w:rPr>
          <w:vertAlign w:val="subscript"/>
        </w:rPr>
        <w:t xml:space="preserve">M3 </w:t>
      </w:r>
      <w:r>
        <w:t>to ensure a successful read of a more degraded stored ‘1’ (worst-case stored data for the considered GC), b</w:t>
      </w:r>
      <w:r>
        <w:t>y a 50% reduction on the number of rows in the GC-</w:t>
      </w:r>
      <w:proofErr w:type="spellStart"/>
      <w:r>
        <w:t>eDRAMs</w:t>
      </w:r>
      <w:proofErr w:type="spellEnd"/>
      <w:r>
        <w:t xml:space="preserve"> which reduces </w:t>
      </w:r>
      <w:r>
        <w:rPr>
          <w:i/>
        </w:rPr>
        <w:t>C</w:t>
      </w:r>
      <w:r>
        <w:rPr>
          <w:vertAlign w:val="subscript"/>
        </w:rPr>
        <w:t xml:space="preserve">RBL </w:t>
      </w:r>
      <w:r>
        <w:t>and diminishes the required drive current from the GC read port for a successful read, or by doubling the read-access time (</w:t>
      </w:r>
      <w:r>
        <w:rPr>
          <w:i/>
        </w:rPr>
        <w:t>T</w:t>
      </w:r>
      <w:r>
        <w:rPr>
          <w:vertAlign w:val="subscript"/>
        </w:rPr>
        <w:t>read</w:t>
      </w:r>
      <w:r>
        <w:t>) to allow more time to discharge the RBL when a we</w:t>
      </w:r>
      <w:r>
        <w:t>aker ‘1’ is stored in the GC. The considered design choices can also be applied together to further increase the overall DRT improvement.</w:t>
      </w:r>
    </w:p>
    <w:p w:rsidR="002C68B0" w:rsidRDefault="00C1553A">
      <w:pPr>
        <w:numPr>
          <w:ilvl w:val="0"/>
          <w:numId w:val="4"/>
        </w:numPr>
        <w:spacing w:after="121" w:line="240" w:lineRule="auto"/>
        <w:ind w:right="-15" w:hanging="243"/>
        <w:jc w:val="left"/>
      </w:pPr>
      <w:r>
        <w:rPr>
          <w:i/>
        </w:rPr>
        <w:t>Global Process and Temperature Variations</w:t>
      </w:r>
    </w:p>
    <w:p w:rsidR="002C68B0" w:rsidRDefault="00C1553A">
      <w:r>
        <w:lastRenderedPageBreak/>
        <w:t>Both manufacturing and environmental variations can degrade the DRT. In this</w:t>
      </w:r>
      <w:r>
        <w:t xml:space="preserve"> subsection, the impact of global process and temperature corners on the DRT is evaluated with the use of the EDRT method. In particular, the slow (SS), typical (TT), and fast (FF) process corners have been considered together with 0</w:t>
      </w:r>
      <w:r>
        <w:rPr>
          <w:rFonts w:ascii="Calibri" w:eastAsia="Calibri" w:hAnsi="Calibri" w:cs="Calibri"/>
          <w:sz w:val="15"/>
        </w:rPr>
        <w:t>◦</w:t>
      </w:r>
      <w:r>
        <w:t>C, 27</w:t>
      </w:r>
      <w:r>
        <w:rPr>
          <w:rFonts w:ascii="Calibri" w:eastAsia="Calibri" w:hAnsi="Calibri" w:cs="Calibri"/>
          <w:sz w:val="15"/>
        </w:rPr>
        <w:t>◦</w:t>
      </w:r>
      <w:r>
        <w:t>C, and 85</w:t>
      </w:r>
      <w:r>
        <w:rPr>
          <w:rFonts w:ascii="Calibri" w:eastAsia="Calibri" w:hAnsi="Calibri" w:cs="Calibri"/>
          <w:sz w:val="15"/>
        </w:rPr>
        <w:t>◦</w:t>
      </w:r>
      <w:r>
        <w:t>C as t</w:t>
      </w:r>
      <w:r>
        <w:t>emperature points.</w:t>
      </w:r>
    </w:p>
    <w:p w:rsidR="002C68B0" w:rsidRDefault="00C1553A">
      <w:r>
        <w:t>The results of the EDRT analysis for global process and temperature variations are summarized in Fig. 6 for both a 3T GC and a 4T GC. For the case of a 3T GC (Fig. 6(a)), the worst degradation of the DRT is achieved at high temperatures,</w:t>
      </w:r>
      <w:r>
        <w:t xml:space="preserve"> where the </w:t>
      </w:r>
      <w:r>
        <w:rPr>
          <w:i/>
        </w:rPr>
        <w:t>V</w:t>
      </w:r>
      <w:r>
        <w:rPr>
          <w:vertAlign w:val="subscript"/>
        </w:rPr>
        <w:t xml:space="preserve">T </w:t>
      </w:r>
      <w:r>
        <w:t>of the write transistor is reduced and therefore its sub-threshold leakage current increases, resulting in a faster SN voltage deterioration. In particular, the DRT is reduced by a factor 9</w:t>
      </w:r>
      <w:r>
        <w:rPr>
          <w:rFonts w:ascii="Calibri" w:eastAsia="Calibri" w:hAnsi="Calibri" w:cs="Calibri"/>
        </w:rPr>
        <w:t xml:space="preserve">× </w:t>
      </w:r>
      <w:r>
        <w:t>at 85</w:t>
      </w:r>
      <w:r>
        <w:rPr>
          <w:rFonts w:ascii="Calibri" w:eastAsia="Calibri" w:hAnsi="Calibri" w:cs="Calibri"/>
          <w:sz w:val="15"/>
        </w:rPr>
        <w:t>◦</w:t>
      </w:r>
      <w:r>
        <w:t xml:space="preserve">C. </w:t>
      </w:r>
      <w:proofErr w:type="gramStart"/>
      <w:r>
        <w:t>Considering</w:t>
      </w:r>
      <w:proofErr w:type="gramEnd"/>
      <w:r>
        <w:t xml:space="preserve"> the different process corners,</w:t>
      </w:r>
      <w:r>
        <w:t xml:space="preserve"> fast dies results in a DRT degradation of</w:t>
      </w:r>
    </w:p>
    <w:p w:rsidR="002C68B0" w:rsidRDefault="00C1553A">
      <w:pPr>
        <w:spacing w:after="446" w:line="240" w:lineRule="auto"/>
        <w:ind w:left="-3" w:right="-3" w:hanging="10"/>
      </w:pPr>
      <w:proofErr w:type="gramStart"/>
      <w:r>
        <w:rPr>
          <w:sz w:val="16"/>
        </w:rPr>
        <w:t>to</w:t>
      </w:r>
      <w:proofErr w:type="gramEnd"/>
      <w:r>
        <w:rPr>
          <w:sz w:val="16"/>
        </w:rPr>
        <w:t xml:space="preserve"> the nominal (TT27</w:t>
      </w:r>
      <w:r>
        <w:rPr>
          <w:rFonts w:ascii="Calibri" w:eastAsia="Calibri" w:hAnsi="Calibri" w:cs="Calibri"/>
          <w:sz w:val="14"/>
        </w:rPr>
        <w:t>◦</w:t>
      </w:r>
      <w:r>
        <w:rPr>
          <w:sz w:val="16"/>
        </w:rPr>
        <w:t>C) DRT.</w:t>
      </w:r>
    </w:p>
    <w:p w:rsidR="002C68B0" w:rsidRDefault="00C1553A">
      <w:pPr>
        <w:ind w:firstLine="0"/>
      </w:pPr>
      <w:proofErr w:type="gramStart"/>
      <w:r>
        <w:t>only</w:t>
      </w:r>
      <w:proofErr w:type="gramEnd"/>
      <w:r>
        <w:t xml:space="preserve"> 11% due to a relatively limited increase in sub-threshold conduction.</w:t>
      </w:r>
    </w:p>
    <w:p w:rsidR="002C68B0" w:rsidRDefault="00C1553A">
      <w:r>
        <w:t>On the other hand, for a 4T GC (Fig. 6(b)), the worst DRT is found at the FF corner, where the DRT degrades b</w:t>
      </w:r>
      <w:r>
        <w:t xml:space="preserve">y 13 </w:t>
      </w:r>
      <w:r>
        <w:rPr>
          <w:rFonts w:ascii="Calibri" w:eastAsia="Calibri" w:hAnsi="Calibri" w:cs="Calibri"/>
        </w:rPr>
        <w:t xml:space="preserve">× </w:t>
      </w:r>
      <w:r>
        <w:t>compared to its nominal value. This can be attributed to the faster RBL discharge for a weak ‘0’ level, resulting in the RBL voltage decreasing beneath the reference voltage of the sense amplifier, hence resulting in a read failure. On the contrary,</w:t>
      </w:r>
      <w:r>
        <w:t xml:space="preserve"> the SS corner resulted in a DRT improvement of almost 10 </w:t>
      </w:r>
      <w:r>
        <w:rPr>
          <w:rFonts w:ascii="Calibri" w:eastAsia="Calibri" w:hAnsi="Calibri" w:cs="Calibri"/>
        </w:rPr>
        <w:t xml:space="preserve">× </w:t>
      </w:r>
      <w:r>
        <w:t xml:space="preserve">due to the longer retention of ‘0’. Compared to the 3T GC, temperature variation has a lower effect on the SN voltage, since the increased sub-threshold leakage from the WBL is compensated </w:t>
      </w:r>
      <w:r>
        <w:lastRenderedPageBreak/>
        <w:t xml:space="preserve">by the </w:t>
      </w:r>
      <w:r>
        <w:t>internal feedback. On the other hand, the effect of temperature inversion [25] at high temperatures</w:t>
      </w:r>
    </w:p>
    <w:p w:rsidR="002C68B0" w:rsidRDefault="00C1553A">
      <w:pPr>
        <w:spacing w:after="291"/>
        <w:ind w:firstLine="0"/>
      </w:pPr>
      <w:r>
        <w:t>(i.e., 85</w:t>
      </w:r>
      <w:r>
        <w:rPr>
          <w:rFonts w:ascii="Calibri" w:eastAsia="Calibri" w:hAnsi="Calibri" w:cs="Calibri"/>
          <w:sz w:val="15"/>
        </w:rPr>
        <w:t>◦</w:t>
      </w:r>
      <w:r>
        <w:t>C) implies a higher read current, resulting in an almost 6</w:t>
      </w:r>
      <w:r>
        <w:rPr>
          <w:rFonts w:ascii="Calibri" w:eastAsia="Calibri" w:hAnsi="Calibri" w:cs="Calibri"/>
        </w:rPr>
        <w:t xml:space="preserve">× </w:t>
      </w:r>
      <w:r>
        <w:t>lower DRT of the ‘0’ level.</w:t>
      </w:r>
    </w:p>
    <w:p w:rsidR="002C68B0" w:rsidRDefault="00C1553A">
      <w:pPr>
        <w:spacing w:after="121" w:line="240" w:lineRule="auto"/>
        <w:ind w:left="-3" w:right="-15" w:hanging="10"/>
        <w:jc w:val="left"/>
      </w:pPr>
      <w:r>
        <w:rPr>
          <w:i/>
        </w:rPr>
        <w:t>C. Local Process Variations</w:t>
      </w:r>
    </w:p>
    <w:p w:rsidR="002C68B0" w:rsidRDefault="00C1553A">
      <w:r>
        <w:t>LPVs also affect the sub-threshold conduction and read current strength, and therefore, they significantly impact the DRT of GCs. In this subsection, the IDRT measurement is performed for the 3T and 4T GCs across LPVs with 10k MC runs including device mism</w:t>
      </w:r>
      <w:r>
        <w:t>atch around a typical (TT) corner at room temperature.</w:t>
      </w:r>
    </w:p>
    <w:p w:rsidR="002C68B0" w:rsidRDefault="00C1553A">
      <w:r>
        <w:t xml:space="preserve">The results of the LPV analysis are summarized in Fig. </w:t>
      </w:r>
      <w:proofErr w:type="gramStart"/>
      <w:r>
        <w:t>7 ,</w:t>
      </w:r>
      <w:proofErr w:type="gramEnd"/>
      <w:r>
        <w:t xml:space="preserve"> where both a ‘0’ and a ‘1’ have been considered for the stored data. For the 3T GC, ‘1’ is the worst-case data for the DRT where 99.99% of the</w:t>
      </w:r>
      <w:r>
        <w:t xml:space="preserve"> collected DRT values are larger than 38ns which corresponds to a 17</w:t>
      </w:r>
      <w:r>
        <w:rPr>
          <w:rFonts w:ascii="Calibri" w:eastAsia="Calibri" w:hAnsi="Calibri" w:cs="Calibri"/>
        </w:rPr>
        <w:t xml:space="preserve">× </w:t>
      </w:r>
      <w:r>
        <w:t>degradation as compared to</w:t>
      </w:r>
    </w:p>
    <w:tbl>
      <w:tblPr>
        <w:tblStyle w:val="TableGrid"/>
        <w:tblpPr w:vertAnchor="text" w:horzAnchor="margin" w:tblpX="2" w:tblpY="-5954"/>
        <w:tblOverlap w:val="never"/>
        <w:tblW w:w="10289" w:type="dxa"/>
        <w:tblInd w:w="0" w:type="dxa"/>
        <w:tblCellMar>
          <w:top w:w="0" w:type="dxa"/>
          <w:left w:w="0" w:type="dxa"/>
          <w:bottom w:w="0" w:type="dxa"/>
          <w:right w:w="0" w:type="dxa"/>
        </w:tblCellMar>
        <w:tblLook w:val="04A0" w:firstRow="1" w:lastRow="0" w:firstColumn="1" w:lastColumn="0" w:noHBand="0" w:noVBand="1"/>
      </w:tblPr>
      <w:tblGrid>
        <w:gridCol w:w="10289"/>
      </w:tblGrid>
      <w:tr w:rsidR="002C68B0">
        <w:tc>
          <w:tcPr>
            <w:tcW w:w="10280" w:type="dxa"/>
            <w:tcBorders>
              <w:top w:val="nil"/>
              <w:left w:val="nil"/>
              <w:bottom w:val="nil"/>
              <w:right w:val="nil"/>
            </w:tcBorders>
          </w:tcPr>
          <w:p w:rsidR="002C68B0" w:rsidRDefault="00C1553A">
            <w:pPr>
              <w:spacing w:after="232" w:line="240" w:lineRule="auto"/>
              <w:ind w:left="0" w:right="0" w:firstLine="0"/>
              <w:jc w:val="center"/>
            </w:pPr>
            <w:r>
              <w:rPr>
                <w:noProof/>
              </w:rPr>
              <w:drawing>
                <wp:inline distT="0" distB="0" distL="0" distR="0">
                  <wp:extent cx="6273800" cy="3511550"/>
                  <wp:effectExtent l="0" t="0" r="0" b="0"/>
                  <wp:docPr id="108078" name="Picture 108078"/>
                  <wp:cNvGraphicFramePr/>
                  <a:graphic xmlns:a="http://schemas.openxmlformats.org/drawingml/2006/main">
                    <a:graphicData uri="http://schemas.openxmlformats.org/drawingml/2006/picture">
                      <pic:pic xmlns:pic="http://schemas.openxmlformats.org/drawingml/2006/picture">
                        <pic:nvPicPr>
                          <pic:cNvPr id="108078" name="Picture 108078"/>
                          <pic:cNvPicPr/>
                        </pic:nvPicPr>
                        <pic:blipFill>
                          <a:blip r:embed="rId21"/>
                          <a:stretch>
                            <a:fillRect/>
                          </a:stretch>
                        </pic:blipFill>
                        <pic:spPr>
                          <a:xfrm>
                            <a:off x="0" y="0"/>
                            <a:ext cx="6273800" cy="3511550"/>
                          </a:xfrm>
                          <a:prstGeom prst="rect">
                            <a:avLst/>
                          </a:prstGeom>
                        </pic:spPr>
                      </pic:pic>
                    </a:graphicData>
                  </a:graphic>
                </wp:inline>
              </w:drawing>
            </w:r>
          </w:p>
          <w:p w:rsidR="002C68B0" w:rsidRDefault="00C1553A">
            <w:pPr>
              <w:spacing w:after="0" w:line="276" w:lineRule="auto"/>
              <w:ind w:left="0" w:right="0" w:firstLine="0"/>
            </w:pPr>
            <w:r>
              <w:rPr>
                <w:sz w:val="16"/>
              </w:rPr>
              <w:t>Fig. 7. Data retention time (DRT) of the 3T and 4T GCs measured across local process variations (LPVs) with the current-based DRT (IDRT) method for</w:t>
            </w:r>
          </w:p>
        </w:tc>
      </w:tr>
    </w:tbl>
    <w:p w:rsidR="002C68B0" w:rsidRDefault="00C1553A">
      <w:pPr>
        <w:spacing w:after="160" w:line="240" w:lineRule="auto"/>
        <w:ind w:left="-3" w:right="-3" w:hanging="10"/>
      </w:pPr>
      <w:proofErr w:type="gramStart"/>
      <w:r>
        <w:rPr>
          <w:sz w:val="16"/>
        </w:rPr>
        <w:t>differen</w:t>
      </w:r>
      <w:r>
        <w:rPr>
          <w:sz w:val="16"/>
        </w:rPr>
        <w:t>t</w:t>
      </w:r>
      <w:proofErr w:type="gramEnd"/>
      <w:r>
        <w:rPr>
          <w:sz w:val="16"/>
        </w:rPr>
        <w:t xml:space="preserve"> data.</w:t>
      </w:r>
    </w:p>
    <w:p w:rsidR="002C68B0" w:rsidRDefault="00C1553A">
      <w:pPr>
        <w:spacing w:after="404"/>
        <w:ind w:firstLine="0"/>
      </w:pPr>
      <w:proofErr w:type="gramStart"/>
      <w:r>
        <w:t>the</w:t>
      </w:r>
      <w:proofErr w:type="gramEnd"/>
      <w:r>
        <w:t xml:space="preserve"> nominal DRT measurement. The average DRT was found to be 680ns, which deviates by 1% from the value found at the nominal IDRT simulation, as reported in Table I. For the 4T GC, the DRTs of ‘1’ and ‘0’ are comparable, with ‘0’ yielding a slightl</w:t>
      </w:r>
      <w:r>
        <w:t>y lower DRT and its average found at 460</w:t>
      </w:r>
      <w:r>
        <w:rPr>
          <w:rFonts w:ascii="Calibri" w:eastAsia="Calibri" w:hAnsi="Calibri" w:cs="Calibri"/>
          <w:i/>
        </w:rPr>
        <w:t>μ</w:t>
      </w:r>
      <w:r>
        <w:t>s, compared to 496</w:t>
      </w:r>
      <w:r>
        <w:rPr>
          <w:rFonts w:ascii="Calibri" w:eastAsia="Calibri" w:hAnsi="Calibri" w:cs="Calibri"/>
          <w:i/>
        </w:rPr>
        <w:t>μ</w:t>
      </w:r>
      <w:r>
        <w:t>s for ‘1’. The average DRT corresponds to the value reported in Table I as extracted from the nominal IDRT simulation, found at 459</w:t>
      </w:r>
      <w:r>
        <w:rPr>
          <w:rFonts w:ascii="Calibri" w:eastAsia="Calibri" w:hAnsi="Calibri" w:cs="Calibri"/>
          <w:i/>
        </w:rPr>
        <w:t>μ</w:t>
      </w:r>
      <w:r>
        <w:t>s. The minimum DRTs for ‘0’ and ‘1’ under LPVs are found at 14.5</w:t>
      </w:r>
      <w:r>
        <w:rPr>
          <w:rFonts w:ascii="Calibri" w:eastAsia="Calibri" w:hAnsi="Calibri" w:cs="Calibri"/>
          <w:i/>
        </w:rPr>
        <w:t>μ</w:t>
      </w:r>
      <w:r>
        <w:t>s and 18.7</w:t>
      </w:r>
      <w:r>
        <w:rPr>
          <w:rFonts w:ascii="Calibri" w:eastAsia="Calibri" w:hAnsi="Calibri" w:cs="Calibri"/>
          <w:i/>
        </w:rPr>
        <w:t>μ</w:t>
      </w:r>
      <w:r>
        <w:t>s, respectively, corresponding to over 32</w:t>
      </w:r>
      <w:r>
        <w:rPr>
          <w:rFonts w:ascii="Calibri" w:eastAsia="Calibri" w:hAnsi="Calibri" w:cs="Calibri"/>
        </w:rPr>
        <w:t xml:space="preserve">× </w:t>
      </w:r>
      <w:r>
        <w:t>and 25</w:t>
      </w:r>
      <w:r>
        <w:rPr>
          <w:rFonts w:ascii="Calibri" w:eastAsia="Calibri" w:hAnsi="Calibri" w:cs="Calibri"/>
        </w:rPr>
        <w:t xml:space="preserve">× </w:t>
      </w:r>
      <w:r>
        <w:t>degradations. Thus, for the considered case studies, LPVs show the strongest degradation on the DRT, and therefore, their evaluation with the proposed IDRT methodology is crucial for both a rel</w:t>
      </w:r>
      <w:r>
        <w:t>iable design of GC-</w:t>
      </w:r>
      <w:proofErr w:type="spellStart"/>
      <w:r>
        <w:t>eDRAMs</w:t>
      </w:r>
      <w:proofErr w:type="spellEnd"/>
      <w:r>
        <w:t xml:space="preserve"> as well as for the choice of their refresh rate to ensure high yield without overly pessimistic margins.</w:t>
      </w:r>
    </w:p>
    <w:p w:rsidR="002C68B0" w:rsidRDefault="00C1553A">
      <w:pPr>
        <w:pStyle w:val="Heading1"/>
      </w:pPr>
      <w:r>
        <w:rPr>
          <w:sz w:val="20"/>
        </w:rPr>
        <w:t>VI. G</w:t>
      </w:r>
      <w:r>
        <w:t>AIN</w:t>
      </w:r>
      <w:r>
        <w:rPr>
          <w:sz w:val="20"/>
        </w:rPr>
        <w:t>-C</w:t>
      </w:r>
      <w:r>
        <w:t xml:space="preserve">ELL </w:t>
      </w:r>
      <w:r>
        <w:rPr>
          <w:sz w:val="20"/>
        </w:rPr>
        <w:t>M</w:t>
      </w:r>
      <w:r>
        <w:t xml:space="preserve">EMORY </w:t>
      </w:r>
      <w:r>
        <w:rPr>
          <w:sz w:val="20"/>
        </w:rPr>
        <w:t>M</w:t>
      </w:r>
      <w:r>
        <w:t xml:space="preserve">ACRO </w:t>
      </w:r>
      <w:r>
        <w:rPr>
          <w:sz w:val="20"/>
        </w:rPr>
        <w:t>C</w:t>
      </w:r>
      <w:r>
        <w:t xml:space="preserve">HARACTERIZATION </w:t>
      </w:r>
      <w:r>
        <w:rPr>
          <w:sz w:val="20"/>
        </w:rPr>
        <w:t>U</w:t>
      </w:r>
      <w:r>
        <w:t xml:space="preserve">SING THE </w:t>
      </w:r>
      <w:r>
        <w:rPr>
          <w:sz w:val="20"/>
        </w:rPr>
        <w:t>IDRT M</w:t>
      </w:r>
      <w:r>
        <w:t>ETHODOLOGY</w:t>
      </w:r>
    </w:p>
    <w:p w:rsidR="002C68B0" w:rsidRDefault="00C1553A">
      <w:r>
        <w:t>The DRT has a significant impact on almost all GC-</w:t>
      </w:r>
      <w:proofErr w:type="spellStart"/>
      <w:r>
        <w:t>eDRAM</w:t>
      </w:r>
      <w:proofErr w:type="spellEnd"/>
      <w:r>
        <w:t xml:space="preserve"> characteristics, such as the refresh period, retention power, and memory availability. The refresh period is set according to the worst case DRT of a GC array, which becomes significantly lower due to</w:t>
      </w:r>
      <w:r>
        <w:t xml:space="preserve"> LPVs as the on-chip memory capacity grows.</w:t>
      </w:r>
    </w:p>
    <w:p w:rsidR="002C68B0" w:rsidRDefault="00C1553A">
      <w:r>
        <w:t>In this section, we demonstrate how the IDRT methodology can be used to extract GC-</w:t>
      </w:r>
      <w:proofErr w:type="spellStart"/>
      <w:r>
        <w:t>eDRAM</w:t>
      </w:r>
      <w:proofErr w:type="spellEnd"/>
      <w:r>
        <w:t xml:space="preserve"> characteristics of large embedded memories by evaluating the memory’s DRT distribution. The accurate estimation of the DRT </w:t>
      </w:r>
      <w:r>
        <w:t>is critical as it enables to reduce unnecessary design guard bands on the refresh period, which impacts the retention power and memory availability.</w:t>
      </w:r>
    </w:p>
    <w:p w:rsidR="002C68B0" w:rsidRDefault="00C1553A">
      <w:pPr>
        <w:spacing w:after="121" w:line="240" w:lineRule="auto"/>
        <w:ind w:left="-3" w:right="-15" w:hanging="10"/>
        <w:jc w:val="left"/>
      </w:pPr>
      <w:r>
        <w:rPr>
          <w:i/>
        </w:rPr>
        <w:t xml:space="preserve">A. DRT </w:t>
      </w:r>
      <w:proofErr w:type="spellStart"/>
      <w:r>
        <w:rPr>
          <w:i/>
        </w:rPr>
        <w:t>Affect</w:t>
      </w:r>
      <w:proofErr w:type="spellEnd"/>
      <w:r>
        <w:rPr>
          <w:i/>
        </w:rPr>
        <w:t xml:space="preserve"> on Memory Characteristics</w:t>
      </w:r>
    </w:p>
    <w:p w:rsidR="002C68B0" w:rsidRDefault="00C1553A">
      <w:pPr>
        <w:numPr>
          <w:ilvl w:val="0"/>
          <w:numId w:val="5"/>
        </w:numPr>
        <w:spacing w:after="193"/>
      </w:pPr>
      <w:r>
        <w:rPr>
          <w:i/>
        </w:rPr>
        <w:t xml:space="preserve">Retention Power: </w:t>
      </w:r>
      <w:r>
        <w:t>An important aspect of the need for a periodic ref</w:t>
      </w:r>
      <w:r>
        <w:t>resh is the additional power component associated with the refresh operation. Unlike SRAM, where the power consumption can be divided into dynamic power, which is consumed during read and write operations, and static power, which is consumed due to leakage</w:t>
      </w:r>
      <w:r>
        <w:t xml:space="preserve"> during standby, GC-</w:t>
      </w:r>
      <w:proofErr w:type="spellStart"/>
      <w:r>
        <w:t>eDRAMs</w:t>
      </w:r>
      <w:proofErr w:type="spellEnd"/>
      <w:r>
        <w:t xml:space="preserve"> consume another power component due to refresh. In order to provide a fair comparison to SRAM, the static power component of GC-</w:t>
      </w:r>
      <w:proofErr w:type="spellStart"/>
      <w:r>
        <w:t>eDRAM</w:t>
      </w:r>
      <w:proofErr w:type="spellEnd"/>
      <w:r>
        <w:t xml:space="preserve"> is redefined as retention power, which includes both the leakage and refresh power components, </w:t>
      </w:r>
      <w:r>
        <w:t>as follows</w:t>
      </w:r>
      <w:r>
        <w:rPr>
          <w:rFonts w:ascii="Calibri" w:eastAsia="Calibri" w:hAnsi="Calibri" w:cs="Calibri"/>
        </w:rPr>
        <w:t>:</w:t>
      </w:r>
    </w:p>
    <w:p w:rsidR="002C68B0" w:rsidRDefault="00C1553A">
      <w:pPr>
        <w:spacing w:after="467" w:line="240" w:lineRule="auto"/>
        <w:ind w:left="0" w:right="8" w:firstLine="0"/>
        <w:jc w:val="right"/>
      </w:pPr>
      <w:proofErr w:type="spellStart"/>
      <w:r>
        <w:rPr>
          <w:i/>
        </w:rPr>
        <w:t>P</w:t>
      </w:r>
      <w:r>
        <w:rPr>
          <w:sz w:val="15"/>
        </w:rPr>
        <w:t>ret</w:t>
      </w:r>
      <w:proofErr w:type="spellEnd"/>
      <w:r>
        <w:rPr>
          <w:sz w:val="15"/>
        </w:rPr>
        <w:t xml:space="preserve"> </w:t>
      </w:r>
      <w:r>
        <w:rPr>
          <w:rFonts w:ascii="Calibri" w:eastAsia="Calibri" w:hAnsi="Calibri" w:cs="Calibri"/>
        </w:rPr>
        <w:t xml:space="preserve">= </w:t>
      </w:r>
      <w:proofErr w:type="spellStart"/>
      <w:r>
        <w:rPr>
          <w:i/>
        </w:rPr>
        <w:t>P</w:t>
      </w:r>
      <w:r>
        <w:rPr>
          <w:sz w:val="15"/>
        </w:rPr>
        <w:t>leak</w:t>
      </w:r>
      <w:proofErr w:type="spellEnd"/>
      <w:r>
        <w:rPr>
          <w:sz w:val="15"/>
        </w:rPr>
        <w:t xml:space="preserve"> </w:t>
      </w:r>
      <w:r>
        <w:rPr>
          <w:rFonts w:ascii="Calibri" w:eastAsia="Calibri" w:hAnsi="Calibri" w:cs="Calibri"/>
        </w:rPr>
        <w:t xml:space="preserve">+ </w:t>
      </w:r>
      <w:proofErr w:type="spellStart"/>
      <w:r>
        <w:rPr>
          <w:i/>
        </w:rPr>
        <w:t>P</w:t>
      </w:r>
      <w:r>
        <w:rPr>
          <w:sz w:val="15"/>
        </w:rPr>
        <w:t>ref</w:t>
      </w:r>
      <w:proofErr w:type="spellEnd"/>
      <w:r>
        <w:rPr>
          <w:sz w:val="15"/>
        </w:rPr>
        <w:t xml:space="preserve"> </w:t>
      </w:r>
      <w:r>
        <w:rPr>
          <w:rFonts w:ascii="Calibri" w:eastAsia="Calibri" w:hAnsi="Calibri" w:cs="Calibri"/>
        </w:rPr>
        <w:t xml:space="preserve">= </w:t>
      </w:r>
      <w:proofErr w:type="spellStart"/>
      <w:r>
        <w:rPr>
          <w:i/>
        </w:rPr>
        <w:t>P</w:t>
      </w:r>
      <w:r>
        <w:rPr>
          <w:sz w:val="15"/>
        </w:rPr>
        <w:t>leak</w:t>
      </w:r>
      <w:proofErr w:type="spellEnd"/>
      <w:r>
        <w:rPr>
          <w:sz w:val="15"/>
        </w:rPr>
        <w:t xml:space="preserve"> </w:t>
      </w:r>
      <w:r>
        <w:rPr>
          <w:rFonts w:ascii="Calibri" w:eastAsia="Calibri" w:hAnsi="Calibri" w:cs="Calibri"/>
        </w:rPr>
        <w:t xml:space="preserve">+ </w:t>
      </w:r>
      <w:r>
        <w:rPr>
          <w:rFonts w:ascii="Calibri" w:eastAsia="Calibri" w:hAnsi="Calibri" w:cs="Calibri"/>
          <w:i/>
        </w:rPr>
        <w:t>(</w:t>
      </w:r>
      <w:proofErr w:type="spellStart"/>
      <w:r>
        <w:rPr>
          <w:i/>
        </w:rPr>
        <w:t>E</w:t>
      </w:r>
      <w:r>
        <w:rPr>
          <w:sz w:val="15"/>
        </w:rPr>
        <w:t>write</w:t>
      </w:r>
      <w:proofErr w:type="spellEnd"/>
      <w:r>
        <w:rPr>
          <w:sz w:val="15"/>
        </w:rPr>
        <w:t xml:space="preserve"> </w:t>
      </w:r>
      <w:r>
        <w:rPr>
          <w:rFonts w:ascii="Calibri" w:eastAsia="Calibri" w:hAnsi="Calibri" w:cs="Calibri"/>
        </w:rPr>
        <w:t xml:space="preserve">+ </w:t>
      </w:r>
      <w:proofErr w:type="spellStart"/>
      <w:r>
        <w:rPr>
          <w:i/>
        </w:rPr>
        <w:t>E</w:t>
      </w:r>
      <w:r>
        <w:rPr>
          <w:vertAlign w:val="subscript"/>
        </w:rPr>
        <w:t>read</w:t>
      </w:r>
      <w:proofErr w:type="spellEnd"/>
      <w:r>
        <w:rPr>
          <w:rFonts w:ascii="Calibri" w:eastAsia="Calibri" w:hAnsi="Calibri" w:cs="Calibri"/>
          <w:i/>
        </w:rPr>
        <w:t>)/</w:t>
      </w:r>
      <w:proofErr w:type="spellStart"/>
      <w:r>
        <w:rPr>
          <w:i/>
        </w:rPr>
        <w:t>T</w:t>
      </w:r>
      <w:r>
        <w:rPr>
          <w:vertAlign w:val="subscript"/>
        </w:rPr>
        <w:t>ref</w:t>
      </w:r>
      <w:proofErr w:type="spellEnd"/>
      <w:r>
        <w:rPr>
          <w:rFonts w:ascii="Calibri" w:eastAsia="Calibri" w:hAnsi="Calibri" w:cs="Calibri"/>
          <w:i/>
        </w:rPr>
        <w:t>,</w:t>
      </w:r>
      <w:r>
        <w:rPr>
          <w:rFonts w:ascii="Calibri" w:eastAsia="Calibri" w:hAnsi="Calibri" w:cs="Calibri"/>
          <w:i/>
        </w:rPr>
        <w:tab/>
      </w:r>
      <w:r>
        <w:t>(1)</w:t>
      </w:r>
    </w:p>
    <w:p w:rsidR="002C68B0" w:rsidRDefault="00C1553A">
      <w:pPr>
        <w:ind w:firstLine="0"/>
      </w:pPr>
      <w:proofErr w:type="gramStart"/>
      <w:r>
        <w:t>where</w:t>
      </w:r>
      <w:proofErr w:type="gramEnd"/>
      <w:r>
        <w:t xml:space="preserve"> </w:t>
      </w:r>
      <w:proofErr w:type="spellStart"/>
      <w:r>
        <w:rPr>
          <w:i/>
        </w:rPr>
        <w:t>P</w:t>
      </w:r>
      <w:r>
        <w:rPr>
          <w:vertAlign w:val="subscript"/>
        </w:rPr>
        <w:t>ret</w:t>
      </w:r>
      <w:proofErr w:type="spellEnd"/>
      <w:r>
        <w:rPr>
          <w:vertAlign w:val="subscript"/>
        </w:rPr>
        <w:t xml:space="preserve"> </w:t>
      </w:r>
      <w:r>
        <w:t xml:space="preserve">is the retention power, </w:t>
      </w:r>
      <w:proofErr w:type="spellStart"/>
      <w:r>
        <w:rPr>
          <w:i/>
        </w:rPr>
        <w:t>P</w:t>
      </w:r>
      <w:r>
        <w:rPr>
          <w:vertAlign w:val="subscript"/>
        </w:rPr>
        <w:t>leak</w:t>
      </w:r>
      <w:proofErr w:type="spellEnd"/>
      <w:r>
        <w:rPr>
          <w:vertAlign w:val="subscript"/>
        </w:rPr>
        <w:t xml:space="preserve"> </w:t>
      </w:r>
      <w:r>
        <w:t xml:space="preserve">is the leakage power of the GC array, </w:t>
      </w:r>
      <w:proofErr w:type="spellStart"/>
      <w:r>
        <w:rPr>
          <w:i/>
        </w:rPr>
        <w:t>P</w:t>
      </w:r>
      <w:r>
        <w:rPr>
          <w:vertAlign w:val="subscript"/>
        </w:rPr>
        <w:t>ref</w:t>
      </w:r>
      <w:proofErr w:type="spellEnd"/>
      <w:r>
        <w:rPr>
          <w:vertAlign w:val="subscript"/>
        </w:rPr>
        <w:t xml:space="preserve"> </w:t>
      </w:r>
      <w:r>
        <w:t xml:space="preserve">is the average refresh power, </w:t>
      </w:r>
      <w:proofErr w:type="spellStart"/>
      <w:r>
        <w:rPr>
          <w:i/>
        </w:rPr>
        <w:t>E</w:t>
      </w:r>
      <w:r>
        <w:rPr>
          <w:vertAlign w:val="subscript"/>
        </w:rPr>
        <w:t>write</w:t>
      </w:r>
      <w:proofErr w:type="spellEnd"/>
      <w:r>
        <w:rPr>
          <w:vertAlign w:val="subscript"/>
        </w:rPr>
        <w:t xml:space="preserve"> </w:t>
      </w:r>
      <w:r>
        <w:t xml:space="preserve">and </w:t>
      </w:r>
      <w:proofErr w:type="spellStart"/>
      <w:r>
        <w:rPr>
          <w:i/>
        </w:rPr>
        <w:t>E</w:t>
      </w:r>
      <w:r>
        <w:rPr>
          <w:vertAlign w:val="subscript"/>
        </w:rPr>
        <w:t>read</w:t>
      </w:r>
      <w:proofErr w:type="spellEnd"/>
      <w:r>
        <w:rPr>
          <w:vertAlign w:val="subscript"/>
        </w:rPr>
        <w:t xml:space="preserve"> </w:t>
      </w:r>
      <w:r>
        <w:t>are the total write and read energies required to refres</w:t>
      </w:r>
      <w:r>
        <w:t xml:space="preserve">h the entire GC array, and </w:t>
      </w:r>
      <w:proofErr w:type="spellStart"/>
      <w:r>
        <w:rPr>
          <w:i/>
        </w:rPr>
        <w:t>T</w:t>
      </w:r>
      <w:r>
        <w:rPr>
          <w:vertAlign w:val="subscript"/>
        </w:rPr>
        <w:t>ref</w:t>
      </w:r>
      <w:proofErr w:type="spellEnd"/>
      <w:r>
        <w:rPr>
          <w:vertAlign w:val="subscript"/>
        </w:rPr>
        <w:t xml:space="preserve"> </w:t>
      </w:r>
      <w:r>
        <w:t>is the refresh period.</w:t>
      </w:r>
    </w:p>
    <w:p w:rsidR="002C68B0" w:rsidRDefault="00C1553A">
      <w:pPr>
        <w:numPr>
          <w:ilvl w:val="0"/>
          <w:numId w:val="5"/>
        </w:numPr>
        <w:spacing w:after="170"/>
      </w:pPr>
      <w:r>
        <w:rPr>
          <w:i/>
        </w:rPr>
        <w:t xml:space="preserve">Memory Availability: </w:t>
      </w:r>
      <w:r>
        <w:t xml:space="preserve">An additional consequence of the refresh requirement is the limited memory availability to </w:t>
      </w:r>
      <w:r>
        <w:lastRenderedPageBreak/>
        <w:t>external accesses, since whenever the memory is occupied with refresh it is unavailable for conventional write and read operations. The memory availability (</w:t>
      </w:r>
      <w:r>
        <w:rPr>
          <w:rFonts w:ascii="Calibri" w:eastAsia="Calibri" w:hAnsi="Calibri" w:cs="Calibri"/>
          <w:i/>
        </w:rPr>
        <w:t>α</w:t>
      </w:r>
      <w:r>
        <w:t>) is di</w:t>
      </w:r>
      <w:r>
        <w:t>rectly dependent on the refresh period set by the DRT and it is defined as follows</w:t>
      </w:r>
      <w:r>
        <w:rPr>
          <w:rFonts w:ascii="Calibri" w:eastAsia="Calibri" w:hAnsi="Calibri" w:cs="Calibri"/>
        </w:rPr>
        <w:t>:</w:t>
      </w:r>
    </w:p>
    <w:p w:rsidR="002C68B0" w:rsidRDefault="00C1553A">
      <w:pPr>
        <w:spacing w:after="157" w:line="240" w:lineRule="auto"/>
        <w:ind w:left="0" w:right="8" w:firstLine="0"/>
        <w:jc w:val="right"/>
      </w:pPr>
      <w:proofErr w:type="gramStart"/>
      <w:r>
        <w:rPr>
          <w:rFonts w:ascii="Calibri" w:eastAsia="Calibri" w:hAnsi="Calibri" w:cs="Calibri"/>
          <w:i/>
        </w:rPr>
        <w:t>α(</w:t>
      </w:r>
      <w:proofErr w:type="gramEnd"/>
      <w:r>
        <w:t>%</w:t>
      </w:r>
      <w:r>
        <w:rPr>
          <w:rFonts w:ascii="Calibri" w:eastAsia="Calibri" w:hAnsi="Calibri" w:cs="Calibri"/>
          <w:i/>
        </w:rPr>
        <w:t xml:space="preserve">) </w:t>
      </w:r>
      <w:r>
        <w:rPr>
          <w:rFonts w:ascii="Calibri" w:eastAsia="Calibri" w:hAnsi="Calibri" w:cs="Calibri"/>
        </w:rPr>
        <w:t xml:space="preserve">= </w:t>
      </w:r>
      <w:r>
        <w:rPr>
          <w:rFonts w:ascii="Calibri" w:eastAsia="Calibri" w:hAnsi="Calibri" w:cs="Calibri"/>
          <w:i/>
        </w:rPr>
        <w:t>(</w:t>
      </w:r>
      <w:r>
        <w:t xml:space="preserve">1 </w:t>
      </w:r>
      <w:r>
        <w:rPr>
          <w:rFonts w:ascii="Calibri" w:eastAsia="Calibri" w:hAnsi="Calibri" w:cs="Calibri"/>
        </w:rPr>
        <w:t>−</w:t>
      </w:r>
      <w:r>
        <w:rPr>
          <w:rFonts w:ascii="Calibri" w:eastAsia="Calibri" w:hAnsi="Calibri" w:cs="Calibri"/>
        </w:rPr>
        <w:t xml:space="preserve"> </w:t>
      </w:r>
      <w:r>
        <w:rPr>
          <w:rFonts w:ascii="Calibri" w:eastAsia="Calibri" w:hAnsi="Calibri" w:cs="Calibri"/>
          <w:i/>
        </w:rPr>
        <w:t>(</w:t>
      </w:r>
      <w:proofErr w:type="spellStart"/>
      <w:r>
        <w:rPr>
          <w:i/>
        </w:rPr>
        <w:t>N</w:t>
      </w:r>
      <w:r>
        <w:rPr>
          <w:vertAlign w:val="subscript"/>
        </w:rPr>
        <w:t>rows</w:t>
      </w:r>
      <w:proofErr w:type="spellEnd"/>
      <w:r>
        <w:rPr>
          <w:vertAlign w:val="subscript"/>
        </w:rPr>
        <w:t xml:space="preserve"> </w:t>
      </w:r>
      <w:r>
        <w:rPr>
          <w:rFonts w:ascii="Calibri" w:eastAsia="Calibri" w:hAnsi="Calibri" w:cs="Calibri"/>
        </w:rPr>
        <w:t xml:space="preserve">× </w:t>
      </w:r>
      <w:proofErr w:type="spellStart"/>
      <w:r>
        <w:rPr>
          <w:i/>
        </w:rPr>
        <w:t>T</w:t>
      </w:r>
      <w:r>
        <w:rPr>
          <w:vertAlign w:val="subscript"/>
        </w:rPr>
        <w:t>per</w:t>
      </w:r>
      <w:proofErr w:type="spellEnd"/>
      <w:r>
        <w:rPr>
          <w:rFonts w:ascii="Calibri" w:eastAsia="Calibri" w:hAnsi="Calibri" w:cs="Calibri"/>
          <w:i/>
        </w:rPr>
        <w:t>)/</w:t>
      </w:r>
      <w:proofErr w:type="spellStart"/>
      <w:r>
        <w:rPr>
          <w:i/>
        </w:rPr>
        <w:t>T</w:t>
      </w:r>
      <w:r>
        <w:rPr>
          <w:vertAlign w:val="subscript"/>
        </w:rPr>
        <w:t>ref</w:t>
      </w:r>
      <w:proofErr w:type="spellEnd"/>
      <w:r>
        <w:rPr>
          <w:rFonts w:ascii="Calibri" w:eastAsia="Calibri" w:hAnsi="Calibri" w:cs="Calibri"/>
          <w:i/>
        </w:rPr>
        <w:t xml:space="preserve">)) </w:t>
      </w:r>
      <w:r>
        <w:rPr>
          <w:rFonts w:ascii="Calibri" w:eastAsia="Calibri" w:hAnsi="Calibri" w:cs="Calibri"/>
        </w:rPr>
        <w:t xml:space="preserve">×   </w:t>
      </w:r>
      <w:r>
        <w:t>100</w:t>
      </w:r>
      <w:r>
        <w:rPr>
          <w:rFonts w:ascii="Calibri" w:eastAsia="Calibri" w:hAnsi="Calibri" w:cs="Calibri"/>
          <w:i/>
        </w:rPr>
        <w:t>,</w:t>
      </w:r>
      <w:r>
        <w:rPr>
          <w:rFonts w:ascii="Calibri" w:eastAsia="Calibri" w:hAnsi="Calibri" w:cs="Calibri"/>
          <w:i/>
        </w:rPr>
        <w:tab/>
      </w:r>
      <w:r>
        <w:t>(2)</w:t>
      </w:r>
    </w:p>
    <w:p w:rsidR="002C68B0" w:rsidRDefault="00C1553A">
      <w:pPr>
        <w:ind w:firstLine="0"/>
      </w:pPr>
      <w:proofErr w:type="gramStart"/>
      <w:r>
        <w:t>where</w:t>
      </w:r>
      <w:proofErr w:type="gramEnd"/>
      <w:r>
        <w:t xml:space="preserve"> </w:t>
      </w:r>
      <w:proofErr w:type="spellStart"/>
      <w:r>
        <w:rPr>
          <w:i/>
        </w:rPr>
        <w:t>N</w:t>
      </w:r>
      <w:r>
        <w:rPr>
          <w:vertAlign w:val="subscript"/>
        </w:rPr>
        <w:t>rows</w:t>
      </w:r>
      <w:proofErr w:type="spellEnd"/>
      <w:r>
        <w:rPr>
          <w:vertAlign w:val="subscript"/>
        </w:rPr>
        <w:t xml:space="preserve"> </w:t>
      </w:r>
      <w:r>
        <w:t xml:space="preserve">is the number of rows in the GC array, and </w:t>
      </w:r>
      <w:proofErr w:type="spellStart"/>
      <w:r>
        <w:rPr>
          <w:i/>
        </w:rPr>
        <w:t>T</w:t>
      </w:r>
      <w:r>
        <w:rPr>
          <w:i/>
          <w:vertAlign w:val="subscript"/>
        </w:rPr>
        <w:t>per</w:t>
      </w:r>
      <w:proofErr w:type="spellEnd"/>
      <w:r>
        <w:rPr>
          <w:i/>
          <w:vertAlign w:val="subscript"/>
        </w:rPr>
        <w:t xml:space="preserve"> </w:t>
      </w:r>
      <w:r>
        <w:t>is the clock period. Note that write and read operations to the m</w:t>
      </w:r>
      <w:r>
        <w:t>emory can be performed in parallel due to the two-ported</w:t>
      </w:r>
    </w:p>
    <w:p w:rsidR="002C68B0" w:rsidRDefault="00C1553A">
      <w:pPr>
        <w:spacing w:after="163" w:line="240" w:lineRule="auto"/>
        <w:ind w:left="0" w:right="0" w:firstLine="0"/>
        <w:jc w:val="center"/>
      </w:pPr>
      <w:r>
        <w:rPr>
          <w:noProof/>
        </w:rPr>
        <w:drawing>
          <wp:inline distT="0" distB="0" distL="0" distR="0">
            <wp:extent cx="2698750" cy="2235200"/>
            <wp:effectExtent l="0" t="0" r="0" b="0"/>
            <wp:docPr id="108674" name="Picture 108674"/>
            <wp:cNvGraphicFramePr/>
            <a:graphic xmlns:a="http://schemas.openxmlformats.org/drawingml/2006/main">
              <a:graphicData uri="http://schemas.openxmlformats.org/drawingml/2006/picture">
                <pic:pic xmlns:pic="http://schemas.openxmlformats.org/drawingml/2006/picture">
                  <pic:nvPicPr>
                    <pic:cNvPr id="108674" name="Picture 108674"/>
                    <pic:cNvPicPr/>
                  </pic:nvPicPr>
                  <pic:blipFill>
                    <a:blip r:embed="rId22"/>
                    <a:stretch>
                      <a:fillRect/>
                    </a:stretch>
                  </pic:blipFill>
                  <pic:spPr>
                    <a:xfrm>
                      <a:off x="0" y="0"/>
                      <a:ext cx="2698750" cy="2235200"/>
                    </a:xfrm>
                    <a:prstGeom prst="rect">
                      <a:avLst/>
                    </a:prstGeom>
                  </pic:spPr>
                </pic:pic>
              </a:graphicData>
            </a:graphic>
          </wp:inline>
        </w:drawing>
      </w:r>
    </w:p>
    <w:p w:rsidR="002C68B0" w:rsidRDefault="00C1553A">
      <w:pPr>
        <w:spacing w:after="223" w:line="240" w:lineRule="auto"/>
        <w:ind w:left="-3" w:right="-3" w:hanging="10"/>
      </w:pPr>
      <w:r>
        <w:rPr>
          <w:sz w:val="16"/>
        </w:rPr>
        <w:t>Fig. 8. DRT extrapolation of a 4T all-NMOS cell using the IDRT estimation between one to six sigma.</w:t>
      </w:r>
    </w:p>
    <w:p w:rsidR="002C68B0" w:rsidRDefault="00C1553A">
      <w:pPr>
        <w:spacing w:after="20" w:line="240" w:lineRule="auto"/>
        <w:ind w:left="0" w:right="0" w:firstLine="0"/>
      </w:pPr>
      <w:r>
        <w:rPr>
          <w:noProof/>
        </w:rPr>
        <w:drawing>
          <wp:inline distT="0" distB="0" distL="0" distR="0">
            <wp:extent cx="3190875" cy="2409825"/>
            <wp:effectExtent l="0" t="0" r="0" b="0"/>
            <wp:docPr id="108676" name="Picture 108676"/>
            <wp:cNvGraphicFramePr/>
            <a:graphic xmlns:a="http://schemas.openxmlformats.org/drawingml/2006/main">
              <a:graphicData uri="http://schemas.openxmlformats.org/drawingml/2006/picture">
                <pic:pic xmlns:pic="http://schemas.openxmlformats.org/drawingml/2006/picture">
                  <pic:nvPicPr>
                    <pic:cNvPr id="108676" name="Picture 108676"/>
                    <pic:cNvPicPr/>
                  </pic:nvPicPr>
                  <pic:blipFill>
                    <a:blip r:embed="rId23"/>
                    <a:stretch>
                      <a:fillRect/>
                    </a:stretch>
                  </pic:blipFill>
                  <pic:spPr>
                    <a:xfrm>
                      <a:off x="0" y="0"/>
                      <a:ext cx="3190875" cy="2409825"/>
                    </a:xfrm>
                    <a:prstGeom prst="rect">
                      <a:avLst/>
                    </a:prstGeom>
                  </pic:spPr>
                </pic:pic>
              </a:graphicData>
            </a:graphic>
          </wp:inline>
        </w:drawing>
      </w:r>
    </w:p>
    <w:p w:rsidR="002C68B0" w:rsidRDefault="00C1553A">
      <w:pPr>
        <w:spacing w:after="249" w:line="240" w:lineRule="auto"/>
        <w:ind w:left="-3" w:right="-3" w:hanging="10"/>
      </w:pPr>
      <w:proofErr w:type="gramStart"/>
      <w:r>
        <w:rPr>
          <w:sz w:val="16"/>
        </w:rPr>
        <w:t>the</w:t>
      </w:r>
      <w:proofErr w:type="gramEnd"/>
      <w:r>
        <w:rPr>
          <w:sz w:val="16"/>
        </w:rPr>
        <w:t xml:space="preserve"> 4T all-NMOS GC for different refresh periods.</w:t>
      </w:r>
    </w:p>
    <w:p w:rsidR="002C68B0" w:rsidRDefault="00C1553A">
      <w:pPr>
        <w:spacing w:after="346"/>
        <w:ind w:firstLine="0"/>
      </w:pPr>
      <w:proofErr w:type="gramStart"/>
      <w:r>
        <w:t>functionality</w:t>
      </w:r>
      <w:proofErr w:type="gramEnd"/>
      <w:r>
        <w:t xml:space="preserve"> of GC-</w:t>
      </w:r>
      <w:proofErr w:type="spellStart"/>
      <w:r>
        <w:t>eDRAM</w:t>
      </w:r>
      <w:proofErr w:type="spellEnd"/>
      <w:r>
        <w:t xml:space="preserve">, hence the total number of cycles required for refresh is equivalent to </w:t>
      </w:r>
      <w:proofErr w:type="spellStart"/>
      <w:r>
        <w:rPr>
          <w:i/>
        </w:rPr>
        <w:t>N</w:t>
      </w:r>
      <w:r>
        <w:rPr>
          <w:vertAlign w:val="subscript"/>
        </w:rPr>
        <w:t>rows</w:t>
      </w:r>
      <w:proofErr w:type="spellEnd"/>
      <w:r>
        <w:t>.</w:t>
      </w:r>
    </w:p>
    <w:p w:rsidR="002C68B0" w:rsidRDefault="00C1553A">
      <w:pPr>
        <w:spacing w:after="121" w:line="240" w:lineRule="auto"/>
        <w:ind w:left="-3" w:right="-15" w:hanging="10"/>
        <w:jc w:val="left"/>
      </w:pPr>
      <w:r>
        <w:rPr>
          <w:i/>
        </w:rPr>
        <w:t>B. Extraction of Key GC-</w:t>
      </w:r>
      <w:proofErr w:type="spellStart"/>
      <w:r>
        <w:rPr>
          <w:i/>
        </w:rPr>
        <w:t>eDRAM</w:t>
      </w:r>
      <w:proofErr w:type="spellEnd"/>
      <w:r>
        <w:rPr>
          <w:i/>
        </w:rPr>
        <w:t xml:space="preserve"> Characteristics</w:t>
      </w:r>
    </w:p>
    <w:p w:rsidR="002C68B0" w:rsidRDefault="00C1553A">
      <w:r>
        <w:t>The DRT distributions that were presented in Fig. 7 can be used to evaluate the DRT of a small GC-</w:t>
      </w:r>
      <w:proofErr w:type="spellStart"/>
      <w:r>
        <w:t>eDRAM</w:t>
      </w:r>
      <w:proofErr w:type="spellEnd"/>
      <w:r>
        <w:t xml:space="preserve">, </w:t>
      </w:r>
      <w:r>
        <w:t>as it is based on a limited number of MC runs (i.e., 10k). However, in order to achieve high yield and support error-free operation of large GC-</w:t>
      </w:r>
      <w:proofErr w:type="spellStart"/>
      <w:r>
        <w:t>eDRAMs</w:t>
      </w:r>
      <w:proofErr w:type="spellEnd"/>
      <w:r>
        <w:t xml:space="preserve"> (i.e., 1Mbit), a much higher number of MC runs is required. Unfortunately, running a brute-force MC analy</w:t>
      </w:r>
      <w:r>
        <w:t xml:space="preserve">sis would require running over a million simulations, which is </w:t>
      </w:r>
      <w:r>
        <w:lastRenderedPageBreak/>
        <w:t>challenging and time consuming. Among the high-sigma evaluation techniques, importance sampling [26], [27] can provide an accurate DRT estimation by running the MC analysis around worst-case pr</w:t>
      </w:r>
      <w:r>
        <w:t>ocess corners instead of randomly choosing the process parameters. However, these evaluations would require trial-and-error runs in order to obtain the yield for each selected refresh period, hence they would still require an initial guess of the DRT margi</w:t>
      </w:r>
      <w:r>
        <w:t>ns and would result in long run-times. For an early design stage, high-sigma extrapolation techniques, such as Box-Cox power transformation, can be used to transform the DRT distribution</w:t>
      </w:r>
    </w:p>
    <w:p w:rsidR="002C68B0" w:rsidRDefault="00C1553A">
      <w:pPr>
        <w:spacing w:after="18" w:line="240" w:lineRule="auto"/>
        <w:ind w:left="0" w:right="0" w:firstLine="0"/>
      </w:pPr>
      <w:r>
        <w:rPr>
          <w:noProof/>
        </w:rPr>
        <w:drawing>
          <wp:inline distT="0" distB="0" distL="0" distR="0">
            <wp:extent cx="3190875" cy="2447925"/>
            <wp:effectExtent l="0" t="0" r="0" b="0"/>
            <wp:docPr id="108678" name="Picture 108678"/>
            <wp:cNvGraphicFramePr/>
            <a:graphic xmlns:a="http://schemas.openxmlformats.org/drawingml/2006/main">
              <a:graphicData uri="http://schemas.openxmlformats.org/drawingml/2006/picture">
                <pic:pic xmlns:pic="http://schemas.openxmlformats.org/drawingml/2006/picture">
                  <pic:nvPicPr>
                    <pic:cNvPr id="108678" name="Picture 108678"/>
                    <pic:cNvPicPr/>
                  </pic:nvPicPr>
                  <pic:blipFill>
                    <a:blip r:embed="rId24"/>
                    <a:stretch>
                      <a:fillRect/>
                    </a:stretch>
                  </pic:blipFill>
                  <pic:spPr>
                    <a:xfrm>
                      <a:off x="0" y="0"/>
                      <a:ext cx="3190875" cy="2447925"/>
                    </a:xfrm>
                    <a:prstGeom prst="rect">
                      <a:avLst/>
                    </a:prstGeom>
                  </pic:spPr>
                </pic:pic>
              </a:graphicData>
            </a:graphic>
          </wp:inline>
        </w:drawing>
      </w:r>
    </w:p>
    <w:p w:rsidR="002C68B0" w:rsidRDefault="00C1553A">
      <w:pPr>
        <w:spacing w:after="207" w:line="240" w:lineRule="auto"/>
        <w:ind w:left="-3" w:right="-3" w:hanging="10"/>
      </w:pPr>
      <w:r>
        <w:rPr>
          <w:sz w:val="16"/>
        </w:rPr>
        <w:t>GC-</w:t>
      </w:r>
      <w:proofErr w:type="spellStart"/>
      <w:r>
        <w:rPr>
          <w:sz w:val="16"/>
        </w:rPr>
        <w:t>eDRAMs</w:t>
      </w:r>
      <w:proofErr w:type="spellEnd"/>
      <w:r>
        <w:rPr>
          <w:sz w:val="16"/>
        </w:rPr>
        <w:t xml:space="preserve"> based on the 4T all-NMOS GC.</w:t>
      </w:r>
    </w:p>
    <w:p w:rsidR="002C68B0" w:rsidRDefault="00C1553A">
      <w:pPr>
        <w:spacing w:after="17" w:line="240" w:lineRule="auto"/>
        <w:ind w:left="0" w:right="0" w:firstLine="0"/>
      </w:pPr>
      <w:r>
        <w:rPr>
          <w:noProof/>
        </w:rPr>
        <w:drawing>
          <wp:inline distT="0" distB="0" distL="0" distR="0">
            <wp:extent cx="3187700" cy="2346325"/>
            <wp:effectExtent l="0" t="0" r="0" b="0"/>
            <wp:docPr id="108680" name="Picture 108680"/>
            <wp:cNvGraphicFramePr/>
            <a:graphic xmlns:a="http://schemas.openxmlformats.org/drawingml/2006/main">
              <a:graphicData uri="http://schemas.openxmlformats.org/drawingml/2006/picture">
                <pic:pic xmlns:pic="http://schemas.openxmlformats.org/drawingml/2006/picture">
                  <pic:nvPicPr>
                    <pic:cNvPr id="108680" name="Picture 108680"/>
                    <pic:cNvPicPr/>
                  </pic:nvPicPr>
                  <pic:blipFill>
                    <a:blip r:embed="rId25"/>
                    <a:stretch>
                      <a:fillRect/>
                    </a:stretch>
                  </pic:blipFill>
                  <pic:spPr>
                    <a:xfrm>
                      <a:off x="0" y="0"/>
                      <a:ext cx="3187700" cy="2346325"/>
                    </a:xfrm>
                    <a:prstGeom prst="rect">
                      <a:avLst/>
                    </a:prstGeom>
                  </pic:spPr>
                </pic:pic>
              </a:graphicData>
            </a:graphic>
          </wp:inline>
        </w:drawing>
      </w:r>
    </w:p>
    <w:p w:rsidR="002C68B0" w:rsidRDefault="00C1553A">
      <w:pPr>
        <w:spacing w:after="253" w:line="240" w:lineRule="auto"/>
        <w:ind w:left="-3" w:right="-3" w:hanging="10"/>
      </w:pPr>
      <w:proofErr w:type="gramStart"/>
      <w:r>
        <w:rPr>
          <w:sz w:val="16"/>
        </w:rPr>
        <w:t>for</w:t>
      </w:r>
      <w:proofErr w:type="gramEnd"/>
      <w:r>
        <w:rPr>
          <w:sz w:val="16"/>
        </w:rPr>
        <w:t xml:space="preserve"> a 10kbit, 1Mbit, and 1</w:t>
      </w:r>
      <w:r>
        <w:rPr>
          <w:sz w:val="16"/>
        </w:rPr>
        <w:t>Gbit GC-</w:t>
      </w:r>
      <w:proofErr w:type="spellStart"/>
      <w:r>
        <w:rPr>
          <w:sz w:val="16"/>
        </w:rPr>
        <w:t>eDRAMs</w:t>
      </w:r>
      <w:proofErr w:type="spellEnd"/>
      <w:r>
        <w:rPr>
          <w:sz w:val="16"/>
        </w:rPr>
        <w:t xml:space="preserve"> based on the 4T all-NMOS GC.</w:t>
      </w:r>
    </w:p>
    <w:p w:rsidR="002C68B0" w:rsidRDefault="00C1553A">
      <w:pPr>
        <w:ind w:firstLine="0"/>
      </w:pPr>
      <w:proofErr w:type="gramStart"/>
      <w:r>
        <w:t>into</w:t>
      </w:r>
      <w:proofErr w:type="gramEnd"/>
      <w:r>
        <w:t xml:space="preserve"> a normal shape and extract the high-sigma DRT values without the need for trial-and-error simulations [28], with an expected deviation of less than 2</w:t>
      </w:r>
      <w:r>
        <w:rPr>
          <w:rFonts w:ascii="Calibri" w:eastAsia="Calibri" w:hAnsi="Calibri" w:cs="Calibri"/>
        </w:rPr>
        <w:t>×</w:t>
      </w:r>
      <w:r>
        <w:t>. Fig. 8 presents the minimum DRT evaluation of the 4T GC</w:t>
      </w:r>
      <w:r>
        <w:t xml:space="preserve"> across a six-sigma range at different temperatures, as extracted from a Box-Cox transformation, illustrating an over 2.5</w:t>
      </w:r>
      <w:r>
        <w:rPr>
          <w:rFonts w:ascii="Calibri" w:eastAsia="Calibri" w:hAnsi="Calibri" w:cs="Calibri"/>
        </w:rPr>
        <w:t xml:space="preserve">× </w:t>
      </w:r>
      <w:r>
        <w:t>reduction of the DRT from one to six sigma.</w:t>
      </w:r>
    </w:p>
    <w:p w:rsidR="002C68B0" w:rsidRDefault="00C1553A">
      <w:r>
        <w:t>Using the high-sigma analysis, the DRT failure probability was obtained and used to evalu</w:t>
      </w:r>
      <w:r>
        <w:t>ate the GC-</w:t>
      </w:r>
      <w:proofErr w:type="spellStart"/>
      <w:r>
        <w:t>eDRAM</w:t>
      </w:r>
      <w:proofErr w:type="spellEnd"/>
      <w:r>
        <w:t xml:space="preserve"> characteristics based on the minimum DRT evaluation, which </w:t>
      </w:r>
      <w:r>
        <w:lastRenderedPageBreak/>
        <w:t>sets the required refresh period. Fig. 9 depicts the expected memory yield for 10kbit, 1Mbit, and 1Gbit 4T based GC-</w:t>
      </w:r>
      <w:proofErr w:type="spellStart"/>
      <w:r>
        <w:t>eDRAMs</w:t>
      </w:r>
      <w:proofErr w:type="spellEnd"/>
      <w:r>
        <w:t>. As expected, the memory yield decreases as the memory si</w:t>
      </w:r>
      <w:r>
        <w:t>ze increases due to a higher probability for a DRT failure under a given refresh period. For example, the required refresh period for a target memory yield of 99% must be reduced from 7.9</w:t>
      </w:r>
      <w:r>
        <w:rPr>
          <w:rFonts w:ascii="Calibri" w:eastAsia="Calibri" w:hAnsi="Calibri" w:cs="Calibri"/>
          <w:i/>
        </w:rPr>
        <w:t>μ</w:t>
      </w:r>
      <w:r>
        <w:t>s to 5.8</w:t>
      </w:r>
      <w:r>
        <w:rPr>
          <w:rFonts w:ascii="Calibri" w:eastAsia="Calibri" w:hAnsi="Calibri" w:cs="Calibri"/>
          <w:i/>
        </w:rPr>
        <w:t>μ</w:t>
      </w:r>
      <w:r>
        <w:t>s as the GC-</w:t>
      </w:r>
      <w:proofErr w:type="spellStart"/>
      <w:r>
        <w:t>eDRAM</w:t>
      </w:r>
      <w:proofErr w:type="spellEnd"/>
      <w:r>
        <w:t xml:space="preserve"> capacity increases from 10 </w:t>
      </w:r>
      <w:proofErr w:type="spellStart"/>
      <w:r>
        <w:t>kbit</w:t>
      </w:r>
      <w:proofErr w:type="spellEnd"/>
      <w:r>
        <w:t xml:space="preserve"> to 1 </w:t>
      </w:r>
      <w:proofErr w:type="spellStart"/>
      <w:r>
        <w:t>Gbit</w:t>
      </w:r>
      <w:proofErr w:type="spellEnd"/>
      <w:r>
        <w:t>.</w:t>
      </w:r>
    </w:p>
    <w:p w:rsidR="002C68B0" w:rsidRDefault="00C1553A">
      <w:r>
        <w:t xml:space="preserve">Fig. 10 depicts the refresh period distributions obtained for 10k TT chips containing 10kbit, 1Mbit, and 1 </w:t>
      </w:r>
      <w:proofErr w:type="spellStart"/>
      <w:r>
        <w:t>Gbit</w:t>
      </w:r>
      <w:proofErr w:type="spellEnd"/>
      <w:r>
        <w:t xml:space="preserve"> GC-</w:t>
      </w:r>
      <w:proofErr w:type="spellStart"/>
      <w:r>
        <w:t>eDRAMs</w:t>
      </w:r>
      <w:proofErr w:type="spellEnd"/>
      <w:r>
        <w:t xml:space="preserve"> under a 99% yield criterion. According to (1</w:t>
      </w:r>
      <w:proofErr w:type="gramStart"/>
      <w:r>
        <w:t>) ,</w:t>
      </w:r>
      <w:proofErr w:type="gramEnd"/>
      <w:r>
        <w:t xml:space="preserve"> the retention power is inversely proportional to the refresh period. Therefore, the </w:t>
      </w:r>
      <w:r>
        <w:t>reduction in the refresh period with increasing memory size results in an almost 40% increase in the minimum retention power with the memory capacity increasing from 10kbit to 1Gbit.</w:t>
      </w:r>
    </w:p>
    <w:p w:rsidR="002C68B0" w:rsidRDefault="00C1553A">
      <w:pPr>
        <w:spacing w:after="261"/>
      </w:pPr>
      <w:r>
        <w:t>Fig. 11 illustrates the average memory availability evaluated for 10kbit,</w:t>
      </w:r>
      <w:r>
        <w:t xml:space="preserve"> 1Mbit, and 1Gbit GC-</w:t>
      </w:r>
      <w:proofErr w:type="spellStart"/>
      <w:r>
        <w:t>eDRAMs</w:t>
      </w:r>
      <w:proofErr w:type="spellEnd"/>
      <w:r>
        <w:t xml:space="preserve"> with a varying ratio between rows and columns, assuming that all GC arrays are refreshed in parallel. As described in (2), the number of GC array rows has a linear effect on the memory availability. In addition, the decrease in </w:t>
      </w:r>
      <w:r>
        <w:t>average DRT with increasing memory size results in lower availability, going from 94.7% down to 92.3% between 10kbit and 1Gbit memories with 1000-row GC arrays.</w:t>
      </w:r>
    </w:p>
    <w:p w:rsidR="002C68B0" w:rsidRDefault="00C1553A">
      <w:pPr>
        <w:pStyle w:val="Heading1"/>
      </w:pPr>
      <w:r>
        <w:rPr>
          <w:sz w:val="20"/>
        </w:rPr>
        <w:t>VII. C</w:t>
      </w:r>
      <w:r>
        <w:t>ONCLUSIONS</w:t>
      </w:r>
    </w:p>
    <w:p w:rsidR="002C68B0" w:rsidRDefault="00C1553A">
      <w:pPr>
        <w:spacing w:after="185"/>
      </w:pPr>
      <w:r>
        <w:t>This paper presented a current-based data-</w:t>
      </w:r>
      <w:proofErr w:type="spellStart"/>
      <w:r>
        <w:t>retentiontime</w:t>
      </w:r>
      <w:proofErr w:type="spellEnd"/>
      <w:r>
        <w:t xml:space="preserve"> (IDRT) characterization methodology. As the proposed methodology does not comprise trial-and-error transient simulations, it enables an accurate evaluation of the DRT in gain cell embedded DRAMs (GC-</w:t>
      </w:r>
      <w:proofErr w:type="spellStart"/>
      <w:r>
        <w:t>e</w:t>
      </w:r>
      <w:r>
        <w:t>DRAMs</w:t>
      </w:r>
      <w:proofErr w:type="spellEnd"/>
      <w:r>
        <w:t>) across local process variations (LPVs) at a significantly shorter runtime compared to conventional trial-and-error transient simulations, which makes MC analysis feasible. When compared to the most accurate DRT methodology, the IDRT methodology show</w:t>
      </w:r>
      <w:r>
        <w:t xml:space="preserve">s an accuracy deviation of less than 3.7%. Together with the EDRT approach, the proposed methodology has been used to evaluate the DRT of GCs designed in 28nm FD-SOI and 28nm Bulk CMOS process technologies across a design and variations space, showing the </w:t>
      </w:r>
      <w:r>
        <w:t>LPVs to have the largest impact on the DRT among the considered variations. Moreover, the IDRT methodology was used to extract the high-sigma DRT and evaluate key GC-</w:t>
      </w:r>
      <w:proofErr w:type="spellStart"/>
      <w:r>
        <w:t>eDRAM</w:t>
      </w:r>
      <w:proofErr w:type="spellEnd"/>
      <w:r>
        <w:t xml:space="preserve"> characteristics, including retention power, memory availability, and maximum frequen</w:t>
      </w:r>
      <w:r>
        <w:t>cy, for different memory sizes. Thus, the proposed IDRT methodology is key for a reliable design of GC-</w:t>
      </w:r>
      <w:proofErr w:type="spellStart"/>
      <w:r>
        <w:t>eDRAMs</w:t>
      </w:r>
      <w:proofErr w:type="spellEnd"/>
      <w:r>
        <w:t xml:space="preserve"> as well as for the choice of their refresh rate without any undesirable design guard bands.</w:t>
      </w:r>
    </w:p>
    <w:p w:rsidR="002C68B0" w:rsidRDefault="00C1553A">
      <w:pPr>
        <w:pStyle w:val="Heading1"/>
      </w:pPr>
      <w:r>
        <w:rPr>
          <w:sz w:val="20"/>
        </w:rPr>
        <w:t>R</w:t>
      </w:r>
      <w:r>
        <w:t>EFERENCES</w:t>
      </w:r>
    </w:p>
    <w:p w:rsidR="002C68B0" w:rsidRDefault="00C1553A">
      <w:pPr>
        <w:numPr>
          <w:ilvl w:val="0"/>
          <w:numId w:val="6"/>
        </w:numPr>
        <w:spacing w:after="32" w:line="240" w:lineRule="auto"/>
        <w:ind w:right="-3" w:hanging="365"/>
      </w:pPr>
      <w:r>
        <w:rPr>
          <w:sz w:val="16"/>
        </w:rPr>
        <w:t xml:space="preserve">F. </w:t>
      </w:r>
      <w:proofErr w:type="spellStart"/>
      <w:r>
        <w:rPr>
          <w:sz w:val="16"/>
        </w:rPr>
        <w:t>Tu</w:t>
      </w:r>
      <w:proofErr w:type="spellEnd"/>
      <w:r>
        <w:rPr>
          <w:sz w:val="16"/>
        </w:rPr>
        <w:t>, W. Wu, S. Yin, L. Liu, and S. Wei, “</w:t>
      </w:r>
      <w:r>
        <w:rPr>
          <w:sz w:val="16"/>
        </w:rPr>
        <w:t xml:space="preserve">RANA: Towards efficient neural acceleration with refresh-optimized embedded DRAM,” in </w:t>
      </w:r>
      <w:r>
        <w:rPr>
          <w:i/>
          <w:sz w:val="16"/>
        </w:rPr>
        <w:t xml:space="preserve">Proc. ACM/IEEE 45th </w:t>
      </w:r>
      <w:proofErr w:type="spellStart"/>
      <w:r>
        <w:rPr>
          <w:i/>
          <w:sz w:val="16"/>
        </w:rPr>
        <w:t>Annu</w:t>
      </w:r>
      <w:proofErr w:type="spellEnd"/>
      <w:r>
        <w:rPr>
          <w:i/>
          <w:sz w:val="16"/>
        </w:rPr>
        <w:t xml:space="preserve">. Int. </w:t>
      </w:r>
      <w:proofErr w:type="spellStart"/>
      <w:r>
        <w:rPr>
          <w:i/>
          <w:sz w:val="16"/>
        </w:rPr>
        <w:t>Symp</w:t>
      </w:r>
      <w:proofErr w:type="spellEnd"/>
      <w:r>
        <w:rPr>
          <w:i/>
          <w:sz w:val="16"/>
        </w:rPr>
        <w:t xml:space="preserve">. </w:t>
      </w:r>
      <w:proofErr w:type="spellStart"/>
      <w:r>
        <w:rPr>
          <w:i/>
          <w:sz w:val="16"/>
        </w:rPr>
        <w:t>Comput</w:t>
      </w:r>
      <w:proofErr w:type="spellEnd"/>
      <w:r>
        <w:rPr>
          <w:i/>
          <w:sz w:val="16"/>
        </w:rPr>
        <w:t>. Archit. (ISCA)</w:t>
      </w:r>
      <w:r>
        <w:rPr>
          <w:sz w:val="16"/>
        </w:rPr>
        <w:t>, Jun. 2018, pp. 340–352.</w:t>
      </w:r>
    </w:p>
    <w:p w:rsidR="002C68B0" w:rsidRDefault="00C1553A">
      <w:pPr>
        <w:numPr>
          <w:ilvl w:val="0"/>
          <w:numId w:val="6"/>
        </w:numPr>
        <w:spacing w:after="32" w:line="240" w:lineRule="auto"/>
        <w:ind w:right="-3" w:hanging="365"/>
      </w:pPr>
      <w:r>
        <w:rPr>
          <w:sz w:val="16"/>
        </w:rPr>
        <w:t xml:space="preserve">C. Berry </w:t>
      </w:r>
      <w:r>
        <w:rPr>
          <w:i/>
          <w:sz w:val="16"/>
        </w:rPr>
        <w:t>et al.</w:t>
      </w:r>
      <w:r>
        <w:rPr>
          <w:sz w:val="16"/>
        </w:rPr>
        <w:t>, “IBM Z14: 14 nm microprocessor for the next-generation mainframe,” i</w:t>
      </w:r>
      <w:r>
        <w:rPr>
          <w:sz w:val="16"/>
        </w:rPr>
        <w:t xml:space="preserve">n </w:t>
      </w:r>
      <w:r>
        <w:rPr>
          <w:i/>
          <w:sz w:val="16"/>
        </w:rPr>
        <w:t>IEEE ISSCC Dig. Tech. Papers</w:t>
      </w:r>
      <w:r>
        <w:rPr>
          <w:sz w:val="16"/>
        </w:rPr>
        <w:t>, Feb. 2018, pp. 36–38.</w:t>
      </w:r>
    </w:p>
    <w:p w:rsidR="002C68B0" w:rsidRDefault="00C1553A">
      <w:pPr>
        <w:numPr>
          <w:ilvl w:val="0"/>
          <w:numId w:val="6"/>
        </w:numPr>
        <w:spacing w:after="32" w:line="240" w:lineRule="auto"/>
        <w:ind w:right="-3" w:hanging="365"/>
      </w:pPr>
      <w:r>
        <w:rPr>
          <w:sz w:val="16"/>
        </w:rPr>
        <w:lastRenderedPageBreak/>
        <w:t xml:space="preserve">M. </w:t>
      </w:r>
      <w:proofErr w:type="spellStart"/>
      <w:r>
        <w:rPr>
          <w:sz w:val="16"/>
        </w:rPr>
        <w:t>Gautschi</w:t>
      </w:r>
      <w:proofErr w:type="spellEnd"/>
      <w:r>
        <w:rPr>
          <w:sz w:val="16"/>
        </w:rPr>
        <w:t xml:space="preserve"> </w:t>
      </w:r>
      <w:r>
        <w:rPr>
          <w:i/>
          <w:sz w:val="16"/>
        </w:rPr>
        <w:t>et al.</w:t>
      </w:r>
      <w:r>
        <w:rPr>
          <w:sz w:val="16"/>
        </w:rPr>
        <w:t xml:space="preserve">, “Near-threshold RISC-V core with DSP extensions for scalable </w:t>
      </w:r>
      <w:proofErr w:type="spellStart"/>
      <w:r>
        <w:rPr>
          <w:sz w:val="16"/>
        </w:rPr>
        <w:t>IoT</w:t>
      </w:r>
      <w:proofErr w:type="spellEnd"/>
      <w:r>
        <w:rPr>
          <w:sz w:val="16"/>
        </w:rPr>
        <w:t xml:space="preserve"> endpoint devices,” </w:t>
      </w:r>
      <w:r>
        <w:rPr>
          <w:i/>
          <w:sz w:val="16"/>
        </w:rPr>
        <w:t xml:space="preserve">IEEE Trans. Very Large Scale </w:t>
      </w:r>
      <w:proofErr w:type="spellStart"/>
      <w:r>
        <w:rPr>
          <w:i/>
          <w:sz w:val="16"/>
        </w:rPr>
        <w:t>Integr</w:t>
      </w:r>
      <w:proofErr w:type="spellEnd"/>
      <w:r>
        <w:rPr>
          <w:i/>
          <w:sz w:val="16"/>
        </w:rPr>
        <w:t>. (VLSI) Syst.</w:t>
      </w:r>
      <w:r>
        <w:rPr>
          <w:sz w:val="16"/>
        </w:rPr>
        <w:t>, vol. 25, no. 10, pp. 2700–2713, Oct. 2017.</w:t>
      </w:r>
    </w:p>
    <w:p w:rsidR="002C68B0" w:rsidRDefault="00C1553A">
      <w:pPr>
        <w:numPr>
          <w:ilvl w:val="0"/>
          <w:numId w:val="6"/>
        </w:numPr>
        <w:spacing w:after="32" w:line="240" w:lineRule="auto"/>
        <w:ind w:right="-3" w:hanging="365"/>
      </w:pPr>
      <w:r>
        <w:rPr>
          <w:sz w:val="16"/>
        </w:rPr>
        <w:t>Y.-H</w:t>
      </w:r>
      <w:r>
        <w:rPr>
          <w:sz w:val="16"/>
        </w:rPr>
        <w:t xml:space="preserve">. Chen, T. Krishna, J. S. </w:t>
      </w:r>
      <w:proofErr w:type="spellStart"/>
      <w:r>
        <w:rPr>
          <w:sz w:val="16"/>
        </w:rPr>
        <w:t>Emer</w:t>
      </w:r>
      <w:proofErr w:type="spellEnd"/>
      <w:r>
        <w:rPr>
          <w:sz w:val="16"/>
        </w:rPr>
        <w:t>, and V. Sze, “</w:t>
      </w:r>
      <w:proofErr w:type="spellStart"/>
      <w:r>
        <w:rPr>
          <w:sz w:val="16"/>
        </w:rPr>
        <w:t>Eyeriss</w:t>
      </w:r>
      <w:proofErr w:type="spellEnd"/>
      <w:r>
        <w:rPr>
          <w:sz w:val="16"/>
        </w:rPr>
        <w:t xml:space="preserve">: An </w:t>
      </w:r>
      <w:proofErr w:type="spellStart"/>
      <w:r>
        <w:rPr>
          <w:sz w:val="16"/>
        </w:rPr>
        <w:t>energyefficient</w:t>
      </w:r>
      <w:proofErr w:type="spellEnd"/>
      <w:r>
        <w:rPr>
          <w:sz w:val="16"/>
        </w:rPr>
        <w:t xml:space="preserve"> reconfigurable accelerator for deep convolutional neural networks,” </w:t>
      </w:r>
      <w:r>
        <w:rPr>
          <w:i/>
          <w:sz w:val="16"/>
        </w:rPr>
        <w:t>IEEE J. Solid-State Circuits</w:t>
      </w:r>
      <w:r>
        <w:rPr>
          <w:sz w:val="16"/>
        </w:rPr>
        <w:t>, vol. 52, no. 1, pp. 127–138, Jan. 2017.</w:t>
      </w:r>
    </w:p>
    <w:p w:rsidR="002C68B0" w:rsidRDefault="00C1553A">
      <w:pPr>
        <w:numPr>
          <w:ilvl w:val="0"/>
          <w:numId w:val="6"/>
        </w:numPr>
        <w:spacing w:after="32" w:line="240" w:lineRule="auto"/>
        <w:ind w:right="-3" w:hanging="365"/>
      </w:pPr>
      <w:r>
        <w:rPr>
          <w:sz w:val="16"/>
        </w:rPr>
        <w:t xml:space="preserve">M. </w:t>
      </w:r>
      <w:proofErr w:type="spellStart"/>
      <w:r>
        <w:rPr>
          <w:sz w:val="16"/>
        </w:rPr>
        <w:t>Tikekar</w:t>
      </w:r>
      <w:proofErr w:type="spellEnd"/>
      <w:r>
        <w:rPr>
          <w:sz w:val="16"/>
        </w:rPr>
        <w:t xml:space="preserve">, V. Sze, and A. </w:t>
      </w:r>
      <w:proofErr w:type="spellStart"/>
      <w:r>
        <w:rPr>
          <w:sz w:val="16"/>
        </w:rPr>
        <w:t>Chandrakasan</w:t>
      </w:r>
      <w:proofErr w:type="spellEnd"/>
      <w:r>
        <w:rPr>
          <w:sz w:val="16"/>
        </w:rPr>
        <w:t>, “A f</w:t>
      </w:r>
      <w:r>
        <w:rPr>
          <w:sz w:val="16"/>
        </w:rPr>
        <w:t xml:space="preserve">ully-integrated </w:t>
      </w:r>
      <w:proofErr w:type="spellStart"/>
      <w:r>
        <w:rPr>
          <w:sz w:val="16"/>
        </w:rPr>
        <w:t>energyefficient</w:t>
      </w:r>
      <w:proofErr w:type="spellEnd"/>
      <w:r>
        <w:rPr>
          <w:sz w:val="16"/>
        </w:rPr>
        <w:t xml:space="preserve"> H.265/HEVC decoder with </w:t>
      </w:r>
      <w:proofErr w:type="spellStart"/>
      <w:r>
        <w:rPr>
          <w:sz w:val="16"/>
        </w:rPr>
        <w:t>eDRAM</w:t>
      </w:r>
      <w:proofErr w:type="spellEnd"/>
      <w:r>
        <w:rPr>
          <w:sz w:val="16"/>
        </w:rPr>
        <w:t xml:space="preserve"> for wearable devices,” in </w:t>
      </w:r>
      <w:r>
        <w:rPr>
          <w:i/>
          <w:sz w:val="16"/>
        </w:rPr>
        <w:t xml:space="preserve">Proc. </w:t>
      </w:r>
      <w:proofErr w:type="spellStart"/>
      <w:r>
        <w:rPr>
          <w:i/>
          <w:sz w:val="16"/>
        </w:rPr>
        <w:t>Symp</w:t>
      </w:r>
      <w:proofErr w:type="spellEnd"/>
      <w:r>
        <w:rPr>
          <w:i/>
          <w:sz w:val="16"/>
        </w:rPr>
        <w:t>. VLSI Circuits</w:t>
      </w:r>
      <w:r>
        <w:rPr>
          <w:sz w:val="16"/>
        </w:rPr>
        <w:t>, Jun. 2017, pp. C230–C231.</w:t>
      </w:r>
    </w:p>
    <w:p w:rsidR="002C68B0" w:rsidRDefault="00C1553A">
      <w:pPr>
        <w:numPr>
          <w:ilvl w:val="0"/>
          <w:numId w:val="6"/>
        </w:numPr>
        <w:spacing w:after="32" w:line="240" w:lineRule="auto"/>
        <w:ind w:right="-3" w:hanging="365"/>
      </w:pPr>
      <w:r>
        <w:rPr>
          <w:sz w:val="16"/>
        </w:rPr>
        <w:t xml:space="preserve">T. </w:t>
      </w:r>
      <w:proofErr w:type="spellStart"/>
      <w:r>
        <w:rPr>
          <w:sz w:val="16"/>
        </w:rPr>
        <w:t>Luo</w:t>
      </w:r>
      <w:proofErr w:type="spellEnd"/>
      <w:r>
        <w:rPr>
          <w:sz w:val="16"/>
        </w:rPr>
        <w:t xml:space="preserve"> </w:t>
      </w:r>
      <w:r>
        <w:rPr>
          <w:i/>
          <w:sz w:val="16"/>
        </w:rPr>
        <w:t>et al.</w:t>
      </w:r>
      <w:r>
        <w:rPr>
          <w:sz w:val="16"/>
        </w:rPr>
        <w:t>, “</w:t>
      </w:r>
      <w:proofErr w:type="spellStart"/>
      <w:r>
        <w:rPr>
          <w:sz w:val="16"/>
        </w:rPr>
        <w:t>DaDianNao</w:t>
      </w:r>
      <w:proofErr w:type="spellEnd"/>
      <w:r>
        <w:rPr>
          <w:sz w:val="16"/>
        </w:rPr>
        <w:t xml:space="preserve">: A neural network supercomputer,” </w:t>
      </w:r>
      <w:r>
        <w:rPr>
          <w:i/>
          <w:sz w:val="16"/>
        </w:rPr>
        <w:t xml:space="preserve">IEEE Trans. </w:t>
      </w:r>
      <w:proofErr w:type="spellStart"/>
      <w:r>
        <w:rPr>
          <w:i/>
          <w:sz w:val="16"/>
        </w:rPr>
        <w:t>Comput</w:t>
      </w:r>
      <w:proofErr w:type="spellEnd"/>
      <w:r>
        <w:rPr>
          <w:i/>
          <w:sz w:val="16"/>
        </w:rPr>
        <w:t>.</w:t>
      </w:r>
      <w:r>
        <w:rPr>
          <w:sz w:val="16"/>
        </w:rPr>
        <w:t>, vol. 66, no. 1, pp. 73–88, Jan. 20</w:t>
      </w:r>
      <w:r>
        <w:rPr>
          <w:sz w:val="16"/>
        </w:rPr>
        <w:t>17.</w:t>
      </w:r>
    </w:p>
    <w:p w:rsidR="002C68B0" w:rsidRDefault="00C1553A">
      <w:pPr>
        <w:numPr>
          <w:ilvl w:val="0"/>
          <w:numId w:val="6"/>
        </w:numPr>
        <w:spacing w:after="32" w:line="240" w:lineRule="auto"/>
        <w:ind w:right="-3" w:hanging="365"/>
      </w:pPr>
      <w:r>
        <w:rPr>
          <w:sz w:val="16"/>
        </w:rPr>
        <w:t xml:space="preserve">M. </w:t>
      </w:r>
      <w:proofErr w:type="spellStart"/>
      <w:r>
        <w:rPr>
          <w:sz w:val="16"/>
        </w:rPr>
        <w:t>Tikekar</w:t>
      </w:r>
      <w:proofErr w:type="spellEnd"/>
      <w:r>
        <w:rPr>
          <w:sz w:val="16"/>
        </w:rPr>
        <w:t xml:space="preserve">, V. Sze, and A. </w:t>
      </w:r>
      <w:proofErr w:type="spellStart"/>
      <w:r>
        <w:rPr>
          <w:sz w:val="16"/>
        </w:rPr>
        <w:t>Chandrakasan</w:t>
      </w:r>
      <w:proofErr w:type="spellEnd"/>
      <w:r>
        <w:rPr>
          <w:sz w:val="16"/>
        </w:rPr>
        <w:t>, “An energy-efficient, fully integrated 1920</w:t>
      </w:r>
      <w:r>
        <w:rPr>
          <w:rFonts w:ascii="Calibri" w:eastAsia="Calibri" w:hAnsi="Calibri" w:cs="Calibri"/>
          <w:sz w:val="16"/>
        </w:rPr>
        <w:t>×</w:t>
      </w:r>
      <w:r>
        <w:rPr>
          <w:sz w:val="16"/>
        </w:rPr>
        <w:t xml:space="preserve">1080 H.265/HEVC decoder with </w:t>
      </w:r>
      <w:proofErr w:type="spellStart"/>
      <w:r>
        <w:rPr>
          <w:sz w:val="16"/>
        </w:rPr>
        <w:t>edram</w:t>
      </w:r>
      <w:proofErr w:type="spellEnd"/>
      <w:r>
        <w:rPr>
          <w:sz w:val="16"/>
        </w:rPr>
        <w:t xml:space="preserve">,” </w:t>
      </w:r>
      <w:r>
        <w:rPr>
          <w:i/>
          <w:sz w:val="16"/>
        </w:rPr>
        <w:t xml:space="preserve">Res. </w:t>
      </w:r>
      <w:proofErr w:type="spellStart"/>
      <w:r>
        <w:rPr>
          <w:i/>
          <w:sz w:val="16"/>
        </w:rPr>
        <w:t>Abstr</w:t>
      </w:r>
      <w:proofErr w:type="spellEnd"/>
      <w:r>
        <w:rPr>
          <w:i/>
          <w:sz w:val="16"/>
        </w:rPr>
        <w:t>.</w:t>
      </w:r>
      <w:r>
        <w:rPr>
          <w:sz w:val="16"/>
        </w:rPr>
        <w:t>, vol. 49, no. 1, p. 1, 2018.</w:t>
      </w:r>
    </w:p>
    <w:p w:rsidR="002C68B0" w:rsidRDefault="00C1553A">
      <w:pPr>
        <w:numPr>
          <w:ilvl w:val="0"/>
          <w:numId w:val="6"/>
        </w:numPr>
        <w:spacing w:after="32" w:line="240" w:lineRule="auto"/>
        <w:ind w:right="-3" w:hanging="365"/>
      </w:pPr>
      <w:r>
        <w:rPr>
          <w:sz w:val="16"/>
        </w:rPr>
        <w:t xml:space="preserve">C. Li and P. </w:t>
      </w:r>
      <w:proofErr w:type="spellStart"/>
      <w:r>
        <w:rPr>
          <w:sz w:val="16"/>
        </w:rPr>
        <w:t>Ampadu</w:t>
      </w:r>
      <w:proofErr w:type="spellEnd"/>
      <w:r>
        <w:rPr>
          <w:sz w:val="16"/>
        </w:rPr>
        <w:t xml:space="preserve">, “A compact low-power </w:t>
      </w:r>
      <w:proofErr w:type="spellStart"/>
      <w:r>
        <w:rPr>
          <w:sz w:val="16"/>
        </w:rPr>
        <w:t>eDRAM</w:t>
      </w:r>
      <w:proofErr w:type="spellEnd"/>
      <w:r>
        <w:rPr>
          <w:sz w:val="16"/>
        </w:rPr>
        <w:t xml:space="preserve">-based </w:t>
      </w:r>
      <w:proofErr w:type="spellStart"/>
      <w:r>
        <w:rPr>
          <w:sz w:val="16"/>
        </w:rPr>
        <w:t>NoC</w:t>
      </w:r>
      <w:proofErr w:type="spellEnd"/>
      <w:r>
        <w:rPr>
          <w:sz w:val="16"/>
        </w:rPr>
        <w:t xml:space="preserve"> buffer,” in </w:t>
      </w:r>
      <w:r>
        <w:rPr>
          <w:i/>
          <w:sz w:val="16"/>
        </w:rPr>
        <w:t>Proc. IEEE/ACM Int.</w:t>
      </w:r>
      <w:r>
        <w:rPr>
          <w:i/>
          <w:sz w:val="16"/>
        </w:rPr>
        <w:t xml:space="preserve"> </w:t>
      </w:r>
      <w:proofErr w:type="spellStart"/>
      <w:r>
        <w:rPr>
          <w:i/>
          <w:sz w:val="16"/>
        </w:rPr>
        <w:t>Symp</w:t>
      </w:r>
      <w:proofErr w:type="spellEnd"/>
      <w:r>
        <w:rPr>
          <w:i/>
          <w:sz w:val="16"/>
        </w:rPr>
        <w:t>. Low Power Electron. Design (ISLPED)</w:t>
      </w:r>
      <w:r>
        <w:rPr>
          <w:sz w:val="16"/>
        </w:rPr>
        <w:t>, Rome, Italy, Jul. 2015, pp. 116–121. [Online]. Available:</w:t>
      </w:r>
      <w:bookmarkStart w:id="0" w:name="_GoBack"/>
      <w:bookmarkEnd w:id="0"/>
    </w:p>
    <w:p w:rsidR="002C68B0" w:rsidRDefault="00C1553A">
      <w:pPr>
        <w:spacing w:after="32" w:line="240" w:lineRule="auto"/>
        <w:ind w:left="377" w:right="-3" w:hanging="10"/>
      </w:pPr>
      <w:r>
        <w:rPr>
          <w:sz w:val="16"/>
        </w:rPr>
        <w:t>http://ieeexplore.ieee.org/document/7273500/</w:t>
      </w:r>
    </w:p>
    <w:p w:rsidR="002C68B0" w:rsidRDefault="00C1553A">
      <w:pPr>
        <w:numPr>
          <w:ilvl w:val="0"/>
          <w:numId w:val="6"/>
        </w:numPr>
        <w:spacing w:after="32" w:line="240" w:lineRule="auto"/>
        <w:ind w:right="-3" w:hanging="365"/>
      </w:pPr>
      <w:r>
        <w:rPr>
          <w:sz w:val="16"/>
        </w:rPr>
        <w:t xml:space="preserve">N. Jing </w:t>
      </w:r>
      <w:r>
        <w:rPr>
          <w:i/>
          <w:sz w:val="16"/>
        </w:rPr>
        <w:t>et al.</w:t>
      </w:r>
      <w:r>
        <w:rPr>
          <w:sz w:val="16"/>
        </w:rPr>
        <w:t xml:space="preserve">, “An energy-efficient and scalable </w:t>
      </w:r>
      <w:proofErr w:type="spellStart"/>
      <w:r>
        <w:rPr>
          <w:sz w:val="16"/>
        </w:rPr>
        <w:t>eDRAM</w:t>
      </w:r>
      <w:proofErr w:type="spellEnd"/>
      <w:r>
        <w:rPr>
          <w:sz w:val="16"/>
        </w:rPr>
        <w:t xml:space="preserve">-based register file architecture for GPGPU,” </w:t>
      </w:r>
      <w:r>
        <w:rPr>
          <w:i/>
          <w:sz w:val="16"/>
        </w:rPr>
        <w:t xml:space="preserve">SIGARCH </w:t>
      </w:r>
      <w:proofErr w:type="spellStart"/>
      <w:r>
        <w:rPr>
          <w:i/>
          <w:sz w:val="16"/>
        </w:rPr>
        <w:t>Comput</w:t>
      </w:r>
      <w:proofErr w:type="spellEnd"/>
      <w:r>
        <w:rPr>
          <w:i/>
          <w:sz w:val="16"/>
        </w:rPr>
        <w:t>. Archit. News</w:t>
      </w:r>
      <w:r>
        <w:rPr>
          <w:sz w:val="16"/>
        </w:rPr>
        <w:t xml:space="preserve">, vol. </w:t>
      </w:r>
      <w:proofErr w:type="gramStart"/>
      <w:r>
        <w:rPr>
          <w:sz w:val="16"/>
        </w:rPr>
        <w:t>41 ,</w:t>
      </w:r>
      <w:proofErr w:type="gramEnd"/>
      <w:r>
        <w:rPr>
          <w:sz w:val="16"/>
        </w:rPr>
        <w:t xml:space="preserve"> no. 3, pp. 344–355, Jul. 2013.</w:t>
      </w:r>
    </w:p>
    <w:p w:rsidR="002C68B0" w:rsidRDefault="00C1553A">
      <w:pPr>
        <w:numPr>
          <w:ilvl w:val="0"/>
          <w:numId w:val="6"/>
        </w:numPr>
        <w:spacing w:after="32" w:line="240" w:lineRule="auto"/>
        <w:ind w:right="-3" w:hanging="365"/>
      </w:pPr>
      <w:r>
        <w:rPr>
          <w:sz w:val="16"/>
        </w:rPr>
        <w:t xml:space="preserve">P. </w:t>
      </w:r>
      <w:proofErr w:type="spellStart"/>
      <w:r>
        <w:rPr>
          <w:sz w:val="16"/>
        </w:rPr>
        <w:t>Meinerzhagen</w:t>
      </w:r>
      <w:proofErr w:type="spellEnd"/>
      <w:r>
        <w:rPr>
          <w:sz w:val="16"/>
        </w:rPr>
        <w:t xml:space="preserve">, A. </w:t>
      </w:r>
      <w:proofErr w:type="spellStart"/>
      <w:r>
        <w:rPr>
          <w:sz w:val="16"/>
        </w:rPr>
        <w:t>Teman</w:t>
      </w:r>
      <w:proofErr w:type="spellEnd"/>
      <w:r>
        <w:rPr>
          <w:sz w:val="16"/>
        </w:rPr>
        <w:t xml:space="preserve">, R. </w:t>
      </w:r>
      <w:proofErr w:type="spellStart"/>
      <w:r>
        <w:rPr>
          <w:sz w:val="16"/>
        </w:rPr>
        <w:t>Giterman</w:t>
      </w:r>
      <w:proofErr w:type="spellEnd"/>
      <w:r>
        <w:rPr>
          <w:sz w:val="16"/>
        </w:rPr>
        <w:t xml:space="preserve">, N. </w:t>
      </w:r>
      <w:proofErr w:type="spellStart"/>
      <w:r>
        <w:rPr>
          <w:sz w:val="16"/>
        </w:rPr>
        <w:t>Edri</w:t>
      </w:r>
      <w:proofErr w:type="spellEnd"/>
      <w:r>
        <w:rPr>
          <w:sz w:val="16"/>
        </w:rPr>
        <w:t xml:space="preserve">, A. Burg, and A. Fish, </w:t>
      </w:r>
      <w:r>
        <w:rPr>
          <w:i/>
          <w:sz w:val="16"/>
        </w:rPr>
        <w:t>Gain-Cell Embedded DRAMs for Low-Power VLSI Systems-on-Chip</w:t>
      </w:r>
      <w:r>
        <w:rPr>
          <w:sz w:val="16"/>
        </w:rPr>
        <w:t>. Cham, Switzerland: Springer, 2017.</w:t>
      </w:r>
    </w:p>
    <w:p w:rsidR="002C68B0" w:rsidRDefault="00C1553A">
      <w:pPr>
        <w:numPr>
          <w:ilvl w:val="0"/>
          <w:numId w:val="6"/>
        </w:numPr>
        <w:spacing w:after="32" w:line="240" w:lineRule="auto"/>
        <w:ind w:right="-3" w:hanging="365"/>
      </w:pPr>
      <w:r>
        <w:rPr>
          <w:sz w:val="16"/>
        </w:rPr>
        <w:t xml:space="preserve">R. </w:t>
      </w:r>
      <w:proofErr w:type="spellStart"/>
      <w:r>
        <w:rPr>
          <w:sz w:val="16"/>
        </w:rPr>
        <w:t>Giterman</w:t>
      </w:r>
      <w:proofErr w:type="spellEnd"/>
      <w:r>
        <w:rPr>
          <w:sz w:val="16"/>
        </w:rPr>
        <w:t xml:space="preserve">, R. </w:t>
      </w:r>
      <w:proofErr w:type="spellStart"/>
      <w:r>
        <w:rPr>
          <w:sz w:val="16"/>
        </w:rPr>
        <w:t>Golman</w:t>
      </w:r>
      <w:proofErr w:type="spellEnd"/>
      <w:r>
        <w:rPr>
          <w:sz w:val="16"/>
        </w:rPr>
        <w:t>, an</w:t>
      </w:r>
      <w:r>
        <w:rPr>
          <w:sz w:val="16"/>
        </w:rPr>
        <w:t xml:space="preserve">d A. </w:t>
      </w:r>
      <w:proofErr w:type="spellStart"/>
      <w:r>
        <w:rPr>
          <w:sz w:val="16"/>
        </w:rPr>
        <w:t>Teman</w:t>
      </w:r>
      <w:proofErr w:type="spellEnd"/>
      <w:r>
        <w:rPr>
          <w:sz w:val="16"/>
        </w:rPr>
        <w:t xml:space="preserve">, “Improving energy-efficiency in dynamic memories through retention failure detection,” </w:t>
      </w:r>
      <w:r>
        <w:rPr>
          <w:i/>
          <w:sz w:val="16"/>
        </w:rPr>
        <w:t>IEEE Access</w:t>
      </w:r>
      <w:r>
        <w:rPr>
          <w:sz w:val="16"/>
        </w:rPr>
        <w:t>, vol. 7, pp. 27641–27649, 2019.</w:t>
      </w:r>
    </w:p>
    <w:p w:rsidR="002C68B0" w:rsidRDefault="00C1553A">
      <w:pPr>
        <w:numPr>
          <w:ilvl w:val="0"/>
          <w:numId w:val="6"/>
        </w:numPr>
        <w:spacing w:after="32" w:line="240" w:lineRule="auto"/>
        <w:ind w:right="-3" w:hanging="365"/>
      </w:pPr>
      <w:r>
        <w:rPr>
          <w:sz w:val="16"/>
        </w:rPr>
        <w:t xml:space="preserve">A. </w:t>
      </w:r>
      <w:proofErr w:type="spellStart"/>
      <w:r>
        <w:rPr>
          <w:sz w:val="16"/>
        </w:rPr>
        <w:t>Bonetti</w:t>
      </w:r>
      <w:proofErr w:type="spellEnd"/>
      <w:r>
        <w:rPr>
          <w:sz w:val="16"/>
        </w:rPr>
        <w:t xml:space="preserve">, R. </w:t>
      </w:r>
      <w:proofErr w:type="spellStart"/>
      <w:r>
        <w:rPr>
          <w:sz w:val="16"/>
        </w:rPr>
        <w:t>Golman</w:t>
      </w:r>
      <w:proofErr w:type="spellEnd"/>
      <w:r>
        <w:rPr>
          <w:sz w:val="16"/>
        </w:rPr>
        <w:t xml:space="preserve">, R. </w:t>
      </w:r>
      <w:proofErr w:type="spellStart"/>
      <w:r>
        <w:rPr>
          <w:sz w:val="16"/>
        </w:rPr>
        <w:t>Giterman</w:t>
      </w:r>
      <w:proofErr w:type="spellEnd"/>
      <w:r>
        <w:rPr>
          <w:sz w:val="16"/>
        </w:rPr>
        <w:t xml:space="preserve">, A. </w:t>
      </w:r>
      <w:proofErr w:type="spellStart"/>
      <w:r>
        <w:rPr>
          <w:sz w:val="16"/>
        </w:rPr>
        <w:t>Teman</w:t>
      </w:r>
      <w:proofErr w:type="spellEnd"/>
      <w:r>
        <w:rPr>
          <w:sz w:val="16"/>
        </w:rPr>
        <w:t>, and A. Burg, “</w:t>
      </w:r>
      <w:proofErr w:type="spellStart"/>
      <w:r>
        <w:rPr>
          <w:sz w:val="16"/>
        </w:rPr>
        <w:t>Gaincell</w:t>
      </w:r>
      <w:proofErr w:type="spellEnd"/>
      <w:r>
        <w:rPr>
          <w:sz w:val="16"/>
        </w:rPr>
        <w:t xml:space="preserve"> embedded DRAMs: Modeling and design space,” </w:t>
      </w:r>
      <w:r>
        <w:rPr>
          <w:i/>
          <w:sz w:val="16"/>
        </w:rPr>
        <w:t xml:space="preserve">IEEE Trans. Very Large Scale </w:t>
      </w:r>
      <w:proofErr w:type="spellStart"/>
      <w:r>
        <w:rPr>
          <w:i/>
          <w:sz w:val="16"/>
        </w:rPr>
        <w:t>Integr</w:t>
      </w:r>
      <w:proofErr w:type="spellEnd"/>
      <w:r>
        <w:rPr>
          <w:i/>
          <w:sz w:val="16"/>
        </w:rPr>
        <w:t>. (VLSI) Syst.</w:t>
      </w:r>
      <w:r>
        <w:rPr>
          <w:sz w:val="16"/>
        </w:rPr>
        <w:t>, to be published.</w:t>
      </w:r>
    </w:p>
    <w:p w:rsidR="002C68B0" w:rsidRDefault="00C1553A">
      <w:pPr>
        <w:numPr>
          <w:ilvl w:val="0"/>
          <w:numId w:val="6"/>
        </w:numPr>
        <w:spacing w:after="32" w:line="240" w:lineRule="auto"/>
        <w:ind w:right="-3" w:hanging="365"/>
      </w:pPr>
      <w:r>
        <w:rPr>
          <w:sz w:val="16"/>
        </w:rPr>
        <w:t xml:space="preserve">R. </w:t>
      </w:r>
      <w:proofErr w:type="spellStart"/>
      <w:r>
        <w:rPr>
          <w:sz w:val="16"/>
        </w:rPr>
        <w:t>Giterman</w:t>
      </w:r>
      <w:proofErr w:type="spellEnd"/>
      <w:r>
        <w:rPr>
          <w:sz w:val="16"/>
        </w:rPr>
        <w:t xml:space="preserve">, A. </w:t>
      </w:r>
      <w:proofErr w:type="spellStart"/>
      <w:r>
        <w:rPr>
          <w:sz w:val="16"/>
        </w:rPr>
        <w:t>Bonetti</w:t>
      </w:r>
      <w:proofErr w:type="spellEnd"/>
      <w:r>
        <w:rPr>
          <w:sz w:val="16"/>
        </w:rPr>
        <w:t xml:space="preserve">, A. Burg, and A. </w:t>
      </w:r>
      <w:proofErr w:type="spellStart"/>
      <w:r>
        <w:rPr>
          <w:sz w:val="16"/>
        </w:rPr>
        <w:t>Teman</w:t>
      </w:r>
      <w:proofErr w:type="spellEnd"/>
      <w:r>
        <w:rPr>
          <w:sz w:val="16"/>
        </w:rPr>
        <w:t>, “GC-</w:t>
      </w:r>
      <w:proofErr w:type="spellStart"/>
      <w:r>
        <w:rPr>
          <w:sz w:val="16"/>
        </w:rPr>
        <w:t>eDRAM</w:t>
      </w:r>
      <w:proofErr w:type="spellEnd"/>
      <w:r>
        <w:rPr>
          <w:sz w:val="16"/>
        </w:rPr>
        <w:t xml:space="preserve"> with body-bias compensated readout and error detection in 28-nm FD-SOI,” </w:t>
      </w:r>
      <w:r>
        <w:rPr>
          <w:i/>
          <w:sz w:val="16"/>
        </w:rPr>
        <w:t>IEEE Trans. Circuits Syst. II, Exp. Briefs</w:t>
      </w:r>
      <w:r>
        <w:rPr>
          <w:sz w:val="16"/>
        </w:rPr>
        <w:t xml:space="preserve">, vol. 66, no. </w:t>
      </w:r>
      <w:r>
        <w:rPr>
          <w:sz w:val="16"/>
        </w:rPr>
        <w:t>12, pp. 2042–2046 , Dec. 2019.</w:t>
      </w:r>
    </w:p>
    <w:p w:rsidR="002C68B0" w:rsidRDefault="00C1553A">
      <w:pPr>
        <w:numPr>
          <w:ilvl w:val="0"/>
          <w:numId w:val="6"/>
        </w:numPr>
        <w:spacing w:after="42" w:line="229" w:lineRule="auto"/>
        <w:ind w:right="-3" w:hanging="365"/>
      </w:pPr>
      <w:r>
        <w:rPr>
          <w:sz w:val="16"/>
        </w:rPr>
        <w:t xml:space="preserve">R. </w:t>
      </w:r>
      <w:proofErr w:type="spellStart"/>
      <w:r>
        <w:rPr>
          <w:sz w:val="16"/>
        </w:rPr>
        <w:t>Giterman</w:t>
      </w:r>
      <w:proofErr w:type="spellEnd"/>
      <w:r>
        <w:rPr>
          <w:sz w:val="16"/>
        </w:rPr>
        <w:t xml:space="preserve">, A. Fish, N. </w:t>
      </w:r>
      <w:proofErr w:type="spellStart"/>
      <w:r>
        <w:rPr>
          <w:sz w:val="16"/>
        </w:rPr>
        <w:t>Geuli</w:t>
      </w:r>
      <w:proofErr w:type="spellEnd"/>
      <w:r>
        <w:rPr>
          <w:sz w:val="16"/>
        </w:rPr>
        <w:t xml:space="preserve">, E. </w:t>
      </w:r>
      <w:proofErr w:type="spellStart"/>
      <w:r>
        <w:rPr>
          <w:sz w:val="16"/>
        </w:rPr>
        <w:t>Mentovich</w:t>
      </w:r>
      <w:proofErr w:type="spellEnd"/>
      <w:r>
        <w:rPr>
          <w:sz w:val="16"/>
        </w:rPr>
        <w:t xml:space="preserve">, A. Burg, and A. </w:t>
      </w:r>
      <w:proofErr w:type="spellStart"/>
      <w:r>
        <w:rPr>
          <w:sz w:val="16"/>
        </w:rPr>
        <w:t>Teman</w:t>
      </w:r>
      <w:proofErr w:type="spellEnd"/>
      <w:r>
        <w:rPr>
          <w:sz w:val="16"/>
        </w:rPr>
        <w:t>, “An 800-MHz mixed-</w:t>
      </w:r>
      <w:r>
        <w:rPr>
          <w:i/>
          <w:sz w:val="16"/>
        </w:rPr>
        <w:t>V</w:t>
      </w:r>
      <w:r>
        <w:rPr>
          <w:sz w:val="14"/>
        </w:rPr>
        <w:t xml:space="preserve">T </w:t>
      </w:r>
      <w:r>
        <w:rPr>
          <w:sz w:val="16"/>
        </w:rPr>
        <w:t xml:space="preserve">4T IFGC embedded DRAM in 28-nm CMOS bulk process for approximate storage applications,” </w:t>
      </w:r>
      <w:r>
        <w:rPr>
          <w:i/>
          <w:sz w:val="16"/>
        </w:rPr>
        <w:t xml:space="preserve">IEEE J. Solid-State Circuits </w:t>
      </w:r>
      <w:r>
        <w:rPr>
          <w:sz w:val="16"/>
        </w:rPr>
        <w:t xml:space="preserve">, vol. 53, no. 7, </w:t>
      </w:r>
      <w:r>
        <w:rPr>
          <w:sz w:val="16"/>
        </w:rPr>
        <w:t>pp. 2136–2148, Jul. 2018.</w:t>
      </w:r>
    </w:p>
    <w:p w:rsidR="002C68B0" w:rsidRDefault="00C1553A">
      <w:pPr>
        <w:numPr>
          <w:ilvl w:val="0"/>
          <w:numId w:val="6"/>
        </w:numPr>
        <w:spacing w:after="32" w:line="240" w:lineRule="auto"/>
        <w:ind w:right="-3" w:hanging="365"/>
      </w:pPr>
      <w:r>
        <w:rPr>
          <w:sz w:val="16"/>
        </w:rPr>
        <w:t xml:space="preserve">E. </w:t>
      </w:r>
      <w:proofErr w:type="spellStart"/>
      <w:r>
        <w:rPr>
          <w:sz w:val="16"/>
        </w:rPr>
        <w:t>Amat</w:t>
      </w:r>
      <w:proofErr w:type="spellEnd"/>
      <w:r>
        <w:rPr>
          <w:sz w:val="16"/>
        </w:rPr>
        <w:t xml:space="preserve">, R. Canal, and A. Rubio, “Modem gain-cell memories in advanced technologies,” in </w:t>
      </w:r>
      <w:r>
        <w:rPr>
          <w:i/>
          <w:sz w:val="16"/>
        </w:rPr>
        <w:t xml:space="preserve">Proc. IEEE 24th Int. </w:t>
      </w:r>
      <w:proofErr w:type="spellStart"/>
      <w:r>
        <w:rPr>
          <w:i/>
          <w:sz w:val="16"/>
        </w:rPr>
        <w:t>Symp</w:t>
      </w:r>
      <w:proofErr w:type="spellEnd"/>
      <w:r>
        <w:rPr>
          <w:i/>
          <w:sz w:val="16"/>
        </w:rPr>
        <w:t>. On-Line Test. Robust Syst. Design (IOLTS)</w:t>
      </w:r>
      <w:r>
        <w:rPr>
          <w:sz w:val="16"/>
        </w:rPr>
        <w:t>, Jul. 2018, pp. 65–68.</w:t>
      </w:r>
    </w:p>
    <w:p w:rsidR="002C68B0" w:rsidRDefault="00C1553A">
      <w:pPr>
        <w:numPr>
          <w:ilvl w:val="0"/>
          <w:numId w:val="6"/>
        </w:numPr>
        <w:spacing w:after="32" w:line="240" w:lineRule="auto"/>
        <w:ind w:right="-3" w:hanging="365"/>
      </w:pPr>
      <w:r>
        <w:rPr>
          <w:sz w:val="16"/>
        </w:rPr>
        <w:t xml:space="preserve">R. </w:t>
      </w:r>
      <w:proofErr w:type="spellStart"/>
      <w:r>
        <w:rPr>
          <w:sz w:val="16"/>
        </w:rPr>
        <w:t>Giterman</w:t>
      </w:r>
      <w:proofErr w:type="spellEnd"/>
      <w:r>
        <w:rPr>
          <w:sz w:val="16"/>
        </w:rPr>
        <w:t xml:space="preserve">, A. Fish, N. </w:t>
      </w:r>
      <w:proofErr w:type="spellStart"/>
      <w:r>
        <w:rPr>
          <w:sz w:val="16"/>
        </w:rPr>
        <w:t>Geuli</w:t>
      </w:r>
      <w:proofErr w:type="spellEnd"/>
      <w:r>
        <w:rPr>
          <w:sz w:val="16"/>
        </w:rPr>
        <w:t xml:space="preserve">, E. </w:t>
      </w:r>
      <w:proofErr w:type="spellStart"/>
      <w:r>
        <w:rPr>
          <w:sz w:val="16"/>
        </w:rPr>
        <w:t>Mentovich</w:t>
      </w:r>
      <w:proofErr w:type="spellEnd"/>
      <w:r>
        <w:rPr>
          <w:sz w:val="16"/>
        </w:rPr>
        <w:t xml:space="preserve">, A. </w:t>
      </w:r>
      <w:r>
        <w:rPr>
          <w:sz w:val="16"/>
        </w:rPr>
        <w:t xml:space="preserve">Burg, and A. </w:t>
      </w:r>
      <w:proofErr w:type="spellStart"/>
      <w:r>
        <w:rPr>
          <w:sz w:val="16"/>
        </w:rPr>
        <w:t>Teman</w:t>
      </w:r>
      <w:proofErr w:type="spellEnd"/>
      <w:r>
        <w:rPr>
          <w:sz w:val="16"/>
        </w:rPr>
        <w:t xml:space="preserve">, “An 800 </w:t>
      </w:r>
      <w:proofErr w:type="spellStart"/>
      <w:r>
        <w:rPr>
          <w:sz w:val="16"/>
        </w:rPr>
        <w:t>Mhz</w:t>
      </w:r>
      <w:proofErr w:type="spellEnd"/>
      <w:r>
        <w:rPr>
          <w:sz w:val="16"/>
        </w:rPr>
        <w:t xml:space="preserve"> mixed-VT 4T gain-cell embedded DRAM in 28 nm</w:t>
      </w:r>
    </w:p>
    <w:p w:rsidR="002C68B0" w:rsidRDefault="00C1553A">
      <w:pPr>
        <w:spacing w:after="32" w:line="240" w:lineRule="auto"/>
        <w:ind w:left="375" w:right="-3" w:hanging="10"/>
      </w:pPr>
      <w:r>
        <w:rPr>
          <w:sz w:val="16"/>
        </w:rPr>
        <w:t xml:space="preserve">CMOS bulk process for approximate computing applications,” in </w:t>
      </w:r>
      <w:r>
        <w:rPr>
          <w:i/>
          <w:sz w:val="16"/>
        </w:rPr>
        <w:t>Proc. 43rd IEEE Eur. Solid State Circuits Conf. (ESSCIRC)</w:t>
      </w:r>
      <w:r>
        <w:rPr>
          <w:sz w:val="16"/>
        </w:rPr>
        <w:t xml:space="preserve">, Sep. </w:t>
      </w:r>
      <w:proofErr w:type="gramStart"/>
      <w:r>
        <w:rPr>
          <w:sz w:val="16"/>
        </w:rPr>
        <w:t>2017 ,</w:t>
      </w:r>
      <w:proofErr w:type="gramEnd"/>
      <w:r>
        <w:rPr>
          <w:sz w:val="16"/>
        </w:rPr>
        <w:t xml:space="preserve"> pp. 308–311.</w:t>
      </w:r>
    </w:p>
    <w:p w:rsidR="002C68B0" w:rsidRDefault="00C1553A">
      <w:pPr>
        <w:numPr>
          <w:ilvl w:val="0"/>
          <w:numId w:val="6"/>
        </w:numPr>
        <w:spacing w:after="32" w:line="240" w:lineRule="auto"/>
        <w:ind w:right="-3" w:hanging="365"/>
      </w:pPr>
      <w:r>
        <w:rPr>
          <w:sz w:val="16"/>
        </w:rPr>
        <w:t xml:space="preserve">W. Choi, G. Kang, and J. Park, “A refresh-less </w:t>
      </w:r>
      <w:proofErr w:type="spellStart"/>
      <w:r>
        <w:rPr>
          <w:sz w:val="16"/>
        </w:rPr>
        <w:t>eDRAM</w:t>
      </w:r>
      <w:proofErr w:type="spellEnd"/>
      <w:r>
        <w:rPr>
          <w:sz w:val="16"/>
        </w:rPr>
        <w:t xml:space="preserve"> macro with embedded voltage reference and selective read for an area and power efficient Viterbi decoder,” </w:t>
      </w:r>
      <w:r>
        <w:rPr>
          <w:i/>
          <w:sz w:val="16"/>
        </w:rPr>
        <w:t>IEEE J. Solid-State Circuits</w:t>
      </w:r>
      <w:r>
        <w:rPr>
          <w:sz w:val="16"/>
        </w:rPr>
        <w:t>, vol. 50, no. 10 , pp. 2451–2462, Oct. 2015.</w:t>
      </w:r>
    </w:p>
    <w:p w:rsidR="002C68B0" w:rsidRDefault="00C1553A">
      <w:pPr>
        <w:numPr>
          <w:ilvl w:val="0"/>
          <w:numId w:val="6"/>
        </w:numPr>
        <w:spacing w:after="32" w:line="240" w:lineRule="auto"/>
        <w:ind w:right="-3" w:hanging="365"/>
      </w:pPr>
      <w:r>
        <w:rPr>
          <w:sz w:val="16"/>
        </w:rPr>
        <w:t>B. Frankel, R. Herman,</w:t>
      </w:r>
      <w:r>
        <w:rPr>
          <w:sz w:val="16"/>
        </w:rPr>
        <w:t xml:space="preserve"> and S. </w:t>
      </w:r>
      <w:proofErr w:type="spellStart"/>
      <w:r>
        <w:rPr>
          <w:sz w:val="16"/>
        </w:rPr>
        <w:t>Wimer</w:t>
      </w:r>
      <w:proofErr w:type="spellEnd"/>
      <w:r>
        <w:rPr>
          <w:sz w:val="16"/>
        </w:rPr>
        <w:t xml:space="preserve">, “Queuing-based </w:t>
      </w:r>
      <w:proofErr w:type="spellStart"/>
      <w:r>
        <w:rPr>
          <w:sz w:val="16"/>
        </w:rPr>
        <w:t>eDRAM</w:t>
      </w:r>
      <w:proofErr w:type="spellEnd"/>
      <w:r>
        <w:rPr>
          <w:sz w:val="16"/>
        </w:rPr>
        <w:t xml:space="preserve"> refreshing for ultra-low power processors,” </w:t>
      </w:r>
      <w:r>
        <w:rPr>
          <w:i/>
          <w:sz w:val="16"/>
        </w:rPr>
        <w:t xml:space="preserve">IEEE Trans. </w:t>
      </w:r>
      <w:proofErr w:type="spellStart"/>
      <w:r>
        <w:rPr>
          <w:i/>
          <w:sz w:val="16"/>
        </w:rPr>
        <w:t>Comput</w:t>
      </w:r>
      <w:proofErr w:type="spellEnd"/>
      <w:r>
        <w:rPr>
          <w:i/>
          <w:sz w:val="16"/>
        </w:rPr>
        <w:t>.</w:t>
      </w:r>
      <w:r>
        <w:rPr>
          <w:sz w:val="16"/>
        </w:rPr>
        <w:t xml:space="preserve">, vol. 67, no. </w:t>
      </w:r>
      <w:proofErr w:type="gramStart"/>
      <w:r>
        <w:rPr>
          <w:sz w:val="16"/>
        </w:rPr>
        <w:t>9 ,</w:t>
      </w:r>
      <w:proofErr w:type="gramEnd"/>
      <w:r>
        <w:rPr>
          <w:sz w:val="16"/>
        </w:rPr>
        <w:t xml:space="preserve"> pp. 1331–1340, Sep. 2018.</w:t>
      </w:r>
    </w:p>
    <w:p w:rsidR="002C68B0" w:rsidRDefault="00C1553A">
      <w:pPr>
        <w:numPr>
          <w:ilvl w:val="0"/>
          <w:numId w:val="6"/>
        </w:numPr>
        <w:spacing w:after="32" w:line="240" w:lineRule="auto"/>
        <w:ind w:right="-3" w:hanging="365"/>
      </w:pPr>
      <w:r>
        <w:rPr>
          <w:sz w:val="16"/>
        </w:rPr>
        <w:t xml:space="preserve">A. </w:t>
      </w:r>
      <w:proofErr w:type="spellStart"/>
      <w:r>
        <w:rPr>
          <w:sz w:val="16"/>
        </w:rPr>
        <w:t>Kazimirsky</w:t>
      </w:r>
      <w:proofErr w:type="spellEnd"/>
      <w:r>
        <w:rPr>
          <w:sz w:val="16"/>
        </w:rPr>
        <w:t xml:space="preserve"> and S. </w:t>
      </w:r>
      <w:proofErr w:type="spellStart"/>
      <w:r>
        <w:rPr>
          <w:sz w:val="16"/>
        </w:rPr>
        <w:t>Wimer</w:t>
      </w:r>
      <w:proofErr w:type="spellEnd"/>
      <w:r>
        <w:rPr>
          <w:sz w:val="16"/>
        </w:rPr>
        <w:t xml:space="preserve">, “Opportunistic refreshing algorithm for </w:t>
      </w:r>
      <w:proofErr w:type="spellStart"/>
      <w:r>
        <w:rPr>
          <w:sz w:val="16"/>
        </w:rPr>
        <w:t>eDRAM</w:t>
      </w:r>
      <w:proofErr w:type="spellEnd"/>
      <w:r>
        <w:rPr>
          <w:sz w:val="16"/>
        </w:rPr>
        <w:t xml:space="preserve"> memories,” </w:t>
      </w:r>
      <w:r>
        <w:rPr>
          <w:i/>
          <w:sz w:val="16"/>
        </w:rPr>
        <w:t xml:space="preserve">IEEE Trans. Circuits Syst. </w:t>
      </w:r>
      <w:r>
        <w:rPr>
          <w:i/>
          <w:sz w:val="16"/>
        </w:rPr>
        <w:t>I, Reg. Papers</w:t>
      </w:r>
      <w:r>
        <w:rPr>
          <w:sz w:val="16"/>
        </w:rPr>
        <w:t xml:space="preserve">, vol. </w:t>
      </w:r>
      <w:proofErr w:type="gramStart"/>
      <w:r>
        <w:rPr>
          <w:sz w:val="16"/>
        </w:rPr>
        <w:t>63 ,</w:t>
      </w:r>
      <w:proofErr w:type="gramEnd"/>
      <w:r>
        <w:rPr>
          <w:sz w:val="16"/>
        </w:rPr>
        <w:t xml:space="preserve"> no. 11, pp. 1921–1932, Nov. 2016.</w:t>
      </w:r>
    </w:p>
    <w:p w:rsidR="002C68B0" w:rsidRDefault="00C1553A">
      <w:pPr>
        <w:numPr>
          <w:ilvl w:val="0"/>
          <w:numId w:val="6"/>
        </w:numPr>
        <w:spacing w:after="32" w:line="240" w:lineRule="auto"/>
        <w:ind w:right="-3" w:hanging="365"/>
      </w:pPr>
      <w:r>
        <w:rPr>
          <w:sz w:val="16"/>
        </w:rPr>
        <w:t xml:space="preserve">R. </w:t>
      </w:r>
      <w:proofErr w:type="spellStart"/>
      <w:r>
        <w:rPr>
          <w:sz w:val="16"/>
        </w:rPr>
        <w:t>Giterman</w:t>
      </w:r>
      <w:proofErr w:type="spellEnd"/>
      <w:r>
        <w:rPr>
          <w:sz w:val="16"/>
        </w:rPr>
        <w:t xml:space="preserve">, A. Fish, A. Burg, and A. </w:t>
      </w:r>
      <w:proofErr w:type="spellStart"/>
      <w:r>
        <w:rPr>
          <w:sz w:val="16"/>
        </w:rPr>
        <w:t>Teman</w:t>
      </w:r>
      <w:proofErr w:type="spellEnd"/>
      <w:r>
        <w:rPr>
          <w:sz w:val="16"/>
        </w:rPr>
        <w:t xml:space="preserve">, “A 4- transistor </w:t>
      </w:r>
      <w:proofErr w:type="spellStart"/>
      <w:r>
        <w:rPr>
          <w:sz w:val="16"/>
        </w:rPr>
        <w:t>nMOS</w:t>
      </w:r>
      <w:proofErr w:type="spellEnd"/>
      <w:r>
        <w:rPr>
          <w:sz w:val="16"/>
        </w:rPr>
        <w:t xml:space="preserve">-only logic-compatible gain-cell embedded DRAM with over 1.6-ms retention time at 700 mV in 28-nm FD-SOI,” </w:t>
      </w:r>
      <w:r>
        <w:rPr>
          <w:i/>
          <w:sz w:val="16"/>
        </w:rPr>
        <w:t>IEEE Trans. Circuits Sy</w:t>
      </w:r>
      <w:r>
        <w:rPr>
          <w:i/>
          <w:sz w:val="16"/>
        </w:rPr>
        <w:t xml:space="preserve">st. I, Reg. </w:t>
      </w:r>
      <w:proofErr w:type="gramStart"/>
      <w:r>
        <w:rPr>
          <w:i/>
          <w:sz w:val="16"/>
        </w:rPr>
        <w:t xml:space="preserve">Papers </w:t>
      </w:r>
      <w:r>
        <w:rPr>
          <w:sz w:val="16"/>
        </w:rPr>
        <w:t>,</w:t>
      </w:r>
      <w:proofErr w:type="gramEnd"/>
      <w:r>
        <w:rPr>
          <w:sz w:val="16"/>
        </w:rPr>
        <w:t xml:space="preserve"> vol. 65, no. 4, pp. 1245–1256 , Apr. 2018.</w:t>
      </w:r>
    </w:p>
    <w:p w:rsidR="002C68B0" w:rsidRDefault="00C1553A">
      <w:pPr>
        <w:numPr>
          <w:ilvl w:val="0"/>
          <w:numId w:val="6"/>
        </w:numPr>
        <w:spacing w:after="32" w:line="240" w:lineRule="auto"/>
        <w:ind w:right="-3" w:hanging="365"/>
      </w:pPr>
      <w:r>
        <w:rPr>
          <w:sz w:val="16"/>
        </w:rPr>
        <w:t xml:space="preserve">R. </w:t>
      </w:r>
      <w:proofErr w:type="spellStart"/>
      <w:r>
        <w:rPr>
          <w:sz w:val="16"/>
        </w:rPr>
        <w:t>Giterman</w:t>
      </w:r>
      <w:proofErr w:type="spellEnd"/>
      <w:r>
        <w:rPr>
          <w:sz w:val="16"/>
        </w:rPr>
        <w:t xml:space="preserve">, A. </w:t>
      </w:r>
      <w:proofErr w:type="spellStart"/>
      <w:r>
        <w:rPr>
          <w:sz w:val="16"/>
        </w:rPr>
        <w:t>Teman</w:t>
      </w:r>
      <w:proofErr w:type="spellEnd"/>
      <w:r>
        <w:rPr>
          <w:sz w:val="16"/>
        </w:rPr>
        <w:t xml:space="preserve">, P. </w:t>
      </w:r>
      <w:proofErr w:type="spellStart"/>
      <w:r>
        <w:rPr>
          <w:sz w:val="16"/>
        </w:rPr>
        <w:t>Meinerzhagen</w:t>
      </w:r>
      <w:proofErr w:type="spellEnd"/>
      <w:r>
        <w:rPr>
          <w:sz w:val="16"/>
        </w:rPr>
        <w:t xml:space="preserve">, L. </w:t>
      </w:r>
      <w:proofErr w:type="spellStart"/>
      <w:r>
        <w:rPr>
          <w:sz w:val="16"/>
        </w:rPr>
        <w:t>Atias</w:t>
      </w:r>
      <w:proofErr w:type="spellEnd"/>
      <w:r>
        <w:rPr>
          <w:sz w:val="16"/>
        </w:rPr>
        <w:t>, A. Burg, and A. Fish,</w:t>
      </w:r>
    </w:p>
    <w:p w:rsidR="002C68B0" w:rsidRDefault="00C1553A">
      <w:pPr>
        <w:spacing w:after="32" w:line="240" w:lineRule="auto"/>
        <w:ind w:left="375" w:right="-3" w:hanging="10"/>
      </w:pPr>
      <w:r>
        <w:rPr>
          <w:sz w:val="16"/>
        </w:rPr>
        <w:t xml:space="preserve">“Single-supply 3T gain-cell for low-voltage low-power applications,” </w:t>
      </w:r>
      <w:r>
        <w:rPr>
          <w:i/>
          <w:sz w:val="16"/>
        </w:rPr>
        <w:t xml:space="preserve">IEEE Trans. Very Large Scale </w:t>
      </w:r>
      <w:proofErr w:type="spellStart"/>
      <w:r>
        <w:rPr>
          <w:i/>
          <w:sz w:val="16"/>
        </w:rPr>
        <w:t>Integr</w:t>
      </w:r>
      <w:proofErr w:type="spellEnd"/>
      <w:r>
        <w:rPr>
          <w:i/>
          <w:sz w:val="16"/>
        </w:rPr>
        <w:t>. (VLSI) Syst.</w:t>
      </w:r>
      <w:r>
        <w:rPr>
          <w:sz w:val="16"/>
        </w:rPr>
        <w:t xml:space="preserve">, </w:t>
      </w:r>
      <w:r>
        <w:rPr>
          <w:sz w:val="16"/>
        </w:rPr>
        <w:t xml:space="preserve">vol. 24, no. </w:t>
      </w:r>
      <w:proofErr w:type="gramStart"/>
      <w:r>
        <w:rPr>
          <w:sz w:val="16"/>
        </w:rPr>
        <w:t>1 ,</w:t>
      </w:r>
      <w:proofErr w:type="gramEnd"/>
      <w:r>
        <w:rPr>
          <w:sz w:val="16"/>
        </w:rPr>
        <w:t xml:space="preserve"> pp. 358–362, Jan. 2016.</w:t>
      </w:r>
    </w:p>
    <w:p w:rsidR="002C68B0" w:rsidRDefault="00C1553A">
      <w:pPr>
        <w:numPr>
          <w:ilvl w:val="0"/>
          <w:numId w:val="6"/>
        </w:numPr>
        <w:spacing w:after="32" w:line="240" w:lineRule="auto"/>
        <w:ind w:right="-3" w:hanging="365"/>
      </w:pPr>
      <w:r>
        <w:rPr>
          <w:sz w:val="16"/>
        </w:rPr>
        <w:t xml:space="preserve">W. Zhang, K. C. Chun, and C. H. Kim, “A write-back-free 2 T1D embedded DRAM with local voltage sensing and a dual-row-access low power mode,” </w:t>
      </w:r>
      <w:r>
        <w:rPr>
          <w:i/>
          <w:sz w:val="16"/>
        </w:rPr>
        <w:t>IEEE Trans. Circuits Syst. I, Reg. Papers</w:t>
      </w:r>
      <w:r>
        <w:rPr>
          <w:sz w:val="16"/>
        </w:rPr>
        <w:t xml:space="preserve">, vol. 60, no. </w:t>
      </w:r>
      <w:proofErr w:type="gramStart"/>
      <w:r>
        <w:rPr>
          <w:sz w:val="16"/>
        </w:rPr>
        <w:t>8 ,</w:t>
      </w:r>
      <w:proofErr w:type="gramEnd"/>
      <w:r>
        <w:rPr>
          <w:sz w:val="16"/>
        </w:rPr>
        <w:t xml:space="preserve"> pp. 2030–2038</w:t>
      </w:r>
      <w:r>
        <w:rPr>
          <w:sz w:val="16"/>
        </w:rPr>
        <w:t>, Aug. 2013.</w:t>
      </w:r>
    </w:p>
    <w:p w:rsidR="002C68B0" w:rsidRDefault="00C1553A">
      <w:pPr>
        <w:numPr>
          <w:ilvl w:val="0"/>
          <w:numId w:val="6"/>
        </w:numPr>
        <w:spacing w:after="32" w:line="240" w:lineRule="auto"/>
        <w:ind w:right="-3" w:hanging="365"/>
      </w:pPr>
      <w:r>
        <w:rPr>
          <w:sz w:val="16"/>
        </w:rPr>
        <w:lastRenderedPageBreak/>
        <w:t xml:space="preserve">K. C. Chun, W. Zhang, P. Jain, and C. H. Kim, “A 2T1C embedded DRAM macro with no boosted supplies featuring a 7T SRAM based repair and a cell storage monitor,” </w:t>
      </w:r>
      <w:r>
        <w:rPr>
          <w:i/>
          <w:sz w:val="16"/>
        </w:rPr>
        <w:t>IEEE J. Solid-State Circuits</w:t>
      </w:r>
      <w:r>
        <w:rPr>
          <w:sz w:val="16"/>
        </w:rPr>
        <w:t>, vol. 47 , no. 10, pp. 2517–2526, Oct. 2012.</w:t>
      </w:r>
    </w:p>
    <w:p w:rsidR="002C68B0" w:rsidRDefault="00C1553A">
      <w:pPr>
        <w:numPr>
          <w:ilvl w:val="0"/>
          <w:numId w:val="6"/>
        </w:numPr>
        <w:spacing w:after="32" w:line="240" w:lineRule="auto"/>
        <w:ind w:right="-3" w:hanging="365"/>
      </w:pPr>
      <w:r>
        <w:rPr>
          <w:sz w:val="16"/>
        </w:rPr>
        <w:t xml:space="preserve">R. </w:t>
      </w:r>
      <w:proofErr w:type="spellStart"/>
      <w:r>
        <w:rPr>
          <w:sz w:val="16"/>
        </w:rPr>
        <w:t>Giter</w:t>
      </w:r>
      <w:r>
        <w:rPr>
          <w:sz w:val="16"/>
        </w:rPr>
        <w:t>man</w:t>
      </w:r>
      <w:proofErr w:type="spellEnd"/>
      <w:r>
        <w:rPr>
          <w:sz w:val="16"/>
        </w:rPr>
        <w:t xml:space="preserve">, Y. </w:t>
      </w:r>
      <w:proofErr w:type="spellStart"/>
      <w:r>
        <w:rPr>
          <w:sz w:val="16"/>
        </w:rPr>
        <w:t>Weizman</w:t>
      </w:r>
      <w:proofErr w:type="spellEnd"/>
      <w:r>
        <w:rPr>
          <w:sz w:val="16"/>
        </w:rPr>
        <w:t xml:space="preserve">, and A. </w:t>
      </w:r>
      <w:proofErr w:type="spellStart"/>
      <w:r>
        <w:rPr>
          <w:sz w:val="16"/>
        </w:rPr>
        <w:t>Teman</w:t>
      </w:r>
      <w:proofErr w:type="spellEnd"/>
      <w:r>
        <w:rPr>
          <w:sz w:val="16"/>
        </w:rPr>
        <w:t xml:space="preserve">, “Gain-cell embedded </w:t>
      </w:r>
      <w:proofErr w:type="spellStart"/>
      <w:r>
        <w:rPr>
          <w:sz w:val="16"/>
        </w:rPr>
        <w:t>DRAMbased</w:t>
      </w:r>
      <w:proofErr w:type="spellEnd"/>
      <w:r>
        <w:rPr>
          <w:sz w:val="16"/>
        </w:rPr>
        <w:t xml:space="preserve"> physical </w:t>
      </w:r>
      <w:proofErr w:type="spellStart"/>
      <w:r>
        <w:rPr>
          <w:sz w:val="16"/>
        </w:rPr>
        <w:t>unclonable</w:t>
      </w:r>
      <w:proofErr w:type="spellEnd"/>
      <w:r>
        <w:rPr>
          <w:sz w:val="16"/>
        </w:rPr>
        <w:t xml:space="preserve"> function,” </w:t>
      </w:r>
      <w:r>
        <w:rPr>
          <w:i/>
          <w:sz w:val="16"/>
        </w:rPr>
        <w:t>IEEE Trans. Circuits Syst. I, Reg. Papers</w:t>
      </w:r>
      <w:r>
        <w:rPr>
          <w:sz w:val="16"/>
        </w:rPr>
        <w:t>, vol. 65, no. 12, pp. 4208–4218, Dec. 2018.</w:t>
      </w:r>
    </w:p>
    <w:p w:rsidR="002C68B0" w:rsidRDefault="00C1553A">
      <w:pPr>
        <w:numPr>
          <w:ilvl w:val="0"/>
          <w:numId w:val="6"/>
        </w:numPr>
        <w:spacing w:after="32" w:line="240" w:lineRule="auto"/>
        <w:ind w:right="-3" w:hanging="365"/>
      </w:pPr>
      <w:r>
        <w:rPr>
          <w:sz w:val="16"/>
        </w:rPr>
        <w:t xml:space="preserve">Y. </w:t>
      </w:r>
      <w:proofErr w:type="spellStart"/>
      <w:r>
        <w:rPr>
          <w:sz w:val="16"/>
        </w:rPr>
        <w:t>Zu</w:t>
      </w:r>
      <w:proofErr w:type="spellEnd"/>
      <w:r>
        <w:rPr>
          <w:sz w:val="16"/>
        </w:rPr>
        <w:t xml:space="preserve">, W. Huang, I. Paul, and V. J. </w:t>
      </w:r>
      <w:proofErr w:type="spellStart"/>
      <w:r>
        <w:rPr>
          <w:sz w:val="16"/>
        </w:rPr>
        <w:t>Reddi</w:t>
      </w:r>
      <w:proofErr w:type="spellEnd"/>
      <w:r>
        <w:rPr>
          <w:sz w:val="16"/>
        </w:rPr>
        <w:t>, “Ti-states: Processor power managem</w:t>
      </w:r>
      <w:r>
        <w:rPr>
          <w:sz w:val="16"/>
        </w:rPr>
        <w:t xml:space="preserve">ent in the temperature inversion region,” in </w:t>
      </w:r>
      <w:r>
        <w:rPr>
          <w:i/>
          <w:sz w:val="16"/>
        </w:rPr>
        <w:t xml:space="preserve">Proc. 49 </w:t>
      </w:r>
      <w:proofErr w:type="spellStart"/>
      <w:proofErr w:type="gramStart"/>
      <w:r>
        <w:rPr>
          <w:i/>
          <w:sz w:val="16"/>
        </w:rPr>
        <w:t>th</w:t>
      </w:r>
      <w:proofErr w:type="spellEnd"/>
      <w:proofErr w:type="gramEnd"/>
      <w:r>
        <w:rPr>
          <w:i/>
          <w:sz w:val="16"/>
        </w:rPr>
        <w:t xml:space="preserve"> </w:t>
      </w:r>
      <w:proofErr w:type="spellStart"/>
      <w:r>
        <w:rPr>
          <w:i/>
          <w:sz w:val="16"/>
        </w:rPr>
        <w:t>Annu</w:t>
      </w:r>
      <w:proofErr w:type="spellEnd"/>
      <w:r>
        <w:rPr>
          <w:i/>
          <w:sz w:val="16"/>
        </w:rPr>
        <w:t xml:space="preserve">. IEEE/ACM Int. </w:t>
      </w:r>
      <w:proofErr w:type="spellStart"/>
      <w:r>
        <w:rPr>
          <w:i/>
          <w:sz w:val="16"/>
        </w:rPr>
        <w:t>Symp</w:t>
      </w:r>
      <w:proofErr w:type="spellEnd"/>
      <w:r>
        <w:rPr>
          <w:i/>
          <w:sz w:val="16"/>
        </w:rPr>
        <w:t>. Microarchitecture (MICRO)</w:t>
      </w:r>
      <w:r>
        <w:rPr>
          <w:sz w:val="16"/>
        </w:rPr>
        <w:t xml:space="preserve">, Oct. </w:t>
      </w:r>
      <w:proofErr w:type="gramStart"/>
      <w:r>
        <w:rPr>
          <w:sz w:val="16"/>
        </w:rPr>
        <w:t>2016 ,</w:t>
      </w:r>
      <w:proofErr w:type="gramEnd"/>
      <w:r>
        <w:rPr>
          <w:sz w:val="16"/>
        </w:rPr>
        <w:t xml:space="preserve"> pp. 1–13.</w:t>
      </w:r>
    </w:p>
    <w:p w:rsidR="002C68B0" w:rsidRDefault="00C1553A">
      <w:pPr>
        <w:numPr>
          <w:ilvl w:val="0"/>
          <w:numId w:val="6"/>
        </w:numPr>
        <w:spacing w:after="32" w:line="240" w:lineRule="auto"/>
        <w:ind w:right="-3" w:hanging="365"/>
      </w:pPr>
      <w:r>
        <w:rPr>
          <w:sz w:val="16"/>
        </w:rPr>
        <w:t xml:space="preserve">R. </w:t>
      </w:r>
      <w:proofErr w:type="spellStart"/>
      <w:r>
        <w:rPr>
          <w:sz w:val="16"/>
        </w:rPr>
        <w:t>Kanj</w:t>
      </w:r>
      <w:proofErr w:type="spellEnd"/>
      <w:r>
        <w:rPr>
          <w:sz w:val="16"/>
        </w:rPr>
        <w:t xml:space="preserve">, R. Joshi, and S. </w:t>
      </w:r>
      <w:proofErr w:type="spellStart"/>
      <w:r>
        <w:rPr>
          <w:sz w:val="16"/>
        </w:rPr>
        <w:t>Nassif</w:t>
      </w:r>
      <w:proofErr w:type="spellEnd"/>
      <w:r>
        <w:rPr>
          <w:sz w:val="16"/>
        </w:rPr>
        <w:t>, “Mixture importance sampling and its application to the analysis of SRAM designs in the pr</w:t>
      </w:r>
      <w:r>
        <w:rPr>
          <w:sz w:val="16"/>
        </w:rPr>
        <w:t xml:space="preserve">esence of rare failure events,” in </w:t>
      </w:r>
      <w:r>
        <w:rPr>
          <w:i/>
          <w:sz w:val="16"/>
        </w:rPr>
        <w:t xml:space="preserve">Proc. 43rd </w:t>
      </w:r>
      <w:proofErr w:type="spellStart"/>
      <w:r>
        <w:rPr>
          <w:i/>
          <w:sz w:val="16"/>
        </w:rPr>
        <w:t>Annu</w:t>
      </w:r>
      <w:proofErr w:type="spellEnd"/>
      <w:r>
        <w:rPr>
          <w:i/>
          <w:sz w:val="16"/>
        </w:rPr>
        <w:t xml:space="preserve">. Conf. Design </w:t>
      </w:r>
      <w:proofErr w:type="spellStart"/>
      <w:r>
        <w:rPr>
          <w:i/>
          <w:sz w:val="16"/>
        </w:rPr>
        <w:t>Autom</w:t>
      </w:r>
      <w:proofErr w:type="spellEnd"/>
      <w:r>
        <w:rPr>
          <w:i/>
          <w:sz w:val="16"/>
        </w:rPr>
        <w:t>. (DAC)</w:t>
      </w:r>
      <w:r>
        <w:rPr>
          <w:sz w:val="16"/>
        </w:rPr>
        <w:t xml:space="preserve">, </w:t>
      </w:r>
      <w:proofErr w:type="gramStart"/>
      <w:r>
        <w:rPr>
          <w:sz w:val="16"/>
        </w:rPr>
        <w:t>2006 ,</w:t>
      </w:r>
      <w:proofErr w:type="gramEnd"/>
      <w:r>
        <w:rPr>
          <w:sz w:val="16"/>
        </w:rPr>
        <w:t xml:space="preserve"> pp. 69–72.</w:t>
      </w:r>
    </w:p>
    <w:p w:rsidR="002C68B0" w:rsidRDefault="00C1553A">
      <w:pPr>
        <w:numPr>
          <w:ilvl w:val="0"/>
          <w:numId w:val="6"/>
        </w:numPr>
        <w:spacing w:after="32" w:line="240" w:lineRule="auto"/>
        <w:ind w:right="-3" w:hanging="365"/>
      </w:pPr>
      <w:r>
        <w:rPr>
          <w:sz w:val="16"/>
        </w:rPr>
        <w:t xml:space="preserve">T. </w:t>
      </w:r>
      <w:proofErr w:type="spellStart"/>
      <w:r>
        <w:rPr>
          <w:sz w:val="16"/>
        </w:rPr>
        <w:t>Doorn</w:t>
      </w:r>
      <w:proofErr w:type="spellEnd"/>
      <w:r>
        <w:rPr>
          <w:sz w:val="16"/>
        </w:rPr>
        <w:t xml:space="preserve">, E. </w:t>
      </w:r>
      <w:proofErr w:type="spellStart"/>
      <w:r>
        <w:rPr>
          <w:sz w:val="16"/>
        </w:rPr>
        <w:t>Ter</w:t>
      </w:r>
      <w:proofErr w:type="spellEnd"/>
      <w:r>
        <w:rPr>
          <w:sz w:val="16"/>
        </w:rPr>
        <w:t xml:space="preserve"> </w:t>
      </w:r>
      <w:proofErr w:type="spellStart"/>
      <w:r>
        <w:rPr>
          <w:sz w:val="16"/>
        </w:rPr>
        <w:t>Maten</w:t>
      </w:r>
      <w:proofErr w:type="spellEnd"/>
      <w:r>
        <w:rPr>
          <w:sz w:val="16"/>
        </w:rPr>
        <w:t xml:space="preserve">, J. Croon, A. Di </w:t>
      </w:r>
      <w:proofErr w:type="spellStart"/>
      <w:r>
        <w:rPr>
          <w:sz w:val="16"/>
        </w:rPr>
        <w:t>Bucchianico</w:t>
      </w:r>
      <w:proofErr w:type="spellEnd"/>
      <w:r>
        <w:rPr>
          <w:sz w:val="16"/>
        </w:rPr>
        <w:t xml:space="preserve">, and O. </w:t>
      </w:r>
      <w:proofErr w:type="spellStart"/>
      <w:r>
        <w:rPr>
          <w:sz w:val="16"/>
        </w:rPr>
        <w:t>Wittich</w:t>
      </w:r>
      <w:proofErr w:type="spellEnd"/>
      <w:r>
        <w:rPr>
          <w:sz w:val="16"/>
        </w:rPr>
        <w:t xml:space="preserve">, “Importance sampling Monte Carlo simulations for accurate estimation of SRAM yield,” in </w:t>
      </w:r>
      <w:r>
        <w:rPr>
          <w:i/>
          <w:sz w:val="16"/>
        </w:rPr>
        <w:t>Pr</w:t>
      </w:r>
      <w:r>
        <w:rPr>
          <w:i/>
          <w:sz w:val="16"/>
        </w:rPr>
        <w:t>oc. 34th Eur. Solid-State Circuits Conf. (ESSCIRC)</w:t>
      </w:r>
      <w:r>
        <w:rPr>
          <w:sz w:val="16"/>
        </w:rPr>
        <w:t>, Sep. 2008, pp. 230–233.</w:t>
      </w:r>
    </w:p>
    <w:p w:rsidR="002C68B0" w:rsidRDefault="00C1553A">
      <w:pPr>
        <w:numPr>
          <w:ilvl w:val="0"/>
          <w:numId w:val="6"/>
        </w:numPr>
        <w:spacing w:after="32" w:line="240" w:lineRule="auto"/>
        <w:ind w:right="-3" w:hanging="365"/>
      </w:pPr>
      <w:r>
        <w:rPr>
          <w:sz w:val="16"/>
        </w:rPr>
        <w:t xml:space="preserve">H.-H. Wang, Y.-L. Chen, C.-C. Yang, C.-K. Lin, and M.-C. </w:t>
      </w:r>
      <w:proofErr w:type="spellStart"/>
      <w:r>
        <w:rPr>
          <w:sz w:val="16"/>
        </w:rPr>
        <w:t>Jeng</w:t>
      </w:r>
      <w:proofErr w:type="spellEnd"/>
      <w:r>
        <w:rPr>
          <w:sz w:val="16"/>
        </w:rPr>
        <w:t xml:space="preserve">, “Compact modeling for application-specific high-sigma worst case,” in </w:t>
      </w:r>
      <w:r>
        <w:rPr>
          <w:i/>
          <w:sz w:val="16"/>
        </w:rPr>
        <w:t>Proc. Int. Conf. Simulation Semiconductor Proce</w:t>
      </w:r>
      <w:r>
        <w:rPr>
          <w:i/>
          <w:sz w:val="16"/>
        </w:rPr>
        <w:t>sses Devices (SISPAD)</w:t>
      </w:r>
      <w:r>
        <w:rPr>
          <w:sz w:val="16"/>
        </w:rPr>
        <w:t>, Sep. 2013, pp. 61–64.</w:t>
      </w:r>
    </w:p>
    <w:p w:rsidR="002C68B0" w:rsidRDefault="00C1553A">
      <w:pPr>
        <w:spacing w:after="32" w:line="240" w:lineRule="auto"/>
        <w:ind w:left="-3" w:right="-3" w:hanging="10"/>
      </w:pPr>
      <w:r>
        <w:rPr>
          <w:b/>
          <w:sz w:val="16"/>
        </w:rPr>
        <w:t xml:space="preserve">Robert </w:t>
      </w:r>
      <w:proofErr w:type="spellStart"/>
      <w:r>
        <w:rPr>
          <w:b/>
          <w:sz w:val="16"/>
        </w:rPr>
        <w:t>Giterman</w:t>
      </w:r>
      <w:proofErr w:type="spellEnd"/>
      <w:r>
        <w:rPr>
          <w:b/>
          <w:sz w:val="16"/>
        </w:rPr>
        <w:t xml:space="preserve"> </w:t>
      </w:r>
      <w:r>
        <w:rPr>
          <w:sz w:val="16"/>
        </w:rPr>
        <w:t xml:space="preserve">received the B.Sc. degree in electrical engineering from Ben-Gurion University, </w:t>
      </w:r>
      <w:proofErr w:type="spellStart"/>
      <w:r>
        <w:rPr>
          <w:sz w:val="16"/>
        </w:rPr>
        <w:t>Be’er</w:t>
      </w:r>
      <w:proofErr w:type="spellEnd"/>
      <w:r>
        <w:rPr>
          <w:sz w:val="16"/>
        </w:rPr>
        <w:t xml:space="preserve"> </w:t>
      </w:r>
      <w:proofErr w:type="spellStart"/>
      <w:r>
        <w:rPr>
          <w:sz w:val="16"/>
        </w:rPr>
        <w:t>Sheva</w:t>
      </w:r>
      <w:proofErr w:type="spellEnd"/>
      <w:r>
        <w:rPr>
          <w:sz w:val="16"/>
        </w:rPr>
        <w:t>, Israel, in 2013, the M.Sc. degree from Ben-Gurion University in 2014 as part of a fast track program f</w:t>
      </w:r>
      <w:r>
        <w:rPr>
          <w:sz w:val="16"/>
        </w:rPr>
        <w:t xml:space="preserve">or outstanding students, and the Ph.D. degree, under the supervision of Prof. Alex Fish and Dr. Adam </w:t>
      </w:r>
      <w:proofErr w:type="spellStart"/>
      <w:r>
        <w:rPr>
          <w:sz w:val="16"/>
        </w:rPr>
        <w:t>Teman</w:t>
      </w:r>
      <w:proofErr w:type="spellEnd"/>
      <w:r>
        <w:rPr>
          <w:sz w:val="16"/>
        </w:rPr>
        <w:t xml:space="preserve">, from the Emerging </w:t>
      </w:r>
      <w:proofErr w:type="spellStart"/>
      <w:r>
        <w:rPr>
          <w:sz w:val="16"/>
        </w:rPr>
        <w:t>Nanoscaled</w:t>
      </w:r>
      <w:proofErr w:type="spellEnd"/>
      <w:r>
        <w:rPr>
          <w:sz w:val="16"/>
        </w:rPr>
        <w:t xml:space="preserve"> </w:t>
      </w:r>
      <w:proofErr w:type="spellStart"/>
      <w:r>
        <w:rPr>
          <w:sz w:val="16"/>
        </w:rPr>
        <w:t>Intergrated</w:t>
      </w:r>
      <w:proofErr w:type="spellEnd"/>
      <w:r>
        <w:rPr>
          <w:sz w:val="16"/>
        </w:rPr>
        <w:t xml:space="preserve"> Circuits and Systems (</w:t>
      </w:r>
      <w:proofErr w:type="spellStart"/>
      <w:r>
        <w:rPr>
          <w:sz w:val="16"/>
        </w:rPr>
        <w:t>EnICS</w:t>
      </w:r>
      <w:proofErr w:type="spellEnd"/>
      <w:r>
        <w:rPr>
          <w:sz w:val="16"/>
        </w:rPr>
        <w:t xml:space="preserve">) Lab, Bar </w:t>
      </w:r>
      <w:proofErr w:type="spellStart"/>
      <w:r>
        <w:rPr>
          <w:sz w:val="16"/>
        </w:rPr>
        <w:t>Ilan</w:t>
      </w:r>
      <w:proofErr w:type="spellEnd"/>
      <w:r>
        <w:rPr>
          <w:sz w:val="16"/>
        </w:rPr>
        <w:t xml:space="preserve"> University, Ramat-</w:t>
      </w:r>
      <w:proofErr w:type="spellStart"/>
      <w:r>
        <w:rPr>
          <w:sz w:val="16"/>
        </w:rPr>
        <w:t>Gan</w:t>
      </w:r>
      <w:proofErr w:type="spellEnd"/>
      <w:r>
        <w:rPr>
          <w:sz w:val="16"/>
        </w:rPr>
        <w:t xml:space="preserve">, Israel, in 2018. Since November 2018, he </w:t>
      </w:r>
      <w:r>
        <w:rPr>
          <w:sz w:val="16"/>
        </w:rPr>
        <w:t>has been a Post-Doctoral</w:t>
      </w:r>
    </w:p>
    <w:p w:rsidR="002C68B0" w:rsidRDefault="00C1553A">
      <w:pPr>
        <w:spacing w:after="500" w:line="240" w:lineRule="auto"/>
        <w:ind w:right="-3" w:firstLine="1642"/>
      </w:pPr>
      <w:r>
        <w:rPr>
          <w:noProof/>
        </w:rPr>
        <w:drawing>
          <wp:anchor distT="0" distB="0" distL="114300" distR="114300" simplePos="0" relativeHeight="251659264" behindDoc="0" locked="0" layoutInCell="1" allowOverlap="0">
            <wp:simplePos x="0" y="0"/>
            <wp:positionH relativeFrom="column">
              <wp:posOffset>1518</wp:posOffset>
            </wp:positionH>
            <wp:positionV relativeFrom="paragraph">
              <wp:posOffset>-1108816</wp:posOffset>
            </wp:positionV>
            <wp:extent cx="917575" cy="1146175"/>
            <wp:effectExtent l="0" t="0" r="0" b="0"/>
            <wp:wrapSquare wrapText="bothSides"/>
            <wp:docPr id="111649" name="Picture 111649"/>
            <wp:cNvGraphicFramePr/>
            <a:graphic xmlns:a="http://schemas.openxmlformats.org/drawingml/2006/main">
              <a:graphicData uri="http://schemas.openxmlformats.org/drawingml/2006/picture">
                <pic:pic xmlns:pic="http://schemas.openxmlformats.org/drawingml/2006/picture">
                  <pic:nvPicPr>
                    <pic:cNvPr id="111649" name="Picture 111649"/>
                    <pic:cNvPicPr/>
                  </pic:nvPicPr>
                  <pic:blipFill>
                    <a:blip r:embed="rId26"/>
                    <a:stretch>
                      <a:fillRect/>
                    </a:stretch>
                  </pic:blipFill>
                  <pic:spPr>
                    <a:xfrm>
                      <a:off x="0" y="0"/>
                      <a:ext cx="917575" cy="1146175"/>
                    </a:xfrm>
                    <a:prstGeom prst="rect">
                      <a:avLst/>
                    </a:prstGeom>
                  </pic:spPr>
                </pic:pic>
              </a:graphicData>
            </a:graphic>
          </wp:anchor>
        </w:drawing>
      </w:r>
      <w:r>
        <w:rPr>
          <w:sz w:val="16"/>
        </w:rPr>
        <w:t>Researcher with the Telecommunications Circuits Laboratory, EPFL. As part of his research, he led several full test chip integrations and tape outs. He has authored or coauthored more than 30 journal articles and international con</w:t>
      </w:r>
      <w:r>
        <w:rPr>
          <w:sz w:val="16"/>
        </w:rPr>
        <w:t xml:space="preserve">ference articles and seven patent applications. He has presented his research at a number of international conferences. He has coauthored the book </w:t>
      </w:r>
      <w:r>
        <w:rPr>
          <w:i/>
          <w:sz w:val="16"/>
        </w:rPr>
        <w:t>Gain-Cell Embedded DRAMs for Low-Power VLSI Systems-on-Chip</w:t>
      </w:r>
      <w:r>
        <w:rPr>
          <w:sz w:val="16"/>
        </w:rPr>
        <w:t>. His research interests include embedded DRAM des</w:t>
      </w:r>
      <w:r>
        <w:rPr>
          <w:sz w:val="16"/>
        </w:rPr>
        <w:t xml:space="preserve">ign and optimization for low-power and high-performance operation, error-correction and fault-tolerant circuits, development of hardware-security oriented embedded memories for use in low-power applications and high-end processors, and memory accelerators </w:t>
      </w:r>
      <w:r>
        <w:rPr>
          <w:sz w:val="16"/>
        </w:rPr>
        <w:t>for machine learning.</w:t>
      </w:r>
    </w:p>
    <w:p w:rsidR="002C68B0" w:rsidRDefault="00C1553A">
      <w:pPr>
        <w:spacing w:after="32" w:line="240" w:lineRule="auto"/>
        <w:ind w:left="-3" w:right="-3" w:hanging="10"/>
      </w:pPr>
      <w:r>
        <w:rPr>
          <w:b/>
          <w:sz w:val="16"/>
        </w:rPr>
        <w:t xml:space="preserve">Andrea </w:t>
      </w:r>
      <w:proofErr w:type="spellStart"/>
      <w:r>
        <w:rPr>
          <w:b/>
          <w:sz w:val="16"/>
        </w:rPr>
        <w:t>Bonetti</w:t>
      </w:r>
      <w:proofErr w:type="spellEnd"/>
      <w:r>
        <w:rPr>
          <w:b/>
          <w:sz w:val="16"/>
        </w:rPr>
        <w:t xml:space="preserve"> </w:t>
      </w:r>
      <w:r>
        <w:rPr>
          <w:sz w:val="16"/>
        </w:rPr>
        <w:t xml:space="preserve">received the bachelor’s degree in biomedical engineering and the master’s degree in electronic engineering from the </w:t>
      </w:r>
      <w:proofErr w:type="spellStart"/>
      <w:r>
        <w:rPr>
          <w:sz w:val="16"/>
        </w:rPr>
        <w:t>Politecnico</w:t>
      </w:r>
      <w:proofErr w:type="spellEnd"/>
      <w:r>
        <w:rPr>
          <w:sz w:val="16"/>
        </w:rPr>
        <w:t xml:space="preserve"> di Milano, Milan, Italy, in 2009 and 2012, respectively, and the Ph.D. degree from the Tele</w:t>
      </w:r>
      <w:r>
        <w:rPr>
          <w:sz w:val="16"/>
        </w:rPr>
        <w:t xml:space="preserve">communications Circuits Laboratory (TCL), </w:t>
      </w:r>
      <w:proofErr w:type="spellStart"/>
      <w:r>
        <w:rPr>
          <w:sz w:val="16"/>
        </w:rPr>
        <w:t>École</w:t>
      </w:r>
      <w:proofErr w:type="spellEnd"/>
      <w:r>
        <w:rPr>
          <w:sz w:val="16"/>
        </w:rPr>
        <w:t xml:space="preserve"> </w:t>
      </w:r>
      <w:proofErr w:type="spellStart"/>
      <w:r>
        <w:rPr>
          <w:sz w:val="16"/>
        </w:rPr>
        <w:t>Polytechnique</w:t>
      </w:r>
      <w:proofErr w:type="spellEnd"/>
      <w:r>
        <w:rPr>
          <w:sz w:val="16"/>
        </w:rPr>
        <w:t xml:space="preserve"> </w:t>
      </w:r>
      <w:proofErr w:type="spellStart"/>
      <w:r>
        <w:rPr>
          <w:sz w:val="16"/>
        </w:rPr>
        <w:t>Fédérale</w:t>
      </w:r>
      <w:proofErr w:type="spellEnd"/>
      <w:r>
        <w:rPr>
          <w:sz w:val="16"/>
        </w:rPr>
        <w:t xml:space="preserve"> de Lausanne (EPFL), Lausanne, Switzerland, in 2019.</w:t>
      </w:r>
    </w:p>
    <w:p w:rsidR="002C68B0" w:rsidRDefault="00C1553A">
      <w:pPr>
        <w:spacing w:after="32" w:line="240" w:lineRule="auto"/>
        <w:ind w:right="-3" w:firstLine="125"/>
      </w:pPr>
      <w:r>
        <w:rPr>
          <w:sz w:val="16"/>
        </w:rPr>
        <w:t>In 2011, he visited the Bio Engineering Laboratory (BEL), Swiss Federal Institute of Technology (ETH)</w:t>
      </w:r>
    </w:p>
    <w:p w:rsidR="002C68B0" w:rsidRDefault="00C1553A">
      <w:pPr>
        <w:spacing w:after="32" w:line="240" w:lineRule="auto"/>
        <w:ind w:left="-3" w:right="-3" w:hanging="10"/>
      </w:pPr>
      <w:r>
        <w:rPr>
          <w:sz w:val="16"/>
        </w:rPr>
        <w:t>Zürich, Zürich, Switzerland. Fr</w:t>
      </w:r>
      <w:r>
        <w:rPr>
          <w:sz w:val="16"/>
        </w:rPr>
        <w:t>om 2012 to 2014,</w:t>
      </w:r>
    </w:p>
    <w:p w:rsidR="002C68B0" w:rsidRDefault="00C1553A">
      <w:pPr>
        <w:spacing w:after="500" w:line="240" w:lineRule="auto"/>
        <w:ind w:left="-3" w:right="-3" w:hanging="10"/>
      </w:pPr>
      <w:r>
        <w:rPr>
          <w:noProof/>
        </w:rPr>
        <w:drawing>
          <wp:anchor distT="0" distB="0" distL="114300" distR="114300" simplePos="0" relativeHeight="251660288" behindDoc="0" locked="0" layoutInCell="1" allowOverlap="0">
            <wp:simplePos x="0" y="0"/>
            <wp:positionH relativeFrom="column">
              <wp:posOffset>1518</wp:posOffset>
            </wp:positionH>
            <wp:positionV relativeFrom="paragraph">
              <wp:posOffset>-1223124</wp:posOffset>
            </wp:positionV>
            <wp:extent cx="917575" cy="1146175"/>
            <wp:effectExtent l="0" t="0" r="0" b="0"/>
            <wp:wrapSquare wrapText="bothSides"/>
            <wp:docPr id="111650" name="Picture 111650"/>
            <wp:cNvGraphicFramePr/>
            <a:graphic xmlns:a="http://schemas.openxmlformats.org/drawingml/2006/main">
              <a:graphicData uri="http://schemas.openxmlformats.org/drawingml/2006/picture">
                <pic:pic xmlns:pic="http://schemas.openxmlformats.org/drawingml/2006/picture">
                  <pic:nvPicPr>
                    <pic:cNvPr id="111650" name="Picture 111650"/>
                    <pic:cNvPicPr/>
                  </pic:nvPicPr>
                  <pic:blipFill>
                    <a:blip r:embed="rId27"/>
                    <a:stretch>
                      <a:fillRect/>
                    </a:stretch>
                  </pic:blipFill>
                  <pic:spPr>
                    <a:xfrm>
                      <a:off x="0" y="0"/>
                      <a:ext cx="917575" cy="114617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column">
              <wp:posOffset>1518</wp:posOffset>
            </wp:positionH>
            <wp:positionV relativeFrom="paragraph">
              <wp:posOffset>902856</wp:posOffset>
            </wp:positionV>
            <wp:extent cx="917575" cy="1146175"/>
            <wp:effectExtent l="0" t="0" r="0" b="0"/>
            <wp:wrapSquare wrapText="bothSides"/>
            <wp:docPr id="111651" name="Picture 111651"/>
            <wp:cNvGraphicFramePr/>
            <a:graphic xmlns:a="http://schemas.openxmlformats.org/drawingml/2006/main">
              <a:graphicData uri="http://schemas.openxmlformats.org/drawingml/2006/picture">
                <pic:pic xmlns:pic="http://schemas.openxmlformats.org/drawingml/2006/picture">
                  <pic:nvPicPr>
                    <pic:cNvPr id="111651" name="Picture 111651"/>
                    <pic:cNvPicPr/>
                  </pic:nvPicPr>
                  <pic:blipFill>
                    <a:blip r:embed="rId28"/>
                    <a:stretch>
                      <a:fillRect/>
                    </a:stretch>
                  </pic:blipFill>
                  <pic:spPr>
                    <a:xfrm>
                      <a:off x="0" y="0"/>
                      <a:ext cx="917575" cy="1146175"/>
                    </a:xfrm>
                    <a:prstGeom prst="rect">
                      <a:avLst/>
                    </a:prstGeom>
                  </pic:spPr>
                </pic:pic>
              </a:graphicData>
            </a:graphic>
          </wp:anchor>
        </w:drawing>
      </w:r>
      <w:proofErr w:type="gramStart"/>
      <w:r>
        <w:rPr>
          <w:sz w:val="16"/>
        </w:rPr>
        <w:t>he</w:t>
      </w:r>
      <w:proofErr w:type="gramEnd"/>
      <w:r>
        <w:rPr>
          <w:sz w:val="16"/>
        </w:rPr>
        <w:t xml:space="preserve"> worked as a Design Engineer with </w:t>
      </w:r>
      <w:proofErr w:type="spellStart"/>
      <w:r>
        <w:rPr>
          <w:sz w:val="16"/>
        </w:rPr>
        <w:t>ams</w:t>
      </w:r>
      <w:proofErr w:type="spellEnd"/>
      <w:r>
        <w:rPr>
          <w:sz w:val="16"/>
        </w:rPr>
        <w:t xml:space="preserve"> AG, </w:t>
      </w:r>
      <w:proofErr w:type="spellStart"/>
      <w:r>
        <w:rPr>
          <w:sz w:val="16"/>
        </w:rPr>
        <w:t>Rapperswil</w:t>
      </w:r>
      <w:proofErr w:type="spellEnd"/>
      <w:r>
        <w:rPr>
          <w:sz w:val="16"/>
        </w:rPr>
        <w:t xml:space="preserve">, Switzerland, for the development of interfaces in MEMS sensors. In 2016, he visited the Circuits Research Laboratory, Intel Labs, </w:t>
      </w:r>
      <w:proofErr w:type="gramStart"/>
      <w:r>
        <w:rPr>
          <w:sz w:val="16"/>
        </w:rPr>
        <w:t>Hillsboro</w:t>
      </w:r>
      <w:proofErr w:type="gramEnd"/>
      <w:r>
        <w:rPr>
          <w:sz w:val="16"/>
        </w:rPr>
        <w:t>, OR, USA. His current research activity is focused on error-</w:t>
      </w:r>
      <w:r>
        <w:rPr>
          <w:sz w:val="16"/>
        </w:rPr>
        <w:t>tolerance techniques and memory design for low-power computing.</w:t>
      </w:r>
    </w:p>
    <w:p w:rsidR="002C68B0" w:rsidRDefault="00C1553A">
      <w:pPr>
        <w:spacing w:after="498" w:line="240" w:lineRule="auto"/>
        <w:ind w:left="-3" w:right="-3" w:hanging="10"/>
      </w:pPr>
      <w:r>
        <w:rPr>
          <w:b/>
          <w:sz w:val="16"/>
        </w:rPr>
        <w:t xml:space="preserve">Ester Vicario Bravo </w:t>
      </w:r>
      <w:r>
        <w:rPr>
          <w:sz w:val="16"/>
        </w:rPr>
        <w:t xml:space="preserve">received the B.Sc. degree in telecommunications engineering from the Technical University of Madrid in 2018. In 2018, she studied at the </w:t>
      </w:r>
      <w:proofErr w:type="spellStart"/>
      <w:r>
        <w:rPr>
          <w:sz w:val="16"/>
        </w:rPr>
        <w:t>Ecole</w:t>
      </w:r>
      <w:proofErr w:type="spellEnd"/>
      <w:r>
        <w:rPr>
          <w:sz w:val="16"/>
        </w:rPr>
        <w:t xml:space="preserve"> </w:t>
      </w:r>
      <w:proofErr w:type="spellStart"/>
      <w:r>
        <w:rPr>
          <w:sz w:val="16"/>
        </w:rPr>
        <w:t>Polytechnique</w:t>
      </w:r>
      <w:proofErr w:type="spellEnd"/>
      <w:r>
        <w:rPr>
          <w:sz w:val="16"/>
        </w:rPr>
        <w:t xml:space="preserve"> </w:t>
      </w:r>
      <w:proofErr w:type="spellStart"/>
      <w:r>
        <w:rPr>
          <w:sz w:val="16"/>
        </w:rPr>
        <w:t>Federale</w:t>
      </w:r>
      <w:proofErr w:type="spellEnd"/>
      <w:r>
        <w:rPr>
          <w:sz w:val="16"/>
        </w:rPr>
        <w:t xml:space="preserve"> de Lau</w:t>
      </w:r>
      <w:r>
        <w:rPr>
          <w:sz w:val="16"/>
        </w:rPr>
        <w:t xml:space="preserve">sanne (EPFL), where she collaborated with the Telecommunications Circuits Laboratory (TCL). She is currently pursuing the M.Sc. degree in embedded </w:t>
      </w:r>
      <w:r>
        <w:rPr>
          <w:sz w:val="16"/>
        </w:rPr>
        <w:lastRenderedPageBreak/>
        <w:t>systems with TU Delft University with a specialization in computer architecture. Her current research is focu</w:t>
      </w:r>
      <w:r>
        <w:rPr>
          <w:sz w:val="16"/>
        </w:rPr>
        <w:t>sed on dynamic memories and low-power circuits design.</w:t>
      </w:r>
    </w:p>
    <w:p w:rsidR="002C68B0" w:rsidRDefault="00C1553A">
      <w:pPr>
        <w:spacing w:after="32" w:line="240" w:lineRule="auto"/>
        <w:ind w:left="-3" w:right="-3" w:hanging="10"/>
      </w:pPr>
      <w:proofErr w:type="spellStart"/>
      <w:r>
        <w:rPr>
          <w:b/>
          <w:sz w:val="16"/>
        </w:rPr>
        <w:t>Tzachi</w:t>
      </w:r>
      <w:proofErr w:type="spellEnd"/>
      <w:r>
        <w:rPr>
          <w:b/>
          <w:sz w:val="16"/>
        </w:rPr>
        <w:t xml:space="preserve"> </w:t>
      </w:r>
      <w:proofErr w:type="spellStart"/>
      <w:r>
        <w:rPr>
          <w:b/>
          <w:sz w:val="16"/>
        </w:rPr>
        <w:t>Noy</w:t>
      </w:r>
      <w:proofErr w:type="spellEnd"/>
      <w:r>
        <w:rPr>
          <w:b/>
          <w:sz w:val="16"/>
        </w:rPr>
        <w:t xml:space="preserve"> </w:t>
      </w:r>
      <w:r>
        <w:rPr>
          <w:sz w:val="16"/>
        </w:rPr>
        <w:t>received the B.Sc. and M.Sc. degrees in electrical engineering from Bar-</w:t>
      </w:r>
      <w:proofErr w:type="spellStart"/>
      <w:r>
        <w:rPr>
          <w:sz w:val="16"/>
        </w:rPr>
        <w:t>Ilan</w:t>
      </w:r>
      <w:proofErr w:type="spellEnd"/>
      <w:r>
        <w:rPr>
          <w:sz w:val="16"/>
        </w:rPr>
        <w:t xml:space="preserve"> University, Ramat-</w:t>
      </w:r>
      <w:proofErr w:type="spellStart"/>
      <w:r>
        <w:rPr>
          <w:sz w:val="16"/>
        </w:rPr>
        <w:t>Gan</w:t>
      </w:r>
      <w:proofErr w:type="spellEnd"/>
      <w:r>
        <w:rPr>
          <w:sz w:val="16"/>
        </w:rPr>
        <w:t>, Israel, in 2007 and 2019, respectively. He is currently pursuing the Ph.D. degree in elect</w:t>
      </w:r>
      <w:r>
        <w:rPr>
          <w:sz w:val="16"/>
        </w:rPr>
        <w:t xml:space="preserve">rical engineering, under the supervision of Dr. Adam </w:t>
      </w:r>
      <w:proofErr w:type="spellStart"/>
      <w:r>
        <w:rPr>
          <w:sz w:val="16"/>
        </w:rPr>
        <w:t>Teman</w:t>
      </w:r>
      <w:proofErr w:type="spellEnd"/>
      <w:r>
        <w:rPr>
          <w:sz w:val="16"/>
        </w:rPr>
        <w:t xml:space="preserve">, from the Emerging </w:t>
      </w:r>
      <w:proofErr w:type="spellStart"/>
      <w:r>
        <w:rPr>
          <w:sz w:val="16"/>
        </w:rPr>
        <w:t>Nanoscaled</w:t>
      </w:r>
      <w:proofErr w:type="spellEnd"/>
      <w:r>
        <w:rPr>
          <w:sz w:val="16"/>
        </w:rPr>
        <w:t xml:space="preserve"> </w:t>
      </w:r>
      <w:proofErr w:type="spellStart"/>
      <w:r>
        <w:rPr>
          <w:sz w:val="16"/>
        </w:rPr>
        <w:t>Intergrated</w:t>
      </w:r>
      <w:proofErr w:type="spellEnd"/>
      <w:r>
        <w:rPr>
          <w:sz w:val="16"/>
        </w:rPr>
        <w:t xml:space="preserve"> Circuits and Systems (</w:t>
      </w:r>
      <w:proofErr w:type="spellStart"/>
      <w:r>
        <w:rPr>
          <w:sz w:val="16"/>
        </w:rPr>
        <w:t>EnICS</w:t>
      </w:r>
      <w:proofErr w:type="spellEnd"/>
      <w:r>
        <w:rPr>
          <w:sz w:val="16"/>
        </w:rPr>
        <w:t>) Lab, Bar-</w:t>
      </w:r>
      <w:proofErr w:type="spellStart"/>
      <w:r>
        <w:rPr>
          <w:sz w:val="16"/>
        </w:rPr>
        <w:t>Ilan</w:t>
      </w:r>
      <w:proofErr w:type="spellEnd"/>
      <w:r>
        <w:rPr>
          <w:sz w:val="16"/>
        </w:rPr>
        <w:t xml:space="preserve"> University. His research interests include EDA optimization heuristics, hardware implementations for low-power m</w:t>
      </w:r>
      <w:r>
        <w:rPr>
          <w:sz w:val="16"/>
        </w:rPr>
        <w:t>achine learning applications, design of very large-scale integration circuits, and</w:t>
      </w:r>
    </w:p>
    <w:p w:rsidR="002C68B0" w:rsidRDefault="00C1553A">
      <w:pPr>
        <w:spacing w:after="32" w:line="240" w:lineRule="auto"/>
        <w:ind w:left="-3" w:right="-3" w:hanging="10"/>
      </w:pPr>
      <w:r>
        <w:rPr>
          <w:noProof/>
        </w:rPr>
        <w:drawing>
          <wp:anchor distT="0" distB="0" distL="114300" distR="114300" simplePos="0" relativeHeight="251662336" behindDoc="0" locked="0" layoutInCell="1" allowOverlap="0">
            <wp:simplePos x="0" y="0"/>
            <wp:positionH relativeFrom="column">
              <wp:posOffset>1518</wp:posOffset>
            </wp:positionH>
            <wp:positionV relativeFrom="paragraph">
              <wp:posOffset>-1223115</wp:posOffset>
            </wp:positionV>
            <wp:extent cx="917575" cy="1146175"/>
            <wp:effectExtent l="0" t="0" r="0" b="0"/>
            <wp:wrapSquare wrapText="bothSides"/>
            <wp:docPr id="111652" name="Picture 111652"/>
            <wp:cNvGraphicFramePr/>
            <a:graphic xmlns:a="http://schemas.openxmlformats.org/drawingml/2006/main">
              <a:graphicData uri="http://schemas.openxmlformats.org/drawingml/2006/picture">
                <pic:pic xmlns:pic="http://schemas.openxmlformats.org/drawingml/2006/picture">
                  <pic:nvPicPr>
                    <pic:cNvPr id="111652" name="Picture 111652"/>
                    <pic:cNvPicPr/>
                  </pic:nvPicPr>
                  <pic:blipFill>
                    <a:blip r:embed="rId29"/>
                    <a:stretch>
                      <a:fillRect/>
                    </a:stretch>
                  </pic:blipFill>
                  <pic:spPr>
                    <a:xfrm>
                      <a:off x="0" y="0"/>
                      <a:ext cx="917575" cy="1146175"/>
                    </a:xfrm>
                    <a:prstGeom prst="rect">
                      <a:avLst/>
                    </a:prstGeom>
                  </pic:spPr>
                </pic:pic>
              </a:graphicData>
            </a:graphic>
          </wp:anchor>
        </w:drawing>
      </w:r>
      <w:proofErr w:type="gramStart"/>
      <w:r>
        <w:rPr>
          <w:sz w:val="16"/>
        </w:rPr>
        <w:t>high-performance</w:t>
      </w:r>
      <w:proofErr w:type="gramEnd"/>
      <w:r>
        <w:rPr>
          <w:sz w:val="16"/>
        </w:rPr>
        <w:t xml:space="preserve"> computer architectures.</w:t>
      </w:r>
    </w:p>
    <w:p w:rsidR="002C68B0" w:rsidRDefault="00C1553A">
      <w:pPr>
        <w:spacing w:after="32" w:line="240" w:lineRule="auto"/>
        <w:ind w:left="-3" w:right="-3" w:hanging="10"/>
      </w:pPr>
      <w:r>
        <w:rPr>
          <w:b/>
          <w:sz w:val="16"/>
        </w:rPr>
        <w:t xml:space="preserve">Adam </w:t>
      </w:r>
      <w:proofErr w:type="spellStart"/>
      <w:r>
        <w:rPr>
          <w:b/>
          <w:sz w:val="16"/>
        </w:rPr>
        <w:t>Teman</w:t>
      </w:r>
      <w:proofErr w:type="spellEnd"/>
      <w:r>
        <w:rPr>
          <w:b/>
          <w:sz w:val="16"/>
        </w:rPr>
        <w:t xml:space="preserve"> </w:t>
      </w:r>
      <w:r>
        <w:rPr>
          <w:sz w:val="16"/>
        </w:rPr>
        <w:t xml:space="preserve">received the B.Sc. degree in electrical engineering and the M.Sc. degree from Ben-Gurion University (BGU), </w:t>
      </w:r>
      <w:proofErr w:type="spellStart"/>
      <w:r>
        <w:rPr>
          <w:sz w:val="16"/>
        </w:rPr>
        <w:t>Be’er</w:t>
      </w:r>
      <w:proofErr w:type="spellEnd"/>
      <w:r>
        <w:rPr>
          <w:sz w:val="16"/>
        </w:rPr>
        <w:t xml:space="preserve"> </w:t>
      </w:r>
      <w:proofErr w:type="spellStart"/>
      <w:r>
        <w:rPr>
          <w:sz w:val="16"/>
        </w:rPr>
        <w:t>Sheva</w:t>
      </w:r>
      <w:proofErr w:type="spellEnd"/>
      <w:r>
        <w:rPr>
          <w:sz w:val="16"/>
        </w:rPr>
        <w:t xml:space="preserve">, </w:t>
      </w:r>
      <w:r>
        <w:rPr>
          <w:sz w:val="16"/>
        </w:rPr>
        <w:t>Israel, in 2006 and 2011, respectively. He received the Ph.D. degree, under the supervision of Prof. Alexander Fish, from the VLSI Systems Center, BGU, in 2014.</w:t>
      </w:r>
    </w:p>
    <w:p w:rsidR="002C68B0" w:rsidRDefault="00C1553A">
      <w:pPr>
        <w:spacing w:after="32" w:line="240" w:lineRule="auto"/>
        <w:ind w:right="-3" w:firstLine="122"/>
      </w:pPr>
      <w:r>
        <w:rPr>
          <w:sz w:val="16"/>
        </w:rPr>
        <w:t>He worked as a Design Engineer with Marvell Semiconductors from 2006 to 2007. From 2014 to 2015</w:t>
      </w:r>
      <w:r>
        <w:rPr>
          <w:sz w:val="16"/>
        </w:rPr>
        <w:t xml:space="preserve">, he was a Post-Doctoral Researcher with the Telecommunications Circuits Lab </w:t>
      </w:r>
      <w:proofErr w:type="gramStart"/>
      <w:r>
        <w:rPr>
          <w:sz w:val="16"/>
        </w:rPr>
        <w:t>( TCL</w:t>
      </w:r>
      <w:proofErr w:type="gramEnd"/>
      <w:r>
        <w:rPr>
          <w:sz w:val="16"/>
        </w:rPr>
        <w:t>),</w:t>
      </w:r>
    </w:p>
    <w:p w:rsidR="002C68B0" w:rsidRDefault="00C1553A">
      <w:pPr>
        <w:spacing w:after="32" w:line="240" w:lineRule="auto"/>
        <w:ind w:right="-3" w:firstLine="1642"/>
      </w:pPr>
      <w:r>
        <w:rPr>
          <w:noProof/>
        </w:rPr>
        <w:drawing>
          <wp:anchor distT="0" distB="0" distL="114300" distR="114300" simplePos="0" relativeHeight="251663360" behindDoc="0" locked="0" layoutInCell="1" allowOverlap="0">
            <wp:simplePos x="0" y="0"/>
            <wp:positionH relativeFrom="column">
              <wp:posOffset>10</wp:posOffset>
            </wp:positionH>
            <wp:positionV relativeFrom="paragraph">
              <wp:posOffset>-1108816</wp:posOffset>
            </wp:positionV>
            <wp:extent cx="917575" cy="1146175"/>
            <wp:effectExtent l="0" t="0" r="0" b="0"/>
            <wp:wrapSquare wrapText="bothSides"/>
            <wp:docPr id="111653" name="Picture 111653"/>
            <wp:cNvGraphicFramePr/>
            <a:graphic xmlns:a="http://schemas.openxmlformats.org/drawingml/2006/main">
              <a:graphicData uri="http://schemas.openxmlformats.org/drawingml/2006/picture">
                <pic:pic xmlns:pic="http://schemas.openxmlformats.org/drawingml/2006/picture">
                  <pic:nvPicPr>
                    <pic:cNvPr id="111653" name="Picture 111653"/>
                    <pic:cNvPicPr/>
                  </pic:nvPicPr>
                  <pic:blipFill>
                    <a:blip r:embed="rId30"/>
                    <a:stretch>
                      <a:fillRect/>
                    </a:stretch>
                  </pic:blipFill>
                  <pic:spPr>
                    <a:xfrm>
                      <a:off x="0" y="0"/>
                      <a:ext cx="917575" cy="1146175"/>
                    </a:xfrm>
                    <a:prstGeom prst="rect">
                      <a:avLst/>
                    </a:prstGeom>
                  </pic:spPr>
                </pic:pic>
              </a:graphicData>
            </a:graphic>
          </wp:anchor>
        </w:drawing>
      </w:r>
      <w:proofErr w:type="spellStart"/>
      <w:r>
        <w:rPr>
          <w:sz w:val="16"/>
        </w:rPr>
        <w:t>École</w:t>
      </w:r>
      <w:proofErr w:type="spellEnd"/>
      <w:r>
        <w:rPr>
          <w:sz w:val="16"/>
        </w:rPr>
        <w:t xml:space="preserve"> </w:t>
      </w:r>
      <w:proofErr w:type="spellStart"/>
      <w:r>
        <w:rPr>
          <w:sz w:val="16"/>
        </w:rPr>
        <w:t>Polytechnique</w:t>
      </w:r>
      <w:proofErr w:type="spellEnd"/>
      <w:r>
        <w:rPr>
          <w:sz w:val="16"/>
        </w:rPr>
        <w:t xml:space="preserve"> </w:t>
      </w:r>
      <w:proofErr w:type="spellStart"/>
      <w:r>
        <w:rPr>
          <w:sz w:val="16"/>
        </w:rPr>
        <w:t>Fédérale</w:t>
      </w:r>
      <w:proofErr w:type="spellEnd"/>
      <w:r>
        <w:rPr>
          <w:sz w:val="16"/>
        </w:rPr>
        <w:t xml:space="preserve"> de Lausanne </w:t>
      </w:r>
      <w:proofErr w:type="gramStart"/>
      <w:r>
        <w:rPr>
          <w:sz w:val="16"/>
        </w:rPr>
        <w:t>( EPFL</w:t>
      </w:r>
      <w:proofErr w:type="gramEnd"/>
      <w:r>
        <w:rPr>
          <w:sz w:val="16"/>
        </w:rPr>
        <w:t xml:space="preserve">), Switzerland, under a Swiss Government Excellence Scholarship. In </w:t>
      </w:r>
      <w:proofErr w:type="gramStart"/>
      <w:r>
        <w:rPr>
          <w:sz w:val="16"/>
        </w:rPr>
        <w:t>2015 ,</w:t>
      </w:r>
      <w:proofErr w:type="gramEnd"/>
      <w:r>
        <w:rPr>
          <w:sz w:val="16"/>
        </w:rPr>
        <w:t xml:space="preserve"> he joined the Faculty of Engineering, Bar-</w:t>
      </w:r>
      <w:proofErr w:type="spellStart"/>
      <w:r>
        <w:rPr>
          <w:sz w:val="16"/>
        </w:rPr>
        <w:t>Ilan</w:t>
      </w:r>
      <w:proofErr w:type="spellEnd"/>
      <w:r>
        <w:rPr>
          <w:sz w:val="16"/>
        </w:rPr>
        <w:t xml:space="preserve"> University (BIU), as a Tenure Track Senior Lecturer with the Department of Electrical E</w:t>
      </w:r>
      <w:r>
        <w:rPr>
          <w:sz w:val="16"/>
        </w:rPr>
        <w:t xml:space="preserve">ngineering and as the Co-Director of the Emerging </w:t>
      </w:r>
      <w:proofErr w:type="spellStart"/>
      <w:r>
        <w:rPr>
          <w:sz w:val="16"/>
        </w:rPr>
        <w:t>Nanoscaled</w:t>
      </w:r>
      <w:proofErr w:type="spellEnd"/>
      <w:r>
        <w:rPr>
          <w:sz w:val="16"/>
        </w:rPr>
        <w:t xml:space="preserve"> Integrated Circuits and Systems (</w:t>
      </w:r>
      <w:proofErr w:type="spellStart"/>
      <w:r>
        <w:rPr>
          <w:sz w:val="16"/>
        </w:rPr>
        <w:t>EnICS</w:t>
      </w:r>
      <w:proofErr w:type="spellEnd"/>
      <w:r>
        <w:rPr>
          <w:sz w:val="16"/>
        </w:rPr>
        <w:t xml:space="preserve">) Labs Research Center. He has coauthored the recently published book </w:t>
      </w:r>
      <w:r>
        <w:rPr>
          <w:i/>
          <w:sz w:val="16"/>
        </w:rPr>
        <w:t xml:space="preserve">Gain-Cell Embedded DRAMs for Low-Power VLSI </w:t>
      </w:r>
      <w:proofErr w:type="spellStart"/>
      <w:r>
        <w:rPr>
          <w:i/>
          <w:sz w:val="16"/>
        </w:rPr>
        <w:t>Systemson</w:t>
      </w:r>
      <w:proofErr w:type="spellEnd"/>
      <w:r>
        <w:rPr>
          <w:i/>
          <w:sz w:val="16"/>
        </w:rPr>
        <w:t xml:space="preserve">-Chip </w:t>
      </w:r>
      <w:r>
        <w:rPr>
          <w:sz w:val="16"/>
        </w:rPr>
        <w:t xml:space="preserve">(Springer). He has authored </w:t>
      </w:r>
      <w:r>
        <w:rPr>
          <w:sz w:val="16"/>
        </w:rPr>
        <w:t xml:space="preserve">more than 80 scientific articles and eight patent applications, and has participated in more than 15 IC </w:t>
      </w:r>
      <w:proofErr w:type="spellStart"/>
      <w:r>
        <w:rPr>
          <w:sz w:val="16"/>
        </w:rPr>
        <w:t>tapeouts</w:t>
      </w:r>
      <w:proofErr w:type="spellEnd"/>
      <w:r>
        <w:rPr>
          <w:sz w:val="16"/>
        </w:rPr>
        <w:t xml:space="preserve">. His research interests include embedded memories, energy efficient circuit design, </w:t>
      </w:r>
      <w:proofErr w:type="gramStart"/>
      <w:r>
        <w:rPr>
          <w:sz w:val="16"/>
        </w:rPr>
        <w:t>hardware</w:t>
      </w:r>
      <w:proofErr w:type="gramEnd"/>
      <w:r>
        <w:rPr>
          <w:sz w:val="16"/>
        </w:rPr>
        <w:t xml:space="preserve"> for artificial intelligence, hardware acceleration</w:t>
      </w:r>
      <w:r>
        <w:rPr>
          <w:sz w:val="16"/>
        </w:rPr>
        <w:t>, and methodologies for physical implementation.</w:t>
      </w:r>
    </w:p>
    <w:p w:rsidR="002C68B0" w:rsidRDefault="00C1553A">
      <w:pPr>
        <w:spacing w:after="741" w:line="240" w:lineRule="auto"/>
        <w:ind w:right="-3" w:firstLine="122"/>
      </w:pPr>
      <w:r>
        <w:rPr>
          <w:sz w:val="16"/>
        </w:rPr>
        <w:t xml:space="preserve">Dr. </w:t>
      </w:r>
      <w:proofErr w:type="spellStart"/>
      <w:r>
        <w:rPr>
          <w:sz w:val="16"/>
        </w:rPr>
        <w:t>Teman</w:t>
      </w:r>
      <w:proofErr w:type="spellEnd"/>
      <w:r>
        <w:rPr>
          <w:sz w:val="16"/>
        </w:rPr>
        <w:t xml:space="preserve"> is a member of the technical and review boards of several conferences and journals. His Ph.D. studies were conducted under a </w:t>
      </w:r>
      <w:proofErr w:type="spellStart"/>
      <w:r>
        <w:rPr>
          <w:sz w:val="16"/>
        </w:rPr>
        <w:t>Kreitman</w:t>
      </w:r>
      <w:proofErr w:type="spellEnd"/>
      <w:r>
        <w:rPr>
          <w:sz w:val="16"/>
        </w:rPr>
        <w:t xml:space="preserve"> Foundation Fellowship. He has been honored with Teaching Excell</w:t>
      </w:r>
      <w:r>
        <w:rPr>
          <w:sz w:val="16"/>
        </w:rPr>
        <w:t xml:space="preserve">ence recognitions at both BGU and BIU and has received multiple awards for outstanding research, including the </w:t>
      </w:r>
      <w:proofErr w:type="spellStart"/>
      <w:r>
        <w:rPr>
          <w:sz w:val="16"/>
        </w:rPr>
        <w:t>Yizhak</w:t>
      </w:r>
      <w:proofErr w:type="spellEnd"/>
      <w:r>
        <w:rPr>
          <w:sz w:val="16"/>
        </w:rPr>
        <w:t xml:space="preserve"> Ben-</w:t>
      </w:r>
      <w:proofErr w:type="spellStart"/>
      <w:r>
        <w:rPr>
          <w:sz w:val="16"/>
        </w:rPr>
        <w:t>Ya’akov</w:t>
      </w:r>
      <w:proofErr w:type="spellEnd"/>
      <w:r>
        <w:rPr>
          <w:sz w:val="16"/>
        </w:rPr>
        <w:t xml:space="preserve"> </w:t>
      </w:r>
      <w:proofErr w:type="spellStart"/>
      <w:r>
        <w:rPr>
          <w:sz w:val="16"/>
        </w:rPr>
        <w:t>HaCohen</w:t>
      </w:r>
      <w:proofErr w:type="spellEnd"/>
      <w:r>
        <w:rPr>
          <w:sz w:val="16"/>
        </w:rPr>
        <w:t xml:space="preserve"> Prize, the BGU Rector’s Prize, the Wolf Foundation Scholarship, and the Intel Prize. He is an Associate Editor of the </w:t>
      </w:r>
      <w:r>
        <w:rPr>
          <w:i/>
          <w:sz w:val="16"/>
        </w:rPr>
        <w:t>Microelectronics Journal</w:t>
      </w:r>
      <w:r>
        <w:rPr>
          <w:sz w:val="16"/>
        </w:rPr>
        <w:t>.</w:t>
      </w:r>
    </w:p>
    <w:p w:rsidR="002C68B0" w:rsidRDefault="00C1553A">
      <w:pPr>
        <w:spacing w:after="32" w:line="240" w:lineRule="auto"/>
        <w:ind w:left="-3" w:right="-3" w:hanging="10"/>
      </w:pPr>
      <w:r>
        <w:rPr>
          <w:b/>
          <w:sz w:val="16"/>
        </w:rPr>
        <w:t xml:space="preserve">Andreas Burg </w:t>
      </w:r>
      <w:r>
        <w:rPr>
          <w:sz w:val="16"/>
        </w:rPr>
        <w:t xml:space="preserve">(Member, IEEE) was born in Munich, Germany, in 1975. He received the </w:t>
      </w:r>
      <w:proofErr w:type="spellStart"/>
      <w:r>
        <w:rPr>
          <w:sz w:val="16"/>
        </w:rPr>
        <w:t>Dipl.Ing</w:t>
      </w:r>
      <w:proofErr w:type="spellEnd"/>
      <w:r>
        <w:rPr>
          <w:sz w:val="16"/>
        </w:rPr>
        <w:t xml:space="preserve">. </w:t>
      </w:r>
      <w:proofErr w:type="gramStart"/>
      <w:r>
        <w:rPr>
          <w:sz w:val="16"/>
        </w:rPr>
        <w:t>degree</w:t>
      </w:r>
      <w:proofErr w:type="gramEnd"/>
      <w:r>
        <w:rPr>
          <w:sz w:val="16"/>
        </w:rPr>
        <w:t xml:space="preserve"> from the Swiss Federal Institute of Technology (ETH) Zürich, Zürich, Switzerland, in 2000, and the </w:t>
      </w:r>
      <w:proofErr w:type="spellStart"/>
      <w:r>
        <w:rPr>
          <w:sz w:val="16"/>
        </w:rPr>
        <w:t>Dr.Sc.Techn</w:t>
      </w:r>
      <w:proofErr w:type="spellEnd"/>
      <w:r>
        <w:rPr>
          <w:sz w:val="16"/>
        </w:rPr>
        <w:t xml:space="preserve">. </w:t>
      </w:r>
      <w:proofErr w:type="gramStart"/>
      <w:r>
        <w:rPr>
          <w:sz w:val="16"/>
        </w:rPr>
        <w:t>degree</w:t>
      </w:r>
      <w:proofErr w:type="gramEnd"/>
      <w:r>
        <w:rPr>
          <w:sz w:val="16"/>
        </w:rPr>
        <w:t xml:space="preserve"> from the Int</w:t>
      </w:r>
      <w:r>
        <w:rPr>
          <w:sz w:val="16"/>
        </w:rPr>
        <w:t>egrated Systems Laboratory, ETH Zürich, in 2006.</w:t>
      </w:r>
    </w:p>
    <w:p w:rsidR="002C68B0" w:rsidRDefault="00C1553A">
      <w:pPr>
        <w:spacing w:after="32" w:line="240" w:lineRule="auto"/>
        <w:ind w:right="-3" w:firstLine="1764"/>
      </w:pPr>
      <w:r>
        <w:rPr>
          <w:noProof/>
        </w:rPr>
        <w:drawing>
          <wp:anchor distT="0" distB="0" distL="114300" distR="114300" simplePos="0" relativeHeight="251664384" behindDoc="0" locked="0" layoutInCell="1" allowOverlap="0">
            <wp:simplePos x="0" y="0"/>
            <wp:positionH relativeFrom="column">
              <wp:posOffset>10</wp:posOffset>
            </wp:positionH>
            <wp:positionV relativeFrom="paragraph">
              <wp:posOffset>-767443</wp:posOffset>
            </wp:positionV>
            <wp:extent cx="917575" cy="1146175"/>
            <wp:effectExtent l="0" t="0" r="0" b="0"/>
            <wp:wrapSquare wrapText="bothSides"/>
            <wp:docPr id="111654" name="Picture 111654"/>
            <wp:cNvGraphicFramePr/>
            <a:graphic xmlns:a="http://schemas.openxmlformats.org/drawingml/2006/main">
              <a:graphicData uri="http://schemas.openxmlformats.org/drawingml/2006/picture">
                <pic:pic xmlns:pic="http://schemas.openxmlformats.org/drawingml/2006/picture">
                  <pic:nvPicPr>
                    <pic:cNvPr id="111654" name="Picture 111654"/>
                    <pic:cNvPicPr/>
                  </pic:nvPicPr>
                  <pic:blipFill>
                    <a:blip r:embed="rId31"/>
                    <a:stretch>
                      <a:fillRect/>
                    </a:stretch>
                  </pic:blipFill>
                  <pic:spPr>
                    <a:xfrm>
                      <a:off x="0" y="0"/>
                      <a:ext cx="917575" cy="1146175"/>
                    </a:xfrm>
                    <a:prstGeom prst="rect">
                      <a:avLst/>
                    </a:prstGeom>
                  </pic:spPr>
                </pic:pic>
              </a:graphicData>
            </a:graphic>
          </wp:anchor>
        </w:drawing>
      </w:r>
      <w:r>
        <w:rPr>
          <w:sz w:val="16"/>
        </w:rPr>
        <w:t>In 1998, he was with Siemens Semiconductors, San Jose, CA, USA. During his Ph.D. studies, he was with the Bell Labs Wireless Research for a total of 1 year. From 2006 to 2007, he was a Post-Doctoral Researc</w:t>
      </w:r>
      <w:r>
        <w:rPr>
          <w:sz w:val="16"/>
        </w:rPr>
        <w:t xml:space="preserve">her with the Integrated Systems Laboratory and with the Communication Theory Group, ETH Zürich. In 2007, he co-founded </w:t>
      </w:r>
      <w:proofErr w:type="spellStart"/>
      <w:r>
        <w:rPr>
          <w:sz w:val="16"/>
        </w:rPr>
        <w:t>Celestrius</w:t>
      </w:r>
      <w:proofErr w:type="spellEnd"/>
      <w:r>
        <w:rPr>
          <w:sz w:val="16"/>
        </w:rPr>
        <w:t>, an ETH-spinoff in the field of MIMO wireless communication, where he was responsible for the ASIC development as Director for</w:t>
      </w:r>
      <w:r>
        <w:rPr>
          <w:sz w:val="16"/>
        </w:rPr>
        <w:t xml:space="preserve"> VLSI. In 2009, he joined ETH Zürich as an SNF Assistant Professor and as the Head of the Signal Processing Circuits and Systems Group, Integrated Systems Laboratory. Since 2011, he has been a Tenure Track Assistant Professor with the </w:t>
      </w:r>
      <w:proofErr w:type="spellStart"/>
      <w:r>
        <w:rPr>
          <w:sz w:val="16"/>
        </w:rPr>
        <w:t>École</w:t>
      </w:r>
      <w:proofErr w:type="spellEnd"/>
      <w:r>
        <w:rPr>
          <w:sz w:val="16"/>
        </w:rPr>
        <w:t xml:space="preserve"> </w:t>
      </w:r>
      <w:proofErr w:type="spellStart"/>
      <w:r>
        <w:rPr>
          <w:sz w:val="16"/>
        </w:rPr>
        <w:t>Polytechnique</w:t>
      </w:r>
      <w:proofErr w:type="spellEnd"/>
      <w:r>
        <w:rPr>
          <w:sz w:val="16"/>
        </w:rPr>
        <w:t xml:space="preserve"> </w:t>
      </w:r>
      <w:proofErr w:type="spellStart"/>
      <w:r>
        <w:rPr>
          <w:sz w:val="16"/>
        </w:rPr>
        <w:t>F</w:t>
      </w:r>
      <w:r>
        <w:rPr>
          <w:sz w:val="16"/>
        </w:rPr>
        <w:t>édérale</w:t>
      </w:r>
      <w:proofErr w:type="spellEnd"/>
      <w:r>
        <w:rPr>
          <w:sz w:val="16"/>
        </w:rPr>
        <w:t xml:space="preserve"> de Lausanne (EPFL), where he is currently leading the Telecommunications Circuits Laboratory.</w:t>
      </w:r>
    </w:p>
    <w:p w:rsidR="002C68B0" w:rsidRDefault="00C1553A">
      <w:pPr>
        <w:spacing w:after="32" w:line="240" w:lineRule="auto"/>
        <w:ind w:right="-3" w:firstLine="122"/>
      </w:pPr>
      <w:r>
        <w:rPr>
          <w:sz w:val="16"/>
        </w:rPr>
        <w:t xml:space="preserve">He is also a member of the EURASIP SAT SPCN and of the IEEE TCDISPS. In 2000, he received the </w:t>
      </w:r>
      <w:proofErr w:type="spellStart"/>
      <w:r>
        <w:rPr>
          <w:sz w:val="16"/>
        </w:rPr>
        <w:t>Willi</w:t>
      </w:r>
      <w:proofErr w:type="spellEnd"/>
      <w:r>
        <w:rPr>
          <w:sz w:val="16"/>
        </w:rPr>
        <w:t xml:space="preserve"> </w:t>
      </w:r>
      <w:proofErr w:type="spellStart"/>
      <w:r>
        <w:rPr>
          <w:sz w:val="16"/>
        </w:rPr>
        <w:t>Studer</w:t>
      </w:r>
      <w:proofErr w:type="spellEnd"/>
      <w:r>
        <w:rPr>
          <w:sz w:val="16"/>
        </w:rPr>
        <w:t xml:space="preserve"> Award and the ETH Medal for his diploma and his</w:t>
      </w:r>
      <w:r>
        <w:rPr>
          <w:sz w:val="16"/>
        </w:rPr>
        <w:t xml:space="preserve"> diploma thesis, respectively. He was also awarded an ETH Medal for his Ph.D. dissertation in 2006. In 2008, he received a 4-years grant from the </w:t>
      </w:r>
      <w:r>
        <w:rPr>
          <w:sz w:val="16"/>
        </w:rPr>
        <w:lastRenderedPageBreak/>
        <w:t>Swiss National Science Foundation (SNF) for an SNF Assistant Professorship. With his students, he received the</w:t>
      </w:r>
      <w:r>
        <w:rPr>
          <w:sz w:val="16"/>
        </w:rPr>
        <w:t xml:space="preserve"> Best Paper Award from the </w:t>
      </w:r>
      <w:r>
        <w:rPr>
          <w:i/>
          <w:sz w:val="16"/>
        </w:rPr>
        <w:t xml:space="preserve">EURASIP Journal on Image and Video Processing </w:t>
      </w:r>
      <w:r>
        <w:rPr>
          <w:sz w:val="16"/>
        </w:rPr>
        <w:t>in 2013 and best demo/paper awards at ISCAS 2013, ICECS 2013, and at ACSSC 2007. He has served on the TPC of various conferences on signal processing, communications, and VLSI. He was</w:t>
      </w:r>
      <w:r>
        <w:rPr>
          <w:sz w:val="16"/>
        </w:rPr>
        <w:t xml:space="preserve"> a TPC Co-Chair for VLSI-</w:t>
      </w:r>
      <w:proofErr w:type="spellStart"/>
      <w:r>
        <w:rPr>
          <w:sz w:val="16"/>
        </w:rPr>
        <w:t>SoC</w:t>
      </w:r>
      <w:proofErr w:type="spellEnd"/>
      <w:r>
        <w:rPr>
          <w:sz w:val="16"/>
        </w:rPr>
        <w:t xml:space="preserve"> 2012 and the TCP Co-Chair for ESSCIRC 2016 and </w:t>
      </w:r>
      <w:proofErr w:type="spellStart"/>
      <w:r>
        <w:rPr>
          <w:sz w:val="16"/>
        </w:rPr>
        <w:t>SiPS</w:t>
      </w:r>
      <w:proofErr w:type="spellEnd"/>
      <w:r>
        <w:rPr>
          <w:sz w:val="16"/>
        </w:rPr>
        <w:t xml:space="preserve"> 2017. He served as an Editor of the IEEE T</w:t>
      </w:r>
      <w:r>
        <w:rPr>
          <w:sz w:val="13"/>
        </w:rPr>
        <w:t xml:space="preserve">RANSACTIONS OF </w:t>
      </w:r>
      <w:r>
        <w:rPr>
          <w:sz w:val="16"/>
        </w:rPr>
        <w:t>C</w:t>
      </w:r>
      <w:r>
        <w:rPr>
          <w:sz w:val="13"/>
        </w:rPr>
        <w:t xml:space="preserve">IRCUITS AND </w:t>
      </w:r>
      <w:r>
        <w:rPr>
          <w:sz w:val="16"/>
        </w:rPr>
        <w:t>S</w:t>
      </w:r>
      <w:r>
        <w:rPr>
          <w:sz w:val="13"/>
        </w:rPr>
        <w:t xml:space="preserve">YSTEMS </w:t>
      </w:r>
      <w:r>
        <w:rPr>
          <w:sz w:val="16"/>
        </w:rPr>
        <w:t xml:space="preserve">in 2013 and on the Editorial Board of the </w:t>
      </w:r>
      <w:r>
        <w:rPr>
          <w:i/>
          <w:sz w:val="16"/>
        </w:rPr>
        <w:t xml:space="preserve">Microelectronics Journal </w:t>
      </w:r>
      <w:r>
        <w:rPr>
          <w:sz w:val="16"/>
        </w:rPr>
        <w:t>(Springer). He is an Editor of</w:t>
      </w:r>
      <w:r>
        <w:rPr>
          <w:sz w:val="16"/>
        </w:rPr>
        <w:t xml:space="preserve"> the </w:t>
      </w:r>
      <w:r>
        <w:rPr>
          <w:i/>
          <w:sz w:val="16"/>
        </w:rPr>
        <w:t xml:space="preserve">Journal of Signal Processing Systems </w:t>
      </w:r>
      <w:r>
        <w:rPr>
          <w:sz w:val="16"/>
        </w:rPr>
        <w:t xml:space="preserve">(Springer), and the </w:t>
      </w:r>
      <w:r>
        <w:rPr>
          <w:i/>
          <w:sz w:val="16"/>
        </w:rPr>
        <w:t xml:space="preserve">Journal of Low Power Electronics and Applications </w:t>
      </w:r>
      <w:proofErr w:type="gramStart"/>
      <w:r>
        <w:rPr>
          <w:sz w:val="16"/>
        </w:rPr>
        <w:t>( MDPI</w:t>
      </w:r>
      <w:proofErr w:type="gramEnd"/>
      <w:r>
        <w:rPr>
          <w:sz w:val="16"/>
        </w:rPr>
        <w:t xml:space="preserve"> ).</w:t>
      </w:r>
    </w:p>
    <w:sectPr w:rsidR="002C68B0">
      <w:type w:val="continuous"/>
      <w:pgSz w:w="12240" w:h="15840"/>
      <w:pgMar w:top="1176" w:right="970" w:bottom="766" w:left="977" w:header="720" w:footer="720" w:gutter="0"/>
      <w:cols w:num="2" w:space="23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53A" w:rsidRDefault="00C1553A">
      <w:pPr>
        <w:spacing w:after="0" w:line="240" w:lineRule="auto"/>
      </w:pPr>
      <w:r>
        <w:separator/>
      </w:r>
    </w:p>
  </w:endnote>
  <w:endnote w:type="continuationSeparator" w:id="0">
    <w:p w:rsidR="00C1553A" w:rsidRDefault="00C15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0" w:line="240" w:lineRule="auto"/>
      <w:ind w:left="0" w:right="0" w:firstLine="0"/>
      <w:jc w:val="center"/>
    </w:pPr>
    <w:r>
      <w:rPr>
        <w:rFonts w:ascii="Arial" w:eastAsia="Arial" w:hAnsi="Arial" w:cs="Arial"/>
        <w:color w:val="000000"/>
        <w:sz w:val="14"/>
      </w:rPr>
      <w:t>Authorized licensed use limited to: Macquarie University. Downloaded on March 03</w:t>
    </w:r>
    <w:proofErr w:type="gramStart"/>
    <w:r>
      <w:rPr>
        <w:rFonts w:ascii="Arial" w:eastAsia="Arial" w:hAnsi="Arial" w:cs="Arial"/>
        <w:color w:val="000000"/>
        <w:sz w:val="14"/>
      </w:rPr>
      <w:t>,2020</w:t>
    </w:r>
    <w:proofErr w:type="gramEnd"/>
    <w:r>
      <w:rPr>
        <w:rFonts w:ascii="Arial" w:eastAsia="Arial" w:hAnsi="Arial" w:cs="Arial"/>
        <w:color w:val="000000"/>
        <w:sz w:val="14"/>
      </w:rPr>
      <w:t xml:space="preserve"> at </w:t>
    </w:r>
    <w:r>
      <w:rPr>
        <w:rFonts w:ascii="Arial" w:eastAsia="Arial" w:hAnsi="Arial" w:cs="Arial"/>
        <w:color w:val="000000"/>
        <w:sz w:val="14"/>
      </w:rPr>
      <w:t xml:space="preserve">18:09:09 UTC from IEEE </w:t>
    </w:r>
    <w:proofErr w:type="spellStart"/>
    <w:r>
      <w:rPr>
        <w:rFonts w:ascii="Arial" w:eastAsia="Arial" w:hAnsi="Arial" w:cs="Arial"/>
        <w:color w:val="000000"/>
        <w:sz w:val="14"/>
      </w:rPr>
      <w:t>Xplore</w:t>
    </w:r>
    <w:proofErr w:type="spellEnd"/>
    <w:r>
      <w:rPr>
        <w:rFonts w:ascii="Arial" w:eastAsia="Arial" w:hAnsi="Arial" w:cs="Arial"/>
        <w:color w:val="000000"/>
        <w:sz w:val="14"/>
      </w:rPr>
      <w:t xml:space="preserve">.  Restrictions apply.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0" w:line="240" w:lineRule="auto"/>
      <w:ind w:left="0" w:right="0" w:firstLine="0"/>
      <w:jc w:val="center"/>
    </w:pPr>
    <w:r>
      <w:rPr>
        <w:rFonts w:ascii="Arial" w:eastAsia="Arial" w:hAnsi="Arial" w:cs="Arial"/>
        <w:color w:val="000000"/>
        <w:sz w:val="14"/>
      </w:rPr>
      <w:t>Authorized licensed use limited to: Macquarie University. Downloaded on March 03</w:t>
    </w:r>
    <w:proofErr w:type="gramStart"/>
    <w:r>
      <w:rPr>
        <w:rFonts w:ascii="Arial" w:eastAsia="Arial" w:hAnsi="Arial" w:cs="Arial"/>
        <w:color w:val="000000"/>
        <w:sz w:val="14"/>
      </w:rPr>
      <w:t>,2020</w:t>
    </w:r>
    <w:proofErr w:type="gramEnd"/>
    <w:r>
      <w:rPr>
        <w:rFonts w:ascii="Arial" w:eastAsia="Arial" w:hAnsi="Arial" w:cs="Arial"/>
        <w:color w:val="000000"/>
        <w:sz w:val="14"/>
      </w:rPr>
      <w:t xml:space="preserve"> at 18:09:09 UTC from IEEE </w:t>
    </w:r>
    <w:proofErr w:type="spellStart"/>
    <w:r>
      <w:rPr>
        <w:rFonts w:ascii="Arial" w:eastAsia="Arial" w:hAnsi="Arial" w:cs="Arial"/>
        <w:color w:val="000000"/>
        <w:sz w:val="14"/>
      </w:rPr>
      <w:t>Xplore</w:t>
    </w:r>
    <w:proofErr w:type="spellEnd"/>
    <w:r>
      <w:rPr>
        <w:rFonts w:ascii="Arial" w:eastAsia="Arial" w:hAnsi="Arial" w:cs="Arial"/>
        <w:color w:val="000000"/>
        <w:sz w:val="14"/>
      </w:rPr>
      <w:t xml:space="preserve">.  Restrictions apply.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0" w:line="240" w:lineRule="auto"/>
      <w:ind w:left="0" w:right="0" w:firstLine="0"/>
      <w:jc w:val="center"/>
    </w:pPr>
    <w:r>
      <w:rPr>
        <w:rFonts w:ascii="Arial" w:eastAsia="Arial" w:hAnsi="Arial" w:cs="Arial"/>
        <w:color w:val="000000"/>
        <w:sz w:val="14"/>
      </w:rPr>
      <w:t>Authorized licensed use limited to: Macquarie University. Dow</w:t>
    </w:r>
    <w:r>
      <w:rPr>
        <w:rFonts w:ascii="Arial" w:eastAsia="Arial" w:hAnsi="Arial" w:cs="Arial"/>
        <w:color w:val="000000"/>
        <w:sz w:val="14"/>
      </w:rPr>
      <w:t>nloaded on March 03</w:t>
    </w:r>
    <w:proofErr w:type="gramStart"/>
    <w:r>
      <w:rPr>
        <w:rFonts w:ascii="Arial" w:eastAsia="Arial" w:hAnsi="Arial" w:cs="Arial"/>
        <w:color w:val="000000"/>
        <w:sz w:val="14"/>
      </w:rPr>
      <w:t>,2020</w:t>
    </w:r>
    <w:proofErr w:type="gramEnd"/>
    <w:r>
      <w:rPr>
        <w:rFonts w:ascii="Arial" w:eastAsia="Arial" w:hAnsi="Arial" w:cs="Arial"/>
        <w:color w:val="000000"/>
        <w:sz w:val="14"/>
      </w:rPr>
      <w:t xml:space="preserve"> at 18:09:09 UTC from IEEE </w:t>
    </w:r>
    <w:proofErr w:type="spellStart"/>
    <w:r>
      <w:rPr>
        <w:rFonts w:ascii="Arial" w:eastAsia="Arial" w:hAnsi="Arial" w:cs="Arial"/>
        <w:color w:val="000000"/>
        <w:sz w:val="14"/>
      </w:rPr>
      <w:t>Xplore</w:t>
    </w:r>
    <w:proofErr w:type="spellEnd"/>
    <w:r>
      <w:rPr>
        <w:rFonts w:ascii="Arial" w:eastAsia="Arial" w:hAnsi="Arial" w:cs="Arial"/>
        <w:color w:val="000000"/>
        <w:sz w:val="14"/>
      </w:rPr>
      <w:t xml:space="preserve">.  Restrictions apply.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53A" w:rsidRDefault="00C1553A">
      <w:pPr>
        <w:spacing w:after="0" w:line="240" w:lineRule="auto"/>
      </w:pPr>
      <w:r>
        <w:separator/>
      </w:r>
    </w:p>
  </w:footnote>
  <w:footnote w:type="continuationSeparator" w:id="0">
    <w:p w:rsidR="00C1553A" w:rsidRDefault="00C1553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251" w:line="240" w:lineRule="auto"/>
      <w:ind w:left="0" w:right="0" w:firstLine="0"/>
      <w:jc w:val="center"/>
    </w:pPr>
    <w:r>
      <w:rPr>
        <w:color w:val="000000"/>
        <w:sz w:val="16"/>
      </w:rPr>
      <w:t xml:space="preserve">This article has been accepted for inclusion in a future issue of this journal. Content is final as presented, with the exception of pagination. </w:t>
    </w:r>
  </w:p>
  <w:p w:rsidR="002C68B0" w:rsidRDefault="00C1553A">
    <w:pPr>
      <w:spacing w:after="0" w:line="240" w:lineRule="auto"/>
      <w:ind w:left="0" w:right="0" w:firstLine="0"/>
    </w:pPr>
    <w:r>
      <w:fldChar w:fldCharType="begin"/>
    </w:r>
    <w:r>
      <w:instrText xml:space="preserve"> PAGE   \* MERGEFORMAT </w:instrText>
    </w:r>
    <w:r>
      <w:fldChar w:fldCharType="separate"/>
    </w:r>
    <w:r w:rsidR="00C1116F" w:rsidRPr="00C1116F">
      <w:rPr>
        <w:noProof/>
        <w:sz w:val="14"/>
      </w:rPr>
      <w:t>12</w:t>
    </w:r>
    <w:r>
      <w:rPr>
        <w:sz w:val="14"/>
      </w:rPr>
      <w:fldChar w:fldCharType="end"/>
    </w:r>
    <w:r>
      <w:rPr>
        <w:sz w:val="14"/>
      </w:rPr>
      <w:tab/>
      <w:t xml:space="preserve">IEEE TRANSACTIONS ON CIRCUITS AND SYSTEMS–I: REGULAR PAPERS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251" w:line="240" w:lineRule="auto"/>
      <w:ind w:left="0" w:right="0" w:firstLine="0"/>
      <w:jc w:val="center"/>
    </w:pPr>
    <w:r>
      <w:rPr>
        <w:color w:val="000000"/>
        <w:sz w:val="16"/>
      </w:rPr>
      <w:t>This article has been</w:t>
    </w:r>
    <w:r>
      <w:rPr>
        <w:color w:val="000000"/>
        <w:sz w:val="16"/>
      </w:rPr>
      <w:t xml:space="preserve"> accepted for inclusion in a future issue of this journal. Content is final as presented, with the exception of pagination. </w:t>
    </w:r>
  </w:p>
  <w:p w:rsidR="002C68B0" w:rsidRDefault="00C1553A">
    <w:pPr>
      <w:spacing w:after="0" w:line="240" w:lineRule="auto"/>
      <w:ind w:left="0" w:right="0" w:firstLine="0"/>
    </w:pPr>
    <w:r>
      <w:rPr>
        <w:sz w:val="14"/>
      </w:rPr>
      <w:t xml:space="preserve">GITERMAN </w:t>
    </w:r>
    <w:r>
      <w:rPr>
        <w:i/>
        <w:sz w:val="14"/>
      </w:rPr>
      <w:t>et al.</w:t>
    </w:r>
    <w:r>
      <w:rPr>
        <w:sz w:val="14"/>
      </w:rPr>
      <w:t xml:space="preserve">: CURRENT-BASED DATA-RETENTION-TIME CHARACTERIZATION OF GAIN-CELL EMBEDDED DRAMs </w:t>
    </w:r>
    <w:r>
      <w:fldChar w:fldCharType="begin"/>
    </w:r>
    <w:r>
      <w:instrText xml:space="preserve"> PAGE   \* MERGEFORMAT </w:instrText>
    </w:r>
    <w:r>
      <w:fldChar w:fldCharType="separate"/>
    </w:r>
    <w:r w:rsidR="00C1116F" w:rsidRPr="00C1116F">
      <w:rPr>
        <w:noProof/>
        <w:sz w:val="14"/>
      </w:rPr>
      <w:t>11</w:t>
    </w:r>
    <w:r>
      <w:rPr>
        <w:sz w:val="1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68B0" w:rsidRDefault="00C1553A">
    <w:pPr>
      <w:spacing w:after="251" w:line="240" w:lineRule="auto"/>
      <w:ind w:left="0" w:right="0" w:firstLine="0"/>
      <w:jc w:val="center"/>
    </w:pPr>
    <w:r>
      <w:rPr>
        <w:color w:val="000000"/>
        <w:sz w:val="16"/>
      </w:rPr>
      <w:t>This ar</w:t>
    </w:r>
    <w:r>
      <w:rPr>
        <w:color w:val="000000"/>
        <w:sz w:val="16"/>
      </w:rPr>
      <w:t xml:space="preserve">ticle has been accepted for inclusion in a future issue of this journal. Content is final as presented, with the exception of pagination. </w:t>
    </w:r>
  </w:p>
  <w:p w:rsidR="002C68B0" w:rsidRDefault="00C1553A">
    <w:pPr>
      <w:spacing w:after="0" w:line="240" w:lineRule="auto"/>
      <w:ind w:left="0" w:right="0" w:firstLine="0"/>
      <w:jc w:val="right"/>
    </w:pPr>
    <w:r>
      <w:fldChar w:fldCharType="begin"/>
    </w:r>
    <w:r>
      <w:instrText xml:space="preserve"> PAGE   \* MERGEFORMAT </w:instrText>
    </w:r>
    <w:r>
      <w:fldChar w:fldCharType="separate"/>
    </w:r>
    <w:r w:rsidR="00C1116F" w:rsidRPr="00C1116F">
      <w:rPr>
        <w:noProof/>
        <w:sz w:val="14"/>
      </w:rPr>
      <w:t>1</w:t>
    </w:r>
    <w:r>
      <w:rPr>
        <w:sz w:val="1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15A3B"/>
    <w:multiLevelType w:val="hybridMultilevel"/>
    <w:tmpl w:val="9F82D01E"/>
    <w:lvl w:ilvl="0" w:tplc="84202D42">
      <w:start w:val="1"/>
      <w:numFmt w:val="upperLetter"/>
      <w:lvlText w:val="%1."/>
      <w:lvlJc w:val="left"/>
      <w:pPr>
        <w:ind w:left="243"/>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1" w:tplc="822666E0">
      <w:start w:val="1"/>
      <w:numFmt w:val="lowerLetter"/>
      <w:lvlText w:val="%2"/>
      <w:lvlJc w:val="left"/>
      <w:pPr>
        <w:ind w:left="10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2" w:tplc="34B46A7C">
      <w:start w:val="1"/>
      <w:numFmt w:val="lowerRoman"/>
      <w:lvlText w:val="%3"/>
      <w:lvlJc w:val="left"/>
      <w:pPr>
        <w:ind w:left="18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3" w:tplc="903235E0">
      <w:start w:val="1"/>
      <w:numFmt w:val="decimal"/>
      <w:lvlText w:val="%4"/>
      <w:lvlJc w:val="left"/>
      <w:pPr>
        <w:ind w:left="25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4" w:tplc="5F2A44FE">
      <w:start w:val="1"/>
      <w:numFmt w:val="lowerLetter"/>
      <w:lvlText w:val="%5"/>
      <w:lvlJc w:val="left"/>
      <w:pPr>
        <w:ind w:left="324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5" w:tplc="1848F426">
      <w:start w:val="1"/>
      <w:numFmt w:val="lowerRoman"/>
      <w:lvlText w:val="%6"/>
      <w:lvlJc w:val="left"/>
      <w:pPr>
        <w:ind w:left="396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6" w:tplc="147E9A06">
      <w:start w:val="1"/>
      <w:numFmt w:val="decimal"/>
      <w:lvlText w:val="%7"/>
      <w:lvlJc w:val="left"/>
      <w:pPr>
        <w:ind w:left="46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7" w:tplc="5C0A73E2">
      <w:start w:val="1"/>
      <w:numFmt w:val="lowerLetter"/>
      <w:lvlText w:val="%8"/>
      <w:lvlJc w:val="left"/>
      <w:pPr>
        <w:ind w:left="54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8" w:tplc="2C68D6DE">
      <w:start w:val="1"/>
      <w:numFmt w:val="lowerRoman"/>
      <w:lvlText w:val="%9"/>
      <w:lvlJc w:val="left"/>
      <w:pPr>
        <w:ind w:left="61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abstractNum>
  <w:abstractNum w:abstractNumId="1">
    <w:nsid w:val="11644AF6"/>
    <w:multiLevelType w:val="hybridMultilevel"/>
    <w:tmpl w:val="F98620DE"/>
    <w:lvl w:ilvl="0" w:tplc="49024B3C">
      <w:start w:val="1"/>
      <w:numFmt w:val="decimal"/>
      <w:lvlText w:val="%1."/>
      <w:lvlJc w:val="left"/>
      <w:pPr>
        <w:ind w:left="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1" w:tplc="D11EED3A">
      <w:start w:val="1"/>
      <w:numFmt w:val="lowerLetter"/>
      <w:lvlText w:val="%2"/>
      <w:lvlJc w:val="left"/>
      <w:pPr>
        <w:ind w:left="108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2" w:tplc="933CD9DA">
      <w:start w:val="1"/>
      <w:numFmt w:val="lowerRoman"/>
      <w:lvlText w:val="%3"/>
      <w:lvlJc w:val="left"/>
      <w:pPr>
        <w:ind w:left="180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3" w:tplc="1AE0887E">
      <w:start w:val="1"/>
      <w:numFmt w:val="decimal"/>
      <w:lvlText w:val="%4"/>
      <w:lvlJc w:val="left"/>
      <w:pPr>
        <w:ind w:left="252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4" w:tplc="B92671E4">
      <w:start w:val="1"/>
      <w:numFmt w:val="lowerLetter"/>
      <w:lvlText w:val="%5"/>
      <w:lvlJc w:val="left"/>
      <w:pPr>
        <w:ind w:left="324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5" w:tplc="9874458C">
      <w:start w:val="1"/>
      <w:numFmt w:val="lowerRoman"/>
      <w:lvlText w:val="%6"/>
      <w:lvlJc w:val="left"/>
      <w:pPr>
        <w:ind w:left="396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6" w:tplc="A258BCBA">
      <w:start w:val="1"/>
      <w:numFmt w:val="decimal"/>
      <w:lvlText w:val="%7"/>
      <w:lvlJc w:val="left"/>
      <w:pPr>
        <w:ind w:left="468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7" w:tplc="A14C5F9C">
      <w:start w:val="1"/>
      <w:numFmt w:val="lowerLetter"/>
      <w:lvlText w:val="%8"/>
      <w:lvlJc w:val="left"/>
      <w:pPr>
        <w:ind w:left="540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8" w:tplc="5A606974">
      <w:start w:val="1"/>
      <w:numFmt w:val="lowerRoman"/>
      <w:lvlText w:val="%9"/>
      <w:lvlJc w:val="left"/>
      <w:pPr>
        <w:ind w:left="6120"/>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abstractNum>
  <w:abstractNum w:abstractNumId="2">
    <w:nsid w:val="2B285271"/>
    <w:multiLevelType w:val="hybridMultilevel"/>
    <w:tmpl w:val="DC02E0A0"/>
    <w:lvl w:ilvl="0" w:tplc="EE6C5006">
      <w:start w:val="1"/>
      <w:numFmt w:val="decimal"/>
      <w:lvlText w:val="%1)"/>
      <w:lvlJc w:val="left"/>
      <w:pPr>
        <w:ind w:left="485"/>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1" w:tplc="5F1E5EA0">
      <w:start w:val="1"/>
      <w:numFmt w:val="lowerLetter"/>
      <w:lvlText w:val="%2"/>
      <w:lvlJc w:val="left"/>
      <w:pPr>
        <w:ind w:left="127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2" w:tplc="8B581C76">
      <w:start w:val="1"/>
      <w:numFmt w:val="lowerRoman"/>
      <w:lvlText w:val="%3"/>
      <w:lvlJc w:val="left"/>
      <w:pPr>
        <w:ind w:left="199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3" w:tplc="6368024A">
      <w:start w:val="1"/>
      <w:numFmt w:val="decimal"/>
      <w:lvlText w:val="%4"/>
      <w:lvlJc w:val="left"/>
      <w:pPr>
        <w:ind w:left="271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4" w:tplc="5276F116">
      <w:start w:val="1"/>
      <w:numFmt w:val="lowerLetter"/>
      <w:lvlText w:val="%5"/>
      <w:lvlJc w:val="left"/>
      <w:pPr>
        <w:ind w:left="343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5" w:tplc="84D42B68">
      <w:start w:val="1"/>
      <w:numFmt w:val="lowerRoman"/>
      <w:lvlText w:val="%6"/>
      <w:lvlJc w:val="left"/>
      <w:pPr>
        <w:ind w:left="415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6" w:tplc="A9CC6246">
      <w:start w:val="1"/>
      <w:numFmt w:val="decimal"/>
      <w:lvlText w:val="%7"/>
      <w:lvlJc w:val="left"/>
      <w:pPr>
        <w:ind w:left="487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7" w:tplc="7BDAF8AC">
      <w:start w:val="1"/>
      <w:numFmt w:val="lowerLetter"/>
      <w:lvlText w:val="%8"/>
      <w:lvlJc w:val="left"/>
      <w:pPr>
        <w:ind w:left="559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lvl w:ilvl="8" w:tplc="71B0DA58">
      <w:start w:val="1"/>
      <w:numFmt w:val="lowerRoman"/>
      <w:lvlText w:val="%9"/>
      <w:lvlJc w:val="left"/>
      <w:pPr>
        <w:ind w:left="6319"/>
      </w:pPr>
      <w:rPr>
        <w:rFonts w:ascii="Times New Roman" w:eastAsia="Times New Roman" w:hAnsi="Times New Roman" w:cs="Times New Roman"/>
        <w:b w:val="0"/>
        <w:i w:val="0"/>
        <w:strike w:val="0"/>
        <w:dstrike w:val="0"/>
        <w:color w:val="181717"/>
        <w:sz w:val="20"/>
        <w:u w:val="none" w:color="000000"/>
        <w:bdr w:val="none" w:sz="0" w:space="0" w:color="auto"/>
        <w:shd w:val="clear" w:color="auto" w:fill="auto"/>
        <w:vertAlign w:val="baseline"/>
      </w:rPr>
    </w:lvl>
  </w:abstractNum>
  <w:abstractNum w:abstractNumId="3">
    <w:nsid w:val="406653E6"/>
    <w:multiLevelType w:val="hybridMultilevel"/>
    <w:tmpl w:val="D478B224"/>
    <w:lvl w:ilvl="0" w:tplc="A6CED8DE">
      <w:start w:val="1"/>
      <w:numFmt w:val="decimal"/>
      <w:lvlText w:val="[%1]"/>
      <w:lvlJc w:val="left"/>
      <w:pPr>
        <w:ind w:left="365"/>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1" w:tplc="431ACB38">
      <w:start w:val="1"/>
      <w:numFmt w:val="lowerLetter"/>
      <w:lvlText w:val="%2"/>
      <w:lvlJc w:val="left"/>
      <w:pPr>
        <w:ind w:left="108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2" w:tplc="D694A832">
      <w:start w:val="1"/>
      <w:numFmt w:val="lowerRoman"/>
      <w:lvlText w:val="%3"/>
      <w:lvlJc w:val="left"/>
      <w:pPr>
        <w:ind w:left="180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3" w:tplc="0512036E">
      <w:start w:val="1"/>
      <w:numFmt w:val="decimal"/>
      <w:lvlText w:val="%4"/>
      <w:lvlJc w:val="left"/>
      <w:pPr>
        <w:ind w:left="252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4" w:tplc="FB1E4A7E">
      <w:start w:val="1"/>
      <w:numFmt w:val="lowerLetter"/>
      <w:lvlText w:val="%5"/>
      <w:lvlJc w:val="left"/>
      <w:pPr>
        <w:ind w:left="324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5" w:tplc="4260CA32">
      <w:start w:val="1"/>
      <w:numFmt w:val="lowerRoman"/>
      <w:lvlText w:val="%6"/>
      <w:lvlJc w:val="left"/>
      <w:pPr>
        <w:ind w:left="396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6" w:tplc="93A0C3F0">
      <w:start w:val="1"/>
      <w:numFmt w:val="decimal"/>
      <w:lvlText w:val="%7"/>
      <w:lvlJc w:val="left"/>
      <w:pPr>
        <w:ind w:left="468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7" w:tplc="7A22EA88">
      <w:start w:val="1"/>
      <w:numFmt w:val="lowerLetter"/>
      <w:lvlText w:val="%8"/>
      <w:lvlJc w:val="left"/>
      <w:pPr>
        <w:ind w:left="540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lvl w:ilvl="8" w:tplc="E8C0BC1C">
      <w:start w:val="1"/>
      <w:numFmt w:val="lowerRoman"/>
      <w:lvlText w:val="%9"/>
      <w:lvlJc w:val="left"/>
      <w:pPr>
        <w:ind w:left="6120"/>
      </w:pPr>
      <w:rPr>
        <w:rFonts w:ascii="Times New Roman" w:eastAsia="Times New Roman" w:hAnsi="Times New Roman" w:cs="Times New Roman"/>
        <w:b w:val="0"/>
        <w:i w:val="0"/>
        <w:strike w:val="0"/>
        <w:dstrike w:val="0"/>
        <w:color w:val="181717"/>
        <w:sz w:val="16"/>
        <w:u w:val="none" w:color="000000"/>
        <w:bdr w:val="none" w:sz="0" w:space="0" w:color="auto"/>
        <w:shd w:val="clear" w:color="auto" w:fill="auto"/>
        <w:vertAlign w:val="baseline"/>
      </w:rPr>
    </w:lvl>
  </w:abstractNum>
  <w:abstractNum w:abstractNumId="4">
    <w:nsid w:val="48B175D7"/>
    <w:multiLevelType w:val="hybridMultilevel"/>
    <w:tmpl w:val="33EE9676"/>
    <w:lvl w:ilvl="0" w:tplc="CFFC7A2C">
      <w:start w:val="1"/>
      <w:numFmt w:val="decimal"/>
      <w:lvlText w:val="%1)"/>
      <w:lvlJc w:val="left"/>
      <w:pPr>
        <w:ind w:left="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1" w:tplc="695EA418">
      <w:start w:val="1"/>
      <w:numFmt w:val="lowerLetter"/>
      <w:lvlText w:val="%2"/>
      <w:lvlJc w:val="left"/>
      <w:pPr>
        <w:ind w:left="10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2" w:tplc="B024059C">
      <w:start w:val="1"/>
      <w:numFmt w:val="lowerRoman"/>
      <w:lvlText w:val="%3"/>
      <w:lvlJc w:val="left"/>
      <w:pPr>
        <w:ind w:left="18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3" w:tplc="A5C2A4A8">
      <w:start w:val="1"/>
      <w:numFmt w:val="decimal"/>
      <w:lvlText w:val="%4"/>
      <w:lvlJc w:val="left"/>
      <w:pPr>
        <w:ind w:left="25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4" w:tplc="46520ED8">
      <w:start w:val="1"/>
      <w:numFmt w:val="lowerLetter"/>
      <w:lvlText w:val="%5"/>
      <w:lvlJc w:val="left"/>
      <w:pPr>
        <w:ind w:left="324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5" w:tplc="CBC86040">
      <w:start w:val="1"/>
      <w:numFmt w:val="lowerRoman"/>
      <w:lvlText w:val="%6"/>
      <w:lvlJc w:val="left"/>
      <w:pPr>
        <w:ind w:left="396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6" w:tplc="ED1CE83C">
      <w:start w:val="1"/>
      <w:numFmt w:val="decimal"/>
      <w:lvlText w:val="%7"/>
      <w:lvlJc w:val="left"/>
      <w:pPr>
        <w:ind w:left="46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7" w:tplc="D7DEE482">
      <w:start w:val="1"/>
      <w:numFmt w:val="lowerLetter"/>
      <w:lvlText w:val="%8"/>
      <w:lvlJc w:val="left"/>
      <w:pPr>
        <w:ind w:left="54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8" w:tplc="CC4049EE">
      <w:start w:val="1"/>
      <w:numFmt w:val="lowerRoman"/>
      <w:lvlText w:val="%9"/>
      <w:lvlJc w:val="left"/>
      <w:pPr>
        <w:ind w:left="61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abstractNum>
  <w:abstractNum w:abstractNumId="5">
    <w:nsid w:val="7D306A6A"/>
    <w:multiLevelType w:val="hybridMultilevel"/>
    <w:tmpl w:val="5AA8652C"/>
    <w:lvl w:ilvl="0" w:tplc="BE625E26">
      <w:start w:val="2"/>
      <w:numFmt w:val="upperLetter"/>
      <w:lvlText w:val="%1."/>
      <w:lvlJc w:val="left"/>
      <w:pPr>
        <w:ind w:left="254"/>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1" w:tplc="6FA810EC">
      <w:start w:val="1"/>
      <w:numFmt w:val="lowerLetter"/>
      <w:lvlText w:val="%2"/>
      <w:lvlJc w:val="left"/>
      <w:pPr>
        <w:ind w:left="10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2" w:tplc="AA306BCA">
      <w:start w:val="1"/>
      <w:numFmt w:val="lowerRoman"/>
      <w:lvlText w:val="%3"/>
      <w:lvlJc w:val="left"/>
      <w:pPr>
        <w:ind w:left="18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3" w:tplc="BD087816">
      <w:start w:val="1"/>
      <w:numFmt w:val="decimal"/>
      <w:lvlText w:val="%4"/>
      <w:lvlJc w:val="left"/>
      <w:pPr>
        <w:ind w:left="25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4" w:tplc="6F5EE942">
      <w:start w:val="1"/>
      <w:numFmt w:val="lowerLetter"/>
      <w:lvlText w:val="%5"/>
      <w:lvlJc w:val="left"/>
      <w:pPr>
        <w:ind w:left="324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5" w:tplc="08A86FE0">
      <w:start w:val="1"/>
      <w:numFmt w:val="lowerRoman"/>
      <w:lvlText w:val="%6"/>
      <w:lvlJc w:val="left"/>
      <w:pPr>
        <w:ind w:left="396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6" w:tplc="830285A2">
      <w:start w:val="1"/>
      <w:numFmt w:val="decimal"/>
      <w:lvlText w:val="%7"/>
      <w:lvlJc w:val="left"/>
      <w:pPr>
        <w:ind w:left="468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7" w:tplc="40AC5184">
      <w:start w:val="1"/>
      <w:numFmt w:val="lowerLetter"/>
      <w:lvlText w:val="%8"/>
      <w:lvlJc w:val="left"/>
      <w:pPr>
        <w:ind w:left="540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lvl w:ilvl="8" w:tplc="918C1BC0">
      <w:start w:val="1"/>
      <w:numFmt w:val="lowerRoman"/>
      <w:lvlText w:val="%9"/>
      <w:lvlJc w:val="left"/>
      <w:pPr>
        <w:ind w:left="6120"/>
      </w:pPr>
      <w:rPr>
        <w:rFonts w:ascii="Times New Roman" w:eastAsia="Times New Roman" w:hAnsi="Times New Roman" w:cs="Times New Roman"/>
        <w:b w:val="0"/>
        <w:i/>
        <w:strike w:val="0"/>
        <w:dstrike w:val="0"/>
        <w:color w:val="181717"/>
        <w:sz w:val="20"/>
        <w:u w:val="none" w:color="000000"/>
        <w:bdr w:val="none" w:sz="0" w:space="0" w:color="auto"/>
        <w:shd w:val="clear" w:color="auto" w:fill="auto"/>
        <w:vertAlign w:val="baseline"/>
      </w:rPr>
    </w:lvl>
  </w:abstractNum>
  <w:num w:numId="1">
    <w:abstractNumId w:val="2"/>
  </w:num>
  <w:num w:numId="2">
    <w:abstractNumId w:val="1"/>
  </w:num>
  <w:num w:numId="3">
    <w:abstractNumId w:val="5"/>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8B0"/>
    <w:rsid w:val="000052BD"/>
    <w:rsid w:val="00214679"/>
    <w:rsid w:val="002C68B0"/>
    <w:rsid w:val="00313E11"/>
    <w:rsid w:val="0035694E"/>
    <w:rsid w:val="004143E7"/>
    <w:rsid w:val="00560DCE"/>
    <w:rsid w:val="00573496"/>
    <w:rsid w:val="005B5DAE"/>
    <w:rsid w:val="00C1116F"/>
    <w:rsid w:val="00C1553A"/>
    <w:rsid w:val="00ED42F0"/>
    <w:rsid w:val="00EF3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696CFD-4DDD-456C-99D6-D9C0A400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3" w:line="244" w:lineRule="auto"/>
      <w:ind w:left="-13" w:right="-6" w:firstLine="189"/>
      <w:jc w:val="both"/>
    </w:pPr>
    <w:rPr>
      <w:rFonts w:ascii="Times New Roman" w:eastAsia="Times New Roman" w:hAnsi="Times New Roman" w:cs="Times New Roman"/>
      <w:color w:val="181717"/>
      <w:sz w:val="20"/>
    </w:rPr>
  </w:style>
  <w:style w:type="paragraph" w:styleId="Heading1">
    <w:name w:val="heading 1"/>
    <w:next w:val="Normal"/>
    <w:link w:val="Heading1Char"/>
    <w:uiPriority w:val="9"/>
    <w:unhideWhenUsed/>
    <w:qFormat/>
    <w:pPr>
      <w:keepNext/>
      <w:keepLines/>
      <w:spacing w:after="114" w:line="246" w:lineRule="auto"/>
      <w:ind w:left="10" w:right="-15" w:hanging="10"/>
      <w:jc w:val="center"/>
      <w:outlineLvl w:val="0"/>
    </w:pPr>
    <w:rPr>
      <w:rFonts w:ascii="Times New Roman" w:eastAsia="Times New Roman" w:hAnsi="Times New Roman" w:cs="Times New Roman"/>
      <w:color w:val="181717"/>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181717"/>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8031</Words>
  <Characters>45777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Current-Based Data-Retention-Time Characterization of Gain-Cell Embedded DRAMs Across the Design and Variations Space</vt:lpstr>
    </vt:vector>
  </TitlesOfParts>
  <Company/>
  <LinksUpToDate>false</LinksUpToDate>
  <CharactersWithSpaces>53701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Current-Based Data-Retention-Time Characterization of Gain-Cell Embedded DRAMs Across the Design and Variations Space</dc:title>
  <dc:subject>IEEE Transactions on Circuits and Systems I: Regular Papers; ;PP;99;10.1109/TCSI.2020.2971695</dc:subject>
  <dc:creator>Rockstar JP Sama</dc:creator>
  <cp:keywords/>
  <cp:lastModifiedBy>Rockstar JP Sama</cp:lastModifiedBy>
  <cp:revision>3</cp:revision>
  <dcterms:created xsi:type="dcterms:W3CDTF">2021-04-04T01:02:00Z</dcterms:created>
  <dcterms:modified xsi:type="dcterms:W3CDTF">2021-04-04T01:02:00Z</dcterms:modified>
</cp:coreProperties>
</file>