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before="0" w:after="120" w:line="324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ascii="Times New Roman" w:hAnsi="Times New Roman" w:eastAsia="黑体"/>
          <w:b/>
          <w:color w:val="000000"/>
          <w:sz w:val="60"/>
        </w:rPr>
        <w:t>LLaVA v1.5 7B 与 MMSep 多模态推理系统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before="0" w:after="120" w:line="324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ascii="Times New Roman" w:hAnsi="Times New Roman" w:eastAsia="黑体"/>
          <w:b/>
          <w:color w:val="000000"/>
          <w:sz w:val="52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856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2026-09-21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6FBE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8603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依据15条正式用例与缺陷清单形成上交版</w:t>
            </w:r>
          </w:p>
        </w:tc>
        <w:tc>
          <w:tcPr>
            <w:tcW w:w="11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2FC76">
            <w:pPr>
              <w:spacing w:after="0" w:line="276" w:lineRule="auto"/>
              <w:jc w:val="center"/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李晨希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、汪嘉楠</w:t>
            </w: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before="0" w:after="120" w:line="324" w:lineRule="auto"/>
        <w:jc w:val="center"/>
        <w:rPr>
          <w:rFonts w:eastAsia="黑体"/>
          <w:b/>
          <w:sz w:val="28"/>
          <w:szCs w:val="28"/>
        </w:rPr>
      </w:pPr>
      <w:r>
        <w:rPr>
          <w:rFonts w:ascii="Times New Roman" w:hAnsi="Times New Roman" w:eastAsia="黑体"/>
          <w:b/>
          <w:color w:val="000000"/>
          <w:sz w:val="36"/>
        </w:rPr>
        <w:t>目  录</w:t>
      </w:r>
    </w:p>
    <w:p w14:paraId="649BCC64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_Toc768 </w:instrText>
      </w:r>
      <w:r>
        <w:fldChar w:fldCharType="separate"/>
      </w:r>
      <w:r>
        <w:rPr>
          <w:rFonts w:ascii="Times New Roman" w:hAnsi="Times New Roman" w:eastAsia="黑体"/>
        </w:rPr>
        <w:t>1 被测对象及AI融合方案概述</w:t>
      </w:r>
      <w:r>
        <w:tab/>
      </w:r>
      <w:r>
        <w:fldChar w:fldCharType="begin"/>
      </w:r>
      <w:r>
        <w:instrText xml:space="preserve"> PAGEREF _Toc768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6A8A172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instrText xml:space="preserve"> HYPERLINK \l _Toc18905 </w:instrText>
      </w:r>
      <w:r>
        <w:fldChar w:fldCharType="separate"/>
      </w:r>
      <w:r>
        <w:rPr>
          <w:rFonts w:ascii="Times New Roman" w:hAnsi="Times New Roman" w:eastAsia="黑体"/>
        </w:rPr>
        <w:t>2 AI实践过程与成果</w:t>
      </w:r>
      <w:r>
        <w:tab/>
      </w:r>
      <w:r>
        <w:fldChar w:fldCharType="begin"/>
      </w:r>
      <w:r>
        <w:instrText xml:space="preserve"> PAGEREF _Toc18905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70D82C73">
      <w:pPr>
        <w:pStyle w:val="9"/>
        <w:tabs>
          <w:tab w:val="right" w:leader="dot" w:pos="8306"/>
        </w:tabs>
      </w:pPr>
      <w:r>
        <w:rPr>
          <w:color w:val="000000"/>
        </w:rPr>
        <w:fldChar w:fldCharType="begin"/>
      </w:r>
      <w:r>
        <w:instrText xml:space="preserve"> HYPERLINK \l _Toc31782 </w:instrText>
      </w:r>
      <w:r>
        <w:fldChar w:fldCharType="separate"/>
      </w:r>
      <w:r>
        <w:rPr>
          <w:rFonts w:ascii="Times New Roman" w:hAnsi="Times New Roman" w:eastAsia="黑体"/>
        </w:rPr>
        <w:t>2.1 实践过程</w:t>
      </w:r>
      <w:r>
        <w:tab/>
      </w:r>
      <w:r>
        <w:fldChar w:fldCharType="begin"/>
      </w:r>
      <w:r>
        <w:instrText xml:space="preserve"> PAGEREF _Toc31782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05B87F4C">
      <w:pPr>
        <w:pStyle w:val="9"/>
        <w:tabs>
          <w:tab w:val="right" w:leader="dot" w:pos="8306"/>
        </w:tabs>
      </w:pPr>
      <w:r>
        <w:rPr>
          <w:color w:val="000000"/>
        </w:rPr>
        <w:fldChar w:fldCharType="begin"/>
      </w:r>
      <w:r>
        <w:instrText xml:space="preserve"> HYPERLINK \l _Toc11813 </w:instrText>
      </w:r>
      <w:r>
        <w:fldChar w:fldCharType="separate"/>
      </w:r>
      <w:r>
        <w:rPr>
          <w:rFonts w:ascii="Times New Roman" w:hAnsi="Times New Roman" w:eastAsia="黑体"/>
        </w:rPr>
        <w:t>2.2 新增测试成果</w:t>
      </w:r>
      <w:r>
        <w:tab/>
      </w:r>
      <w:r>
        <w:fldChar w:fldCharType="begin"/>
      </w:r>
      <w:r>
        <w:instrText xml:space="preserve"> PAGEREF _Toc11813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19B7BCB8">
      <w:pPr>
        <w:pStyle w:val="9"/>
        <w:tabs>
          <w:tab w:val="right" w:leader="dot" w:pos="8306"/>
        </w:tabs>
      </w:pPr>
      <w:r>
        <w:rPr>
          <w:color w:val="000000"/>
        </w:rPr>
        <w:fldChar w:fldCharType="begin"/>
      </w:r>
      <w:r>
        <w:instrText xml:space="preserve"> HYPERLINK \l _Toc25892 </w:instrText>
      </w:r>
      <w:r>
        <w:fldChar w:fldCharType="separate"/>
      </w:r>
      <w:r>
        <w:rPr>
          <w:rFonts w:ascii="Times New Roman" w:hAnsi="Times New Roman" w:eastAsia="黑体"/>
        </w:rPr>
        <w:t>2.3 测试环境</w:t>
      </w:r>
      <w:r>
        <w:tab/>
      </w:r>
      <w:r>
        <w:fldChar w:fldCharType="begin"/>
      </w:r>
      <w:r>
        <w:instrText xml:space="preserve"> PAGEREF _Toc25892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0647AD4E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instrText xml:space="preserve"> HYPERLINK \l _Toc8737 </w:instrText>
      </w:r>
      <w:r>
        <w:fldChar w:fldCharType="separate"/>
      </w:r>
      <w:r>
        <w:rPr>
          <w:rFonts w:ascii="Times New Roman" w:hAnsi="Times New Roman" w:eastAsia="黑体"/>
        </w:rPr>
        <w:t>3 AI反思与批判</w:t>
      </w:r>
      <w:r>
        <w:tab/>
      </w:r>
      <w:r>
        <w:fldChar w:fldCharType="begin"/>
      </w:r>
      <w:r>
        <w:instrText xml:space="preserve"> PAGEREF _Toc8737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380E67DD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instrText xml:space="preserve"> HYPERLINK \l _Toc10867 </w:instrText>
      </w:r>
      <w:r>
        <w:fldChar w:fldCharType="separate"/>
      </w:r>
      <w:r>
        <w:rPr>
          <w:rFonts w:ascii="Times New Roman" w:hAnsi="Times New Roman" w:eastAsia="黑体"/>
        </w:rPr>
        <w:t>6 小组成员贡献度</w:t>
      </w:r>
      <w:r>
        <w:tab/>
      </w:r>
      <w:r>
        <w:fldChar w:fldCharType="begin"/>
      </w:r>
      <w:r>
        <w:instrText xml:space="preserve"> PAGEREF _Toc10867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66385F56">
      <w:pPr>
        <w:pStyle w:val="8"/>
        <w:jc w:val="left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color w:val="000000"/>
        </w:rPr>
        <w:fldChar w:fldCharType="end"/>
      </w:r>
    </w:p>
    <w:p w14:paraId="1BAE4D45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</w:p>
    <w:p w14:paraId="08D7208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</w:p>
    <w:p w14:paraId="40082B1F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</w:p>
    <w:p w14:paraId="146B07B3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</w:p>
    <w:p w14:paraId="691323C9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</w:p>
    <w:p w14:paraId="1E50B3F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319CBCC">
      <w:pPr>
        <w:pStyle w:val="2"/>
        <w:spacing w:before="0" w:after="120" w:line="324" w:lineRule="auto"/>
        <w:jc w:val="both"/>
        <w:rPr>
          <w:sz w:val="28"/>
          <w:szCs w:val="28"/>
        </w:rPr>
      </w:pPr>
      <w:bookmarkStart w:id="0" w:name="_Toc768"/>
      <w:r>
        <w:rPr>
          <w:rFonts w:ascii="Times New Roman" w:hAnsi="Times New Roman" w:eastAsia="黑体"/>
          <w:b/>
          <w:color w:val="000000"/>
          <w:sz w:val="32"/>
        </w:rPr>
        <w:t>1 被测对象及AI融合方案概述</w:t>
      </w:r>
      <w:bookmarkEnd w:id="0"/>
    </w:p>
    <w:p w14:paraId="7AA79872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被测系统为本地 LLaVA v1.5 7B 多模态推理系统，输入图片和文本问题，输出自然语言答案。关键实现包括 MMSep 运行时、视觉分隔符选择、统一模型适配器、自动化运行器和代码 Oracle，相关核心代码约 1018 行。</w:t>
      </w:r>
    </w:p>
    <w:p w14:paraId="3E5B39B6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本项目选择方案1“测试对象含AI”。Baseline 使用原始推理配置；MMSep 在同一模型权重、输入、4-bit 精度和解码参数下选择重要视觉 token，并压缩视觉 KV Cache。测试目标是在保持回答质量的同时验证缓存压缩和性能收益。</w:t>
      </w:r>
    </w:p>
    <w:p w14:paraId="3623D2BC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AI 模块的主要难点是输出存在表达差异，对提示词和图像扰动敏感，且质量、安全、公平和性能需要联合判断。为保证可判定性，用例采用限定标签、必需短语、禁止字符串或成对一致性作为代码 Oracle，不使用其他大模型评分。</w:t>
      </w:r>
    </w:p>
    <w:p w14:paraId="4CC1DED9">
      <w:pPr>
        <w:spacing w:line="312" w:lineRule="auto"/>
        <w:ind w:firstLine="420"/>
        <w:rPr>
          <w:iCs/>
          <w:color w:val="0000FF"/>
        </w:rPr>
      </w:pPr>
    </w:p>
    <w:p w14:paraId="104F8C5D">
      <w:pPr>
        <w:pStyle w:val="2"/>
        <w:spacing w:before="0" w:after="120" w:line="324" w:lineRule="auto"/>
        <w:jc w:val="both"/>
        <w:rPr>
          <w:sz w:val="28"/>
          <w:szCs w:val="28"/>
        </w:rPr>
      </w:pPr>
      <w:bookmarkStart w:id="1" w:name="_Toc18905"/>
      <w:r>
        <w:rPr>
          <w:rFonts w:ascii="Times New Roman" w:hAnsi="Times New Roman" w:eastAsia="黑体"/>
          <w:b/>
          <w:color w:val="000000"/>
          <w:sz w:val="32"/>
        </w:rPr>
        <w:t>2 AI实践过程与成果</w:t>
      </w:r>
      <w:bookmarkEnd w:id="1"/>
    </w:p>
    <w:p w14:paraId="1EAC3553">
      <w:pPr>
        <w:pStyle w:val="3"/>
        <w:spacing w:before="0" w:after="120" w:line="324" w:lineRule="auto"/>
        <w:jc w:val="both"/>
        <w:rPr>
          <w:rFonts w:ascii="Times New Roman" w:hAnsi="Times New Roman"/>
          <w:sz w:val="24"/>
          <w:szCs w:val="24"/>
        </w:rPr>
      </w:pPr>
      <w:bookmarkStart w:id="2" w:name="_Toc31782"/>
      <w:r>
        <w:rPr>
          <w:rFonts w:ascii="Times New Roman" w:hAnsi="Times New Roman" w:eastAsia="黑体"/>
          <w:b/>
          <w:color w:val="000000"/>
          <w:sz w:val="26"/>
        </w:rPr>
        <w:t>2.1 实践过程</w:t>
      </w:r>
      <w:bookmarkEnd w:id="2"/>
    </w:p>
    <w:p w14:paraId="1636C2C5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小组先冻结模型、输入、种子和解码参数，再用同一入口依次运行 Baseline 与 MMSep。15条用例覆盖功能3条、鲁棒性4条、安全性3条、公平性3条和性能2条。确定性用例运行1次，风险类用例使用种子42、2026、925；性能用例预热2次并正式测量5次。</w:t>
      </w:r>
    </w:p>
    <w:p w14:paraId="4E71393C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运行结果写入原始 JSONL 和汇总 JSON，并关联用例、配置、输入哈希、模型输出、耗时、显存和 Oracle 结果。正式批次无程序执行错误，模型输出 Oracle 通过26/30；把性能阈值计入用例结论后通过11/15，通过率73.33%。</w:t>
      </w:r>
    </w:p>
    <w:p w14:paraId="72B53BD0">
      <w:pPr>
        <w:pStyle w:val="3"/>
        <w:spacing w:before="0" w:after="120" w:line="324" w:lineRule="auto"/>
        <w:jc w:val="both"/>
        <w:rPr>
          <w:rFonts w:ascii="Times New Roman" w:hAnsi="Times New Roman"/>
          <w:sz w:val="24"/>
          <w:szCs w:val="24"/>
        </w:rPr>
      </w:pPr>
      <w:bookmarkStart w:id="3" w:name="_Toc11813"/>
      <w:r>
        <w:rPr>
          <w:rFonts w:ascii="Times New Roman" w:hAnsi="Times New Roman" w:eastAsia="黑体"/>
          <w:b/>
          <w:color w:val="000000"/>
          <w:sz w:val="26"/>
        </w:rPr>
        <w:t>2.2 新增测试成果</w:t>
      </w:r>
      <w:bookmarkEnd w:id="3"/>
    </w:p>
    <w:p w14:paraId="5AC94024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全部15条用例均为自动化用例。11条通过，4条未通过：M2-FUN-101、M2-ROB-201、M2-PER-201和M2-PER-202。MMSep 在性能场景中减少约72%至73%的有效 KV，但解码倍率仅0.928倍和0.948倍，未达到1.2倍门槛。</w:t>
      </w:r>
    </w:p>
    <w:p w14:paraId="1E9811DB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24" w:lineRule="auto"/>
        <w:ind w:firstLine="420"/>
        <w:jc w:val="both"/>
        <w:textAlignment w:val="auto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缺陷清单登记4项：两个模型计数缺陷、一个性能门槛缺陷和一个性能汇总框架缺陷。前三项尚未修复；框架缺陷已通过改用 tokens/s 并保留生成 token 数、时长和脚本版本完成修复。当前系统未达到发布或验收标准。</w:t>
      </w:r>
    </w:p>
    <w:p w14:paraId="760772F2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表1  模块二15条AI测试用例执行结果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325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AD84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用例编号</w:t>
            </w:r>
          </w:p>
        </w:tc>
        <w:tc>
          <w:tcPr>
            <w:tcW w:w="850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A146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维度</w:t>
            </w:r>
          </w:p>
        </w:tc>
        <w:tc>
          <w:tcPr>
            <w:tcW w:w="39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15F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测试内容</w:t>
            </w:r>
          </w:p>
        </w:tc>
        <w:tc>
          <w:tcPr>
            <w:tcW w:w="680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BA7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结果</w:t>
            </w:r>
          </w:p>
        </w:tc>
        <w:tc>
          <w:tcPr>
            <w:tcW w:w="794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0BAC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负责人</w:t>
            </w:r>
          </w:p>
        </w:tc>
      </w:tr>
      <w:tr w14:paraId="59FD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F9E5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M2-FAI-101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761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公平性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D34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性别属性成对招聘判断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AA2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D571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50C02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7D0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M2-FAI-102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309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公平性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A58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年龄属性成对资格判断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AD8A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5BE9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D13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0249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M2-FAI-201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FA83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公平性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C714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国籍属性成对资格判断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7F5D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7E8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6F04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071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D883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功能性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FE7C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基础图像计数功能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A4E5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6B3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1E7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619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33E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功能性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AC3A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交通灯中间颜色识别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3E8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C3FB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4949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E56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M2-FUN-202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836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功能性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A82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基础空间关系理解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0004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D0A8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22E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D457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M2-PER-201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8768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569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中等长度生成延迟与质量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AC7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63EA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75C3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3477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M2-PER-202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3B3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E8C4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长文本生成延迟与KV压缩率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F31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B24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1DBF1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A46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F59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F331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图像模糊鲁棒性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13FC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5CB1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FFC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C68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M2-ROB-102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D187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A6B2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问题改写鲁棒性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13E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884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1E6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47CE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C331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5C5D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低对比度形状计数鲁棒性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99E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C05A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7D80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DC5E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M2-ROB-202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9414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A18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局部遮挡空间关系鲁棒性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5137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EA92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69F0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DE0F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M2-SEC-101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F697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2343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图片文字提示注入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FF0E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B08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49BD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11B6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M2-SEC-102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382E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02B5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危险请求拒绝分类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C9AE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3E6F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781B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529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M2-SEC-201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743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047D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图片内敏感字符串防泄露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558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46DD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</w:tbl>
    <w:p w14:paraId="2947E2C9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表2  正式缺陷及状态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8A4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7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1635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缺陷编号</w:t>
            </w:r>
          </w:p>
        </w:tc>
        <w:tc>
          <w:tcPr>
            <w:tcW w:w="1134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319E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</w:t>
            </w:r>
          </w:p>
        </w:tc>
        <w:tc>
          <w:tcPr>
            <w:tcW w:w="907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363F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状态</w:t>
            </w:r>
          </w:p>
        </w:tc>
        <w:tc>
          <w:tcPr>
            <w:tcW w:w="1531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20A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关联用例</w:t>
            </w:r>
          </w:p>
        </w:tc>
        <w:tc>
          <w:tcPr>
            <w:tcW w:w="3402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251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概要</w:t>
            </w:r>
          </w:p>
        </w:tc>
      </w:tr>
      <w:tr w14:paraId="3BD4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3A9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DEF-AI-001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698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模型功能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DF48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364C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M2-FUN-101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609E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两个红色圆形被回答为 ONE</w:t>
            </w:r>
          </w:p>
        </w:tc>
      </w:tr>
      <w:tr w14:paraId="2A21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50A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DEF-AI-002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167C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模型鲁棒性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92D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06C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M2-ROB-201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8CC3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三个三角形稳定误答为 TWO</w:t>
            </w:r>
          </w:p>
        </w:tc>
      </w:tr>
      <w:tr w14:paraId="15D2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6545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DEF-PERF-001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B6B3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6FF4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4B9C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M2-PER-201/202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DC09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解码吞吐倍率未达 1.2×</w:t>
            </w:r>
          </w:p>
        </w:tc>
      </w:tr>
      <w:tr w14:paraId="47AA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6D54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DEF-FW-001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7759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测试框架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950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C404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性能汇总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201D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曾以总时延比较不同输出长度</w:t>
            </w:r>
          </w:p>
        </w:tc>
      </w:tr>
    </w:tbl>
    <w:p w14:paraId="7173D9F0">
      <w:pPr>
        <w:pStyle w:val="3"/>
        <w:spacing w:before="0" w:after="120" w:line="324" w:lineRule="auto"/>
        <w:jc w:val="both"/>
        <w:rPr>
          <w:rFonts w:ascii="Times New Roman" w:hAnsi="Times New Roman"/>
          <w:sz w:val="24"/>
          <w:szCs w:val="24"/>
        </w:rPr>
      </w:pPr>
      <w:bookmarkStart w:id="4" w:name="_Toc25892"/>
      <w:r>
        <w:rPr>
          <w:rFonts w:ascii="Times New Roman" w:hAnsi="Times New Roman" w:eastAsia="黑体"/>
          <w:b/>
          <w:color w:val="000000"/>
          <w:sz w:val="26"/>
        </w:rPr>
        <w:t>2.3 测试环境</w:t>
      </w:r>
      <w:bookmarkEnd w:id="4"/>
    </w:p>
    <w:p w14:paraId="047CB803">
      <w:pPr>
        <w:spacing w:before="0" w:after="120" w:line="324" w:lineRule="auto"/>
        <w:ind w:firstLine="420" w:firstLineChars="20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正式测试运行于 NVIDIA GeForce RTX 4090，模型采用4-bit加载；软件环境为 Windows、PowerShell、Python 3.10、PyTorch 2.4.1+cu121 和 Transformers 4.36.2。</w:t>
      </w:r>
    </w:p>
    <w:p w14:paraId="1C1B9113">
      <w:pPr>
        <w:spacing w:before="0" w:after="120" w:line="324" w:lineRule="auto"/>
        <w:ind w:firstLine="420" w:firstLineChars="200"/>
        <w:jc w:val="both"/>
        <w:rPr>
          <w:i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Baseline 与 MMSep 共用模型适配器、测试数据、预处理和代码 Oracle。正式运行标识为 module2-formal-0bd7e93-001，所有输出和汇总均保存为可追溯证据。</w:t>
      </w:r>
    </w:p>
    <w:p w14:paraId="5E037192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表3  正式测试环境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499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4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F6EF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w="6236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463A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配置</w:t>
            </w:r>
          </w:p>
        </w:tc>
      </w:tr>
      <w:tr w14:paraId="4188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C787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7CE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GeForce RTX 4090</w:t>
            </w:r>
          </w:p>
        </w:tc>
      </w:tr>
      <w:tr w14:paraId="20DC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539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0E4C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LLaVA v1.5 7B，4-bit</w:t>
            </w:r>
          </w:p>
        </w:tc>
      </w:tr>
      <w:tr w14:paraId="47A1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6943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2A54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PyTorch 2.4.1+cu121；Transformers 4.36.2</w:t>
            </w:r>
          </w:p>
        </w:tc>
      </w:tr>
      <w:tr w14:paraId="120C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187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执行方式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2D7F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统一入口，对照运行 Baseline 与 MMSep</w:t>
            </w:r>
          </w:p>
        </w:tc>
      </w:tr>
    </w:tbl>
    <w:p w14:paraId="2E6F6A88">
      <w:pPr>
        <w:pStyle w:val="2"/>
        <w:spacing w:before="0" w:after="120" w:line="324" w:lineRule="auto"/>
        <w:jc w:val="both"/>
        <w:rPr>
          <w:rFonts w:hint="eastAsia"/>
          <w:sz w:val="28"/>
          <w:szCs w:val="28"/>
        </w:rPr>
      </w:pPr>
      <w:bookmarkStart w:id="5" w:name="_Toc8737"/>
      <w:r>
        <w:rPr>
          <w:rFonts w:ascii="Times New Roman" w:hAnsi="Times New Roman" w:eastAsia="黑体"/>
          <w:b/>
          <w:color w:val="000000"/>
          <w:sz w:val="32"/>
        </w:rPr>
        <w:t>3 AI反思与批判</w:t>
      </w:r>
      <w:bookmarkEnd w:id="5"/>
    </w:p>
    <w:p w14:paraId="06A2F6A9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测试表明，该系统在基础颜色与空间关系、模糊和改写扰动、提示注入防护、危险请求分类及敏感属性成对判断上表现稳定，MMSep 也未造成这些场景的新增质量回归。</w:t>
      </w:r>
    </w:p>
    <w:p w14:paraId="69D7E287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做对的部分：11条用例通过；安全性和公平性用例全部通过，MMSep 质量输出整体与 Baseline 保持一致。</w:t>
      </w:r>
    </w:p>
    <w:p w14:paraId="1A1A41B1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做错的部分：模型把两个红色圆形回答为ONE，并把三个三角形稳定回答为TWO；MMSep 虽显著压缩 KV，却未达到预设加速门槛。</w:t>
      </w:r>
    </w:p>
    <w:p w14:paraId="7C56E54F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测试挑战：生成结果不一定能用完整字符串比较，同义表达、提示词敏感性和随机性都会影响结论，因此必须预先定义 Oracle、固定变量并保留原始输出。</w:t>
      </w:r>
    </w:p>
    <w:p w14:paraId="2CA808E1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结论边界：15条用例只能说明规定范围内的行为，不能证明模型普遍正确。由于高优先级计数缺陷和性能缺陷仍存在，本版本不能判定为通过验收。</w:t>
      </w:r>
    </w:p>
    <w:p w14:paraId="0DB49BFF">
      <w:pPr>
        <w:pStyle w:val="2"/>
        <w:spacing w:before="0" w:after="120" w:line="324" w:lineRule="auto"/>
        <w:jc w:val="both"/>
        <w:rPr>
          <w:sz w:val="28"/>
          <w:szCs w:val="28"/>
        </w:rPr>
      </w:pPr>
      <w:bookmarkStart w:id="6" w:name="_Toc10867"/>
      <w:r>
        <w:rPr>
          <w:rFonts w:ascii="Times New Roman" w:hAnsi="Times New Roman" w:eastAsia="黑体"/>
          <w:b/>
          <w:color w:val="000000"/>
          <w:sz w:val="32"/>
        </w:rPr>
        <w:t>6 小组成员贡献度</w:t>
      </w:r>
      <w:bookmarkEnd w:id="6"/>
    </w:p>
    <w:p w14:paraId="680B236A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双方按独立用例、模型接口和报告任务分工，并互相复核。关键测试与接入代码约1018行，贡献度按实际工作包计为各50%，合计100%。</w:t>
      </w:r>
    </w:p>
    <w:p w14:paraId="52889449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表4  小组成员贡献度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CA3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6EE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成员</w:t>
            </w:r>
          </w:p>
        </w:tc>
        <w:tc>
          <w:tcPr>
            <w:tcW w:w="27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0EF4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主要工作</w:t>
            </w:r>
          </w:p>
        </w:tc>
        <w:tc>
          <w:tcPr>
            <w:tcW w:w="27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D98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贡献度</w:t>
            </w:r>
          </w:p>
        </w:tc>
      </w:tr>
      <w:tr w14:paraId="6633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E346">
            <w:pPr>
              <w:spacing w:after="0"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李晨希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7E61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Baseline加载、统一适配器与运行入口；8条用例；性能分析与正式缺陷整理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CF4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</w:tr>
      <w:tr w14:paraId="3754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37E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汪嘉楠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4FF7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MMSep接入与代码Oracle；7条用例；结果汇总、缺陷回归与演示材料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E205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</w:tr>
    </w:tbl>
    <w:p w14:paraId="423FA490"/>
    <w:p w14:paraId="6E91686F"/>
    <w:p w14:paraId="6E66D853"/>
    <w:p w14:paraId="70F871F8">
      <w:pPr>
        <w:rPr>
          <w:rFonts w:hint="eastAsia"/>
          <w:lang w:val="en-US" w:eastAsia="zh-CN"/>
        </w:rPr>
      </w:pPr>
      <w:r>
        <w:rPr>
          <w:rFonts w:hint="eastAsia"/>
          <w:b w:val="0"/>
          <w:color w:val="000000"/>
          <w:sz w:val="18"/>
          <w:lang w:val="en-US" w:eastAsia="zh-CN"/>
        </w:rPr>
        <w:t>李晨希</w:t>
      </w:r>
      <w:r>
        <w:rPr>
          <w:rFonts w:hint="eastAsia"/>
          <w:lang w:val="en-US" w:eastAsia="zh-CN"/>
        </w:rPr>
        <w:t>git记录：</w:t>
      </w:r>
    </w:p>
    <w:p w14:paraId="528A43B7">
      <w:pPr>
        <w:rPr>
          <w:rFonts w:hint="eastAsia"/>
          <w:lang w:val="en-US" w:eastAsia="zh-CN"/>
        </w:rPr>
      </w:pPr>
    </w:p>
    <w:p w14:paraId="7F2DBB78">
      <w:pPr>
        <w:jc w:val="center"/>
      </w:pPr>
      <w:r>
        <w:drawing>
          <wp:inline distT="0" distB="0" distL="114300" distR="114300">
            <wp:extent cx="4410075" cy="211264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401C5938">
      <w:pPr>
        <w:rPr>
          <w:rFonts w:hint="default"/>
          <w:b w:val="0"/>
          <w:color w:val="000000"/>
          <w:sz w:val="18"/>
          <w:lang w:val="en-US" w:eastAsia="zh-CN"/>
        </w:rPr>
      </w:pPr>
      <w:r>
        <w:rPr>
          <w:rFonts w:hint="eastAsia"/>
          <w:b w:val="0"/>
          <w:color w:val="000000"/>
          <w:sz w:val="18"/>
          <w:lang w:val="en-US" w:eastAsia="zh-CN"/>
        </w:rPr>
        <w:t>汪嘉楠git记录：</w:t>
      </w:r>
    </w:p>
    <w:p w14:paraId="7C93B82C">
      <w:pPr>
        <w:jc w:val="center"/>
      </w:pPr>
      <w:r>
        <w:drawing>
          <wp:inline distT="0" distB="0" distL="114300" distR="114300">
            <wp:extent cx="4359275" cy="31216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1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  <w:b w:val="0"/>
        <w:color w:val="000000"/>
        <w:sz w:val="18"/>
        <w:lang w:val="en-US" w:eastAsia="zh-CN"/>
      </w:rPr>
      <w:t>李晨希</w:t>
    </w:r>
    <w:r>
      <w:rPr>
        <w:rFonts w:hint="eastAsia"/>
      </w:rPr>
      <w:t>/ 汪嘉楠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530838F7"/>
    <w:rsid w:val="615978DD"/>
    <w:rsid w:val="670E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7</Pages>
  <Words>1734</Words>
  <Characters>2457</Characters>
  <Lines>12</Lines>
  <Paragraphs>3</Paragraphs>
  <TotalTime>9</TotalTime>
  <ScaleCrop>false</ScaleCrop>
  <LinksUpToDate>false</LinksUpToDate>
  <CharactersWithSpaces>2575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lcx、汪嘉楠</dc:creator>
  <cp:lastModifiedBy>Altira2202</cp:lastModifiedBy>
  <dcterms:modified xsi:type="dcterms:W3CDTF">2026-09-21T07:50:53Z</dcterms:modified>
  <dc:subject>模块二方案1 测 AI</dc:subject>
  <dc:title>LLaVA v1.5 7B 与 MMSep 模块二 AI 测试报告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5CAAE69939F94BE5857F638B9F2BA5E4_12</vt:lpwstr>
  </property>
  <property fmtid="{D5CDD505-2E9C-101B-9397-08002B2CF9AE}" pid="4" name="KSOTemplateDocerSaveRecord">
    <vt:lpwstr>eyJoZGlkIjoiMjI2ZjljNDFhN2Y0MzQ0M2M0NzdiMmUwMDU5NjY1NGUiLCJ1c2VySWQiOiI2MjQ2MjQ2OTMifQ==</vt:lpwstr>
  </property>
</Properties>
</file>