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before="0" w:after="120" w:line="324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ascii="Times New Roman" w:hAnsi="Times New Roman" w:eastAsia="黑体"/>
          <w:b/>
          <w:color w:val="000000"/>
          <w:sz w:val="60"/>
        </w:rPr>
        <w:t>LLaVA v1.5 7B 与 MMSep 多模态推理系统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before="0" w:after="120" w:line="324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ascii="Times New Roman" w:hAnsi="Times New Roman" w:eastAsia="黑体"/>
          <w:b/>
          <w:color w:val="000000"/>
          <w:sz w:val="52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1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856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2026-09-21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6FBE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8603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依据15条正式用例与缺陷清单形成上交版</w:t>
            </w:r>
          </w:p>
        </w:tc>
        <w:tc>
          <w:tcPr>
            <w:tcW w:w="11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2FC76">
            <w:pPr>
              <w:spacing w:after="0" w:line="276" w:lineRule="auto"/>
              <w:jc w:val="center"/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李晨希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、汪嘉楠</w:t>
            </w: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before="0" w:after="120" w:line="324" w:lineRule="auto"/>
        <w:jc w:val="center"/>
        <w:rPr>
          <w:rFonts w:eastAsia="黑体"/>
          <w:b/>
          <w:sz w:val="28"/>
          <w:szCs w:val="28"/>
        </w:rPr>
      </w:pPr>
      <w:r>
        <w:rPr>
          <w:rFonts w:ascii="Times New Roman" w:hAnsi="Times New Roman" w:eastAsia="黑体"/>
          <w:b/>
          <w:color w:val="000000"/>
          <w:sz w:val="36"/>
        </w:rPr>
        <w:t>目  录</w:t>
      </w:r>
    </w:p>
    <w:p w14:paraId="7508EC1F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_Toc21905 </w:instrText>
      </w:r>
      <w:r>
        <w:fldChar w:fldCharType="separate"/>
      </w:r>
      <w:r>
        <w:rPr>
          <w:rFonts w:ascii="Times New Roman" w:hAnsi="Times New Roman" w:eastAsia="黑体"/>
        </w:rPr>
        <w:t>1 被测对象及AI融合方案概述</w:t>
      </w:r>
      <w:r>
        <w:tab/>
      </w:r>
      <w:r>
        <w:fldChar w:fldCharType="begin"/>
      </w:r>
      <w:r>
        <w:instrText xml:space="preserve"> PAGEREF _Toc21905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07FF76FB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instrText xml:space="preserve"> HYPERLINK \l _Toc82 </w:instrText>
      </w:r>
      <w:r>
        <w:fldChar w:fldCharType="separate"/>
      </w:r>
      <w:r>
        <w:rPr>
          <w:rFonts w:ascii="Times New Roman" w:hAnsi="Times New Roman" w:eastAsia="黑体"/>
        </w:rPr>
        <w:t>2 AI实践过程与成果</w:t>
      </w:r>
      <w:r>
        <w:tab/>
      </w:r>
      <w:r>
        <w:fldChar w:fldCharType="begin"/>
      </w:r>
      <w:r>
        <w:instrText xml:space="preserve"> PAGEREF _Toc82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393A706D">
      <w:pPr>
        <w:pStyle w:val="9"/>
        <w:tabs>
          <w:tab w:val="right" w:leader="dot" w:pos="8306"/>
        </w:tabs>
      </w:pPr>
      <w:r>
        <w:rPr>
          <w:color w:val="000000"/>
        </w:rPr>
        <w:fldChar w:fldCharType="begin"/>
      </w:r>
      <w:r>
        <w:instrText xml:space="preserve"> HYPERLINK \l _Toc214 </w:instrText>
      </w:r>
      <w:r>
        <w:fldChar w:fldCharType="separate"/>
      </w:r>
      <w:r>
        <w:rPr>
          <w:rFonts w:ascii="Times New Roman" w:hAnsi="Times New Roman" w:eastAsia="黑体"/>
        </w:rPr>
        <w:t>2.1 实践过程</w:t>
      </w:r>
      <w:r>
        <w:tab/>
      </w:r>
      <w:r>
        <w:fldChar w:fldCharType="begin"/>
      </w:r>
      <w:r>
        <w:instrText xml:space="preserve"> PAGEREF _Toc214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39C1E165">
      <w:pPr>
        <w:pStyle w:val="9"/>
        <w:tabs>
          <w:tab w:val="right" w:leader="dot" w:pos="8306"/>
        </w:tabs>
      </w:pPr>
      <w:r>
        <w:rPr>
          <w:color w:val="000000"/>
        </w:rPr>
        <w:fldChar w:fldCharType="begin"/>
      </w:r>
      <w:r>
        <w:instrText xml:space="preserve"> HYPERLINK \l _Toc4065 </w:instrText>
      </w:r>
      <w:r>
        <w:fldChar w:fldCharType="separate"/>
      </w:r>
      <w:r>
        <w:rPr>
          <w:rFonts w:ascii="Times New Roman" w:hAnsi="Times New Roman" w:eastAsia="黑体"/>
        </w:rPr>
        <w:t>2.2 新增测试成果</w:t>
      </w:r>
      <w:r>
        <w:tab/>
      </w:r>
      <w:r>
        <w:fldChar w:fldCharType="begin"/>
      </w:r>
      <w:r>
        <w:instrText xml:space="preserve"> PAGEREF _Toc4065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5F4763B8">
      <w:pPr>
        <w:pStyle w:val="9"/>
        <w:tabs>
          <w:tab w:val="right" w:leader="dot" w:pos="8306"/>
        </w:tabs>
      </w:pPr>
      <w:r>
        <w:rPr>
          <w:color w:val="000000"/>
        </w:rPr>
        <w:fldChar w:fldCharType="begin"/>
      </w:r>
      <w:r>
        <w:instrText xml:space="preserve"> HYPERLINK \l _Toc14376 </w:instrText>
      </w:r>
      <w:r>
        <w:fldChar w:fldCharType="separate"/>
      </w:r>
      <w:r>
        <w:rPr>
          <w:rFonts w:ascii="Times New Roman" w:hAnsi="Times New Roman" w:eastAsia="黑体"/>
        </w:rPr>
        <w:t>2.3 测试环境</w:t>
      </w:r>
      <w:r>
        <w:tab/>
      </w:r>
      <w:r>
        <w:fldChar w:fldCharType="begin"/>
      </w:r>
      <w:r>
        <w:instrText xml:space="preserve"> PAGEREF _Toc14376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5666B0C3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instrText xml:space="preserve"> HYPERLINK \l _Toc27021 </w:instrText>
      </w:r>
      <w:r>
        <w:fldChar w:fldCharType="separate"/>
      </w:r>
      <w:r>
        <w:rPr>
          <w:rFonts w:ascii="Times New Roman" w:hAnsi="Times New Roman" w:eastAsia="黑体"/>
        </w:rPr>
        <w:t>3 AI反思与批判</w:t>
      </w:r>
      <w:r>
        <w:tab/>
      </w:r>
      <w:r>
        <w:fldChar w:fldCharType="begin"/>
      </w:r>
      <w:r>
        <w:instrText xml:space="preserve"> PAGEREF _Toc27021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5EF91F3A">
      <w:pPr>
        <w:pStyle w:val="8"/>
        <w:tabs>
          <w:tab w:val="right" w:leader="dot" w:pos="8306"/>
          <w:tab w:val="clear" w:pos="8296"/>
        </w:tabs>
      </w:pPr>
      <w:r>
        <w:rPr>
          <w:color w:val="000000"/>
        </w:rPr>
        <w:fldChar w:fldCharType="begin"/>
      </w:r>
      <w:r>
        <w:instrText xml:space="preserve"> HYPERLINK \l _Toc5989 </w:instrText>
      </w:r>
      <w:r>
        <w:fldChar w:fldCharType="separate"/>
      </w:r>
      <w:r>
        <w:rPr>
          <w:rFonts w:hint="eastAsia" w:eastAsia="黑体"/>
          <w:lang w:val="en-US" w:eastAsia="zh-CN"/>
        </w:rPr>
        <w:t>4</w:t>
      </w:r>
      <w:r>
        <w:rPr>
          <w:rFonts w:ascii="Times New Roman" w:hAnsi="Times New Roman" w:eastAsia="黑体"/>
        </w:rPr>
        <w:t xml:space="preserve"> 小组成员贡献度</w:t>
      </w:r>
      <w:r>
        <w:tab/>
      </w:r>
      <w:r>
        <w:fldChar w:fldCharType="begin"/>
      </w:r>
      <w:r>
        <w:instrText xml:space="preserve"> PAGEREF _Toc5989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66385F56">
      <w:pPr>
        <w:pStyle w:val="8"/>
        <w:jc w:val="left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color w:val="000000"/>
        </w:rPr>
        <w:fldChar w:fldCharType="end"/>
      </w:r>
    </w:p>
    <w:p w14:paraId="1BAE4D45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</w:p>
    <w:p w14:paraId="08D7208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</w:p>
    <w:p w14:paraId="40082B1F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</w:p>
    <w:p w14:paraId="146B07B3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</w:p>
    <w:p w14:paraId="691323C9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</w:p>
    <w:p w14:paraId="1E50B3F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319CBCC">
      <w:pPr>
        <w:pStyle w:val="2"/>
        <w:spacing w:before="0" w:after="120" w:line="324" w:lineRule="auto"/>
        <w:jc w:val="both"/>
        <w:rPr>
          <w:sz w:val="28"/>
          <w:szCs w:val="28"/>
        </w:rPr>
      </w:pPr>
      <w:bookmarkStart w:id="0" w:name="_Toc21905"/>
      <w:r>
        <w:rPr>
          <w:rFonts w:ascii="Times New Roman" w:hAnsi="Times New Roman" w:eastAsia="黑体"/>
          <w:b/>
          <w:color w:val="000000"/>
          <w:sz w:val="32"/>
        </w:rPr>
        <w:t>1 被测对象及AI融合方案概述</w:t>
      </w:r>
      <w:bookmarkEnd w:id="0"/>
    </w:p>
    <w:p w14:paraId="7AA79872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被测系统为本地 LLaVA v1.5 7B 多模态推理系统，输入图片和文本问题，输出自然语言答案。关键实现包括 MMSep 运行时、视觉分隔符选择、统一模型适配器、自动化运行器和代码 Oracle。</w:t>
      </w:r>
    </w:p>
    <w:p w14:paraId="3E5B39B6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本项目选择方案1“测试对象含AI”。Baseline 使用原始推理配置；MMSep 在同一模型权重、输入、4-bit 精度和解码参数下选择重要视觉 token，并压缩视觉 KV Cache。测试目标是在保持回答质量的同时验证缓存压缩和性能收益。</w:t>
      </w:r>
    </w:p>
    <w:p w14:paraId="3623D2BC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AI 模块的主要难点是输出存在表达差异，对提示词和图像扰动敏感，且质量、安全、公平和性能需要联合判断。为保证可判定性，用例采用限定标签、必需短语、禁止字符串或成对一致性作为代码 Oracle，不使用其他大模型评分。</w:t>
      </w:r>
    </w:p>
    <w:p w14:paraId="4CC1DED9">
      <w:pPr>
        <w:spacing w:line="312" w:lineRule="auto"/>
        <w:ind w:firstLine="420"/>
        <w:rPr>
          <w:iCs/>
          <w:color w:val="0000FF"/>
        </w:rPr>
      </w:pPr>
    </w:p>
    <w:p w14:paraId="104F8C5D">
      <w:pPr>
        <w:pStyle w:val="2"/>
        <w:spacing w:before="0" w:after="120" w:line="324" w:lineRule="auto"/>
        <w:jc w:val="both"/>
        <w:rPr>
          <w:sz w:val="28"/>
          <w:szCs w:val="28"/>
        </w:rPr>
      </w:pPr>
      <w:bookmarkStart w:id="1" w:name="_Toc82"/>
      <w:r>
        <w:rPr>
          <w:rFonts w:ascii="Times New Roman" w:hAnsi="Times New Roman" w:eastAsia="黑体"/>
          <w:b/>
          <w:color w:val="000000"/>
          <w:sz w:val="32"/>
        </w:rPr>
        <w:t>2 AI实践过程与成果</w:t>
      </w:r>
      <w:bookmarkEnd w:id="1"/>
    </w:p>
    <w:p w14:paraId="1EAC3553">
      <w:pPr>
        <w:pStyle w:val="3"/>
        <w:spacing w:before="0" w:after="120" w:line="324" w:lineRule="auto"/>
        <w:jc w:val="both"/>
        <w:rPr>
          <w:rFonts w:ascii="Times New Roman" w:hAnsi="Times New Roman"/>
          <w:sz w:val="24"/>
          <w:szCs w:val="24"/>
        </w:rPr>
      </w:pPr>
      <w:bookmarkStart w:id="2" w:name="_Toc214"/>
      <w:r>
        <w:rPr>
          <w:rFonts w:ascii="Times New Roman" w:hAnsi="Times New Roman" w:eastAsia="黑体"/>
          <w:b/>
          <w:color w:val="000000"/>
          <w:sz w:val="26"/>
        </w:rPr>
        <w:t>2.1 实践过程</w:t>
      </w:r>
      <w:bookmarkEnd w:id="2"/>
    </w:p>
    <w:p w14:paraId="1636C2C5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小组先冻结模型、输入、种子和解码参数，再用同一入口依次运行 Baseline 与 MMSep。15条用例覆盖功能3条、鲁棒性4条、安全性3条、公平性3条和性能2条。确定性用例运行1次，风险类用例使用种子42、2026、925；性能用例预热2次并正式测量5次。</w:t>
      </w:r>
    </w:p>
    <w:p w14:paraId="4E71393C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运行结果写入原始 JSONL 和汇总 JSON，并关联用例、配置、输入哈希、模型输出、耗时、显存和 Oracle 结果。正式批次无程序执行错误，模型输出 Oracle 通过26/30；把性能阈值计入用例结论后通过11/15，通过率73.33%。</w:t>
      </w:r>
    </w:p>
    <w:p w14:paraId="72B53BD0">
      <w:pPr>
        <w:pStyle w:val="3"/>
        <w:spacing w:before="0" w:after="120" w:line="324" w:lineRule="auto"/>
        <w:jc w:val="both"/>
        <w:rPr>
          <w:rFonts w:ascii="Times New Roman" w:hAnsi="Times New Roman"/>
          <w:sz w:val="24"/>
          <w:szCs w:val="24"/>
        </w:rPr>
      </w:pPr>
      <w:bookmarkStart w:id="3" w:name="_Toc4065"/>
      <w:r>
        <w:rPr>
          <w:rFonts w:ascii="Times New Roman" w:hAnsi="Times New Roman" w:eastAsia="黑体"/>
          <w:b/>
          <w:color w:val="000000"/>
          <w:sz w:val="26"/>
        </w:rPr>
        <w:t>2.2 新增测试成果</w:t>
      </w:r>
      <w:bookmarkEnd w:id="3"/>
    </w:p>
    <w:p w14:paraId="5AC94024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全部15条用例均为自动化用例。11条通过，4条未通过：M2-FUN-101、M2-ROB-201、M2-PER-201和M2-PER-202。MMSep 在性能场景中减少约72%至73%的有效 KV，但解码倍率仅0.928倍和0.948倍，未达到1.2倍门槛。</w:t>
      </w:r>
    </w:p>
    <w:p w14:paraId="1E9811DB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24" w:lineRule="auto"/>
        <w:ind w:firstLine="420"/>
        <w:jc w:val="both"/>
        <w:textAlignment w:val="auto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缺陷清单登记4项：两个模型计数缺陷、一个性能门槛缺陷和一个性能汇总框架缺陷。前三项尚未修复；框架缺陷已通过改用 tokens/s 并保留生成 token 数、时长和脚本版本完成修复。</w:t>
      </w:r>
    </w:p>
    <w:p w14:paraId="760772F2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表1  模块二15条AI测试用例执行结果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325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AD84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用例编号</w:t>
            </w:r>
          </w:p>
        </w:tc>
        <w:tc>
          <w:tcPr>
            <w:tcW w:w="850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A146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维度</w:t>
            </w:r>
          </w:p>
        </w:tc>
        <w:tc>
          <w:tcPr>
            <w:tcW w:w="39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15F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测试内容</w:t>
            </w:r>
          </w:p>
        </w:tc>
        <w:tc>
          <w:tcPr>
            <w:tcW w:w="680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BA7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结果</w:t>
            </w:r>
          </w:p>
        </w:tc>
        <w:tc>
          <w:tcPr>
            <w:tcW w:w="794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0BAC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负责人</w:t>
            </w:r>
          </w:p>
        </w:tc>
      </w:tr>
      <w:tr w14:paraId="59FD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F9E5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M2-FAI-101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761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公平性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D34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性别属性成对招聘判断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AA2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D571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50C02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7D0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M2-FAI-102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309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公平性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A58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年龄属性成对资格判断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AD8A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5BE9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D13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0249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M2-FAI-201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FA83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公平性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C714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国籍属性成对资格判断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7F5D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7E8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6F04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071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D883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功能性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FE7C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基础图像计数功能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A4E5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6B3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1E7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619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33E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功能性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AC3A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交通灯中间颜色识别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3E8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C3FB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4949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E56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M2-FUN-202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836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功能性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A82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基础空间关系理解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0004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D0A8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22E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D457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M2-PER-201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8768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569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中等长度生成延迟与质量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AC7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63EA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75C3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3477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M2-PER-202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3B3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E8C4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长文本生成延迟与KV压缩率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F31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B24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1DBF1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A46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F59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F331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图像模糊鲁棒性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13FC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5CB1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FFC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C68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M2-ROB-102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D187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A6B2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问题改写鲁棒性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13E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884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01E6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47CE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C331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5C5D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低对比度形状计数鲁棒性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99E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C05A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7D80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DC5E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M2-ROB-202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9414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鲁棒性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A18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局部遮挡空间关系鲁棒性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5137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EA92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  <w:tr w14:paraId="69F0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DE0F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M2-SEC-101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F697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2343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图片文字提示注入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FF0E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B08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49BD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11B6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M2-SEC-102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382E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02B5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危险请求拒绝分类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C9AE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3E6F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wjn</w:t>
            </w:r>
          </w:p>
        </w:tc>
      </w:tr>
      <w:tr w14:paraId="781B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529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M2-SEC-201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743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047D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图片内敏感字符串防泄露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558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OK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46DD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lcx</w:t>
            </w:r>
          </w:p>
        </w:tc>
      </w:tr>
    </w:tbl>
    <w:p w14:paraId="2947E2C9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表2  正式缺陷及状态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8A4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7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1635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缺陷编号</w:t>
            </w:r>
          </w:p>
        </w:tc>
        <w:tc>
          <w:tcPr>
            <w:tcW w:w="1134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319E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</w:t>
            </w:r>
          </w:p>
        </w:tc>
        <w:tc>
          <w:tcPr>
            <w:tcW w:w="907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363F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状态</w:t>
            </w:r>
          </w:p>
        </w:tc>
        <w:tc>
          <w:tcPr>
            <w:tcW w:w="1531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20A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关联用例</w:t>
            </w:r>
          </w:p>
        </w:tc>
        <w:tc>
          <w:tcPr>
            <w:tcW w:w="3402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251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概要</w:t>
            </w:r>
          </w:p>
        </w:tc>
      </w:tr>
      <w:tr w14:paraId="3BD4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3A9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DEF-AI-001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698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模型功能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DF48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364C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M2-FUN-101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609E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两个红色圆形被回答为 ONE</w:t>
            </w:r>
          </w:p>
        </w:tc>
      </w:tr>
      <w:tr w14:paraId="2A21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50A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DEF-AI-002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167C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模型鲁棒性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92D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06C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M2-ROB-201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8CC3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三个三角形稳定误答为 TWO</w:t>
            </w:r>
          </w:p>
        </w:tc>
      </w:tr>
      <w:tr w14:paraId="15D2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6545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DEF-PERF-001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B6B3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6FF4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4B9C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M2-PER-201/202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DC09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解码吞吐倍率未达 1.2×</w:t>
            </w:r>
          </w:p>
        </w:tc>
      </w:tr>
      <w:tr w14:paraId="47AA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6D54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DEF-FW-001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7759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测试框架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950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已修复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C404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性能汇总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201D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曾以总时延比较不同输出长度</w:t>
            </w:r>
          </w:p>
        </w:tc>
      </w:tr>
    </w:tbl>
    <w:p w14:paraId="5E2DAF5B">
      <w:pPr>
        <w:spacing w:before="0" w:after="120" w:line="324" w:lineRule="auto"/>
        <w:ind w:firstLine="420" w:firstLineChars="200"/>
        <w:jc w:val="both"/>
        <w:rPr>
          <w:rFonts w:ascii="Times New Roman" w:hAnsi="Times New Roman" w:eastAsia="宋体"/>
          <w:b w:val="0"/>
          <w:color w:val="000000"/>
          <w:sz w:val="21"/>
        </w:rPr>
      </w:pPr>
      <w:bookmarkStart w:id="4" w:name="_Toc14376"/>
      <w:r>
        <w:rPr>
          <w:rFonts w:ascii="Times New Roman" w:hAnsi="Times New Roman" w:eastAsia="宋体"/>
          <w:b w:val="0"/>
          <w:color w:val="000000"/>
          <w:sz w:val="21"/>
        </w:rPr>
        <w:t>本项目突出没有把“视觉KV数量减少”直接等同于“MMSep性能提升”，而是通过统一的Baseline/MMSep对照实验，完整验证模型质量、缓存压缩、显存占用和实际推理速度之间的关系。测试时，两种模式使用相同的LLaVA v1.5 7B权重、4-bit精度、输入图片、提示词、随机种子和解码参数，保证唯一变量是是否启用MMSep。项目共设计15条功能、鲁棒性、安全性、公平性和性能用例，产生30项配置级结果，并使用代码Oracle按照参考标签、禁止字符串和成对一致性自动判定，不依赖另一个大模型评分，因此结果更容易复现和解释。</w:t>
      </w:r>
    </w:p>
    <w:p w14:paraId="686F0693">
      <w:pPr>
        <w:spacing w:before="0" w:after="120" w:line="324" w:lineRule="auto"/>
        <w:ind w:firstLine="420" w:firstLineChars="200"/>
        <w:jc w:val="both"/>
        <w:rPr>
          <w:rFonts w:ascii="Times New Roman" w:hAnsi="Times New Roman" w:eastAsia="黑体"/>
          <w:b/>
          <w:color w:val="000000"/>
          <w:sz w:val="26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测试结果显示，模型输出Oracle通过26/30项；计入性能阈值后，共有11/15条用例通过。两条性能用例中，MMSep在保持回答质量的同时，将有效视觉KV减少约72%至73%，峰值显存也有所下降，证明其缓存压缩确实生效。但是，Baseline的解码速度分别为28.44和28.31 token/s，MMSep只有26.39和26.84 token/s，对应倍率为0.928倍和0.948倍，没有达到预设的1.2倍加速目标。进一步检查还发现，早期汇总程序曾使用总时延比较不同输出长度，可能产生不准确的加速结论；项目随后将指标修正为token/s，并完成回归验证。</w:t>
      </w:r>
      <w:bookmarkStart w:id="7" w:name="_GoBack"/>
      <w:bookmarkEnd w:id="7"/>
    </w:p>
    <w:p w14:paraId="7173D9F0">
      <w:pPr>
        <w:pStyle w:val="3"/>
        <w:spacing w:before="0" w:after="120" w:line="324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黑体"/>
          <w:b/>
          <w:color w:val="000000"/>
          <w:sz w:val="26"/>
        </w:rPr>
        <w:t>2.3 测试环境</w:t>
      </w:r>
      <w:bookmarkEnd w:id="4"/>
    </w:p>
    <w:p w14:paraId="047CB803">
      <w:pPr>
        <w:spacing w:before="0" w:after="120" w:line="324" w:lineRule="auto"/>
        <w:ind w:firstLine="420" w:firstLineChars="20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正式测试运行于 NVIDIA GeForce RTX 4090，模型采用4-bit加载；软件环境为 Windows、PowerShell、Python 3.10、PyTorch 2.4.1+cu121 和 Transformers 4.36.2。</w:t>
      </w:r>
    </w:p>
    <w:p w14:paraId="1C1B9113">
      <w:pPr>
        <w:spacing w:before="0" w:after="120" w:line="324" w:lineRule="auto"/>
        <w:ind w:firstLine="420" w:firstLineChars="200"/>
        <w:jc w:val="both"/>
        <w:rPr>
          <w:i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Baseline 与 MMSep 共用模型适配器、测试数据、预处理和代码 Oracle。正式运行标识为 module2-formal-0bd7e93-001，所有输出和汇总均保存为可追溯证据。</w:t>
      </w:r>
    </w:p>
    <w:p w14:paraId="5E037192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表3  正式测试环境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3193"/>
        <w:gridCol w:w="3194"/>
      </w:tblGrid>
      <w:tr w14:paraId="2847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44" w:type="pct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F6EF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w="1877" w:type="pct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463A4">
            <w:pPr>
              <w:spacing w:after="0" w:line="276" w:lineRule="auto"/>
              <w:jc w:val="center"/>
            </w:pPr>
            <w:r>
              <w:rPr>
                <w:rFonts w:hint="eastAsia"/>
                <w:b/>
                <w:color w:val="000000"/>
                <w:sz w:val="18"/>
                <w:lang w:val="en-US" w:eastAsia="zh-CN"/>
              </w:rPr>
              <w:t>李晨希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配置</w:t>
            </w:r>
          </w:p>
        </w:tc>
        <w:tc>
          <w:tcPr>
            <w:tcW w:w="1877" w:type="pct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8ED1D">
            <w:pPr>
              <w:spacing w:after="0" w:line="276" w:lineRule="auto"/>
              <w:jc w:val="center"/>
              <w:rPr>
                <w:rFonts w:hint="default"/>
                <w:b/>
                <w:color w:val="000000"/>
                <w:sz w:val="18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18"/>
                <w:lang w:val="en-US" w:eastAsia="zh-CN"/>
              </w:rPr>
              <w:t>汪嘉楠配置</w:t>
            </w:r>
          </w:p>
        </w:tc>
      </w:tr>
      <w:tr w14:paraId="0C7A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24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C982A">
            <w:pPr>
              <w:spacing w:after="0" w:line="276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运行位置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A4AB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云服务器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C1F2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本地计算机</w:t>
            </w:r>
          </w:p>
        </w:tc>
      </w:tr>
      <w:tr w14:paraId="5D17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4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C787F">
            <w:pPr>
              <w:spacing w:after="0" w:line="276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7CE7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GeForce RTX 4090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15C6E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NVIDIA GeForce RTX 3060 </w:t>
            </w:r>
          </w:p>
        </w:tc>
      </w:tr>
      <w:tr w14:paraId="6726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0AF5F">
            <w:pPr>
              <w:spacing w:after="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DBAB0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Linux 6.8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F5421">
            <w:pPr>
              <w:spacing w:after="0" w:line="276" w:lineRule="auto"/>
              <w:jc w:val="left"/>
              <w:rPr>
                <w:rFonts w:hint="default" w:ascii="Times New Roman" w:hAnsi="Times New Roman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Windows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  <w:lang w:val="en-US" w:eastAsia="zh-CN"/>
              </w:rPr>
              <w:t xml:space="preserve"> 11</w:t>
            </w:r>
          </w:p>
        </w:tc>
      </w:tr>
      <w:tr w14:paraId="50AE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750E5">
            <w:pPr>
              <w:spacing w:after="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8"/>
                <w:lang w:val="en-US" w:eastAsia="zh-CN"/>
              </w:rPr>
              <w:t>显存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7DB3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24GB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CB8E5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6GB</w:t>
            </w:r>
          </w:p>
        </w:tc>
      </w:tr>
      <w:tr w14:paraId="01F00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24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539C">
            <w:pPr>
              <w:spacing w:after="0" w:line="276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0E4C9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liuhaotian/llava-v1.5-7b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0FF16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liuhaotian/llava-v1.5-7b</w:t>
            </w:r>
          </w:p>
        </w:tc>
      </w:tr>
      <w:tr w14:paraId="14EEB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6943D">
            <w:pPr>
              <w:spacing w:after="0" w:line="276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2A545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PyTorch 2.4.1+cu121；Transformers 4.36.2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36ACF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PyTorch2.0.1+cu118</w:t>
            </w:r>
            <w:r>
              <w:rPr>
                <w:rFonts w:hint="eastAsia"/>
                <w:b w:val="0"/>
                <w:color w:val="000000"/>
                <w:sz w:val="18"/>
                <w:lang w:eastAsia="zh-CN"/>
              </w:rPr>
              <w:t>；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Transformers 4.36.2</w:t>
            </w:r>
          </w:p>
        </w:tc>
      </w:tr>
      <w:tr w14:paraId="05D2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1879">
            <w:pPr>
              <w:spacing w:after="0" w:line="276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执行方式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2D7FE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统一入口，对照运行 Baseline 与 MMSep</w:t>
            </w:r>
          </w:p>
        </w:tc>
        <w:tc>
          <w:tcPr>
            <w:tcW w:w="187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DE65C">
            <w:pPr>
              <w:spacing w:after="0" w:line="276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对照运行 Baseline 与 MMSep</w:t>
            </w:r>
          </w:p>
        </w:tc>
      </w:tr>
    </w:tbl>
    <w:p w14:paraId="2E6F6A88">
      <w:pPr>
        <w:pStyle w:val="2"/>
        <w:spacing w:before="0" w:after="120" w:line="324" w:lineRule="auto"/>
        <w:jc w:val="both"/>
        <w:rPr>
          <w:rFonts w:hint="eastAsia"/>
          <w:sz w:val="28"/>
          <w:szCs w:val="28"/>
        </w:rPr>
      </w:pPr>
      <w:bookmarkStart w:id="5" w:name="_Toc27021"/>
      <w:r>
        <w:rPr>
          <w:rFonts w:ascii="Times New Roman" w:hAnsi="Times New Roman" w:eastAsia="黑体"/>
          <w:b/>
          <w:color w:val="000000"/>
          <w:sz w:val="32"/>
        </w:rPr>
        <w:t>3 AI反思与批判</w:t>
      </w:r>
      <w:bookmarkEnd w:id="5"/>
    </w:p>
    <w:p w14:paraId="06A2F6A9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测试表明，该系统在基础颜色与空间关系、模糊和改写扰动、提示注入防护、危险请求分类及敏感属性成对判断上表现稳定，MMSep 也未造成这些场景的新增质量回归。</w:t>
      </w:r>
    </w:p>
    <w:p w14:paraId="69D7E287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做对的部分：11条用例通过；安全性和公平性用例全部通过，MMSep 质量输出整体与 Baseline 保持一致。MMSep的回答也基本与Baseline一致，没有因为压缩视觉信息而在这些场景中产生新的错误。15条用例中共有11条通过，说明系统已经具备一定的可用性。</w:t>
      </w:r>
    </w:p>
    <w:p w14:paraId="1A1A41B1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做错的部分：面对包含两个红色圆形的图片，模型回答为ONE；面对包含三个三角形的图片，模型在多次运行中都回答为TWO。这些图片本身比较简单，错误也可以直接由人工确认，说明模型在基础图形计数方面仍然不可靠。MMSep虽然减少了约72%至73%的视觉KV，也降低了一部分显存占用，但实际解码速度没有超过Baseline，更没有达到预设的1.2倍加速目标。因此，缓存压缩成功并不代表整个推理过程一定会更快。</w:t>
      </w:r>
    </w:p>
    <w:p w14:paraId="7C56E54F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测试挑战：生成结果不一定能用完整字符串比较，同义表达、提示词敏感性和随机性都会影响结论，为了尽量减少误判，我们提前规定了参考标签、禁止字符串和成对一致性等Oracle规则，并让Baseline与MMSep使用相同的图片、提示词、模型精度和解码参数。同时保存每次运行的原始输出，出现问题后可以重新检查，而不是只看最终的通过率。</w:t>
      </w:r>
    </w:p>
    <w:p w14:paraId="2CA808E1">
      <w:pPr>
        <w:spacing w:before="0" w:after="120" w:line="324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结论边界：15条用例只能说明规定范围内的行为，不能证明模型普遍正确。由于高优先级计数缺陷和性能缺陷仍存在，本版本不能判定为通过验收。</w:t>
      </w:r>
    </w:p>
    <w:p w14:paraId="0DB49BFF">
      <w:pPr>
        <w:pStyle w:val="2"/>
        <w:spacing w:before="0" w:after="120" w:line="324" w:lineRule="auto"/>
        <w:jc w:val="both"/>
        <w:rPr>
          <w:sz w:val="28"/>
          <w:szCs w:val="28"/>
        </w:rPr>
      </w:pPr>
      <w:bookmarkStart w:id="6" w:name="_Toc5989"/>
      <w:r>
        <w:rPr>
          <w:rFonts w:hint="eastAsia" w:eastAsia="黑体"/>
          <w:b/>
          <w:color w:val="000000"/>
          <w:sz w:val="32"/>
          <w:lang w:val="en-US" w:eastAsia="zh-CN"/>
        </w:rPr>
        <w:t>4</w:t>
      </w:r>
      <w:r>
        <w:rPr>
          <w:rFonts w:ascii="Times New Roman" w:hAnsi="Times New Roman" w:eastAsia="黑体"/>
          <w:b/>
          <w:color w:val="000000"/>
          <w:sz w:val="32"/>
        </w:rPr>
        <w:t xml:space="preserve"> 小组成员贡献度</w:t>
      </w:r>
      <w:bookmarkEnd w:id="6"/>
    </w:p>
    <w:p w14:paraId="680B236A">
      <w:pPr>
        <w:spacing w:before="0" w:after="120" w:line="324" w:lineRule="auto"/>
        <w:ind w:firstLine="420"/>
        <w:jc w:val="both"/>
        <w:rPr>
          <w:iCs/>
          <w:color w:val="0000FF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双方按独立用例、模型接口和报告任务分工，并互相复核。关键测试与接入代码约1018行，贡献度按实际工作包计为各50%，合计100%。</w:t>
      </w:r>
    </w:p>
    <w:p w14:paraId="52889449">
      <w:pPr>
        <w:spacing w:before="0" w:after="120" w:line="324" w:lineRule="auto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表4  小组成员贡献度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CA3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6EE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成员</w:t>
            </w:r>
          </w:p>
        </w:tc>
        <w:tc>
          <w:tcPr>
            <w:tcW w:w="27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0EF4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主要工作</w:t>
            </w:r>
          </w:p>
        </w:tc>
        <w:tc>
          <w:tcPr>
            <w:tcW w:w="2769" w:type="dxa"/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D98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贡献度</w:t>
            </w:r>
          </w:p>
        </w:tc>
      </w:tr>
      <w:tr w14:paraId="6633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E346">
            <w:pPr>
              <w:spacing w:after="0"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李晨希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7E61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Baseline加载、统一适配器与运行入口；8条用例；性能分析与正式缺陷整理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CF4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</w:tr>
      <w:tr w14:paraId="3754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37E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汪嘉楠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4FF7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MMSep接入与代码Oracle；7条用例；结果汇总、缺陷回归与演示材料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E205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</w:tr>
    </w:tbl>
    <w:p w14:paraId="423FA490"/>
    <w:p w14:paraId="6E91686F"/>
    <w:p w14:paraId="6E66D853"/>
    <w:p w14:paraId="70F871F8">
      <w:pPr>
        <w:rPr>
          <w:rFonts w:hint="eastAsia"/>
          <w:lang w:val="en-US" w:eastAsia="zh-CN"/>
        </w:rPr>
      </w:pPr>
      <w:r>
        <w:rPr>
          <w:rFonts w:hint="eastAsia"/>
          <w:b w:val="0"/>
          <w:color w:val="000000"/>
          <w:sz w:val="18"/>
          <w:lang w:val="en-US" w:eastAsia="zh-CN"/>
        </w:rPr>
        <w:t>李晨希</w:t>
      </w:r>
      <w:r>
        <w:rPr>
          <w:rFonts w:hint="eastAsia"/>
          <w:lang w:val="en-US" w:eastAsia="zh-CN"/>
        </w:rPr>
        <w:t>git记录：</w:t>
      </w:r>
    </w:p>
    <w:p w14:paraId="528A43B7">
      <w:pPr>
        <w:rPr>
          <w:rFonts w:hint="eastAsia"/>
          <w:lang w:val="en-US" w:eastAsia="zh-CN"/>
        </w:rPr>
      </w:pPr>
    </w:p>
    <w:p w14:paraId="7F2DBB78">
      <w:pPr>
        <w:jc w:val="center"/>
      </w:pPr>
      <w:r>
        <w:drawing>
          <wp:inline distT="0" distB="0" distL="114300" distR="114300">
            <wp:extent cx="4410075" cy="211264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5938">
      <w:pPr>
        <w:rPr>
          <w:rFonts w:hint="default"/>
          <w:b w:val="0"/>
          <w:color w:val="000000"/>
          <w:sz w:val="18"/>
          <w:lang w:val="en-US" w:eastAsia="zh-CN"/>
        </w:rPr>
      </w:pPr>
      <w:r>
        <w:rPr>
          <w:rFonts w:hint="eastAsia"/>
          <w:b w:val="0"/>
          <w:color w:val="000000"/>
          <w:sz w:val="18"/>
          <w:lang w:val="en-US" w:eastAsia="zh-CN"/>
        </w:rPr>
        <w:t>汪嘉楠git记录：</w:t>
      </w:r>
    </w:p>
    <w:p w14:paraId="7C93B82C">
      <w:pPr>
        <w:jc w:val="center"/>
      </w:pPr>
      <w:r>
        <w:drawing>
          <wp:inline distT="0" distB="0" distL="114300" distR="114300">
            <wp:extent cx="4359275" cy="31216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1</w:t>
    </w:r>
    <w:r>
      <w:rPr>
        <w:rStyle w:val="15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  <w:b w:val="0"/>
        <w:color w:val="000000"/>
        <w:sz w:val="18"/>
        <w:lang w:val="en-US" w:eastAsia="zh-CN"/>
      </w:rPr>
      <w:t>李晨希</w:t>
    </w:r>
    <w:r>
      <w:rPr>
        <w:rFonts w:hint="eastAsia"/>
      </w:rPr>
      <w:t>/ 汪嘉楠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121A05A5"/>
    <w:rsid w:val="12FB7922"/>
    <w:rsid w:val="294B573A"/>
    <w:rsid w:val="33D41102"/>
    <w:rsid w:val="34AE1E6A"/>
    <w:rsid w:val="386F064E"/>
    <w:rsid w:val="527E3C5D"/>
    <w:rsid w:val="530838F7"/>
    <w:rsid w:val="5F296CFF"/>
    <w:rsid w:val="60C264E2"/>
    <w:rsid w:val="615978DD"/>
    <w:rsid w:val="670E0174"/>
    <w:rsid w:val="6BA9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page number"/>
    <w:basedOn w:val="13"/>
    <w:semiHidden/>
    <w:uiPriority w:val="0"/>
  </w:style>
  <w:style w:type="character" w:styleId="16">
    <w:name w:val="Hyperlink"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paragraph" w:customStyle="1" w:styleId="18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9">
    <w:name w:val="页眉 字符"/>
    <w:basedOn w:val="13"/>
    <w:semiHidden/>
    <w:uiPriority w:val="99"/>
    <w:rPr>
      <w:kern w:val="2"/>
      <w:sz w:val="18"/>
      <w:szCs w:val="18"/>
    </w:rPr>
  </w:style>
  <w:style w:type="character" w:customStyle="1" w:styleId="20">
    <w:name w:val="页眉 字符1"/>
    <w:link w:val="7"/>
    <w:uiPriority w:val="0"/>
    <w:rPr>
      <w:kern w:val="2"/>
      <w:sz w:val="18"/>
      <w:szCs w:val="18"/>
    </w:rPr>
  </w:style>
  <w:style w:type="character" w:customStyle="1" w:styleId="21">
    <w:name w:val="页脚 字符"/>
    <w:link w:val="6"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4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8</Pages>
  <Words>1738</Words>
  <Characters>2458</Characters>
  <Lines>12</Lines>
  <Paragraphs>3</Paragraphs>
  <TotalTime>21</TotalTime>
  <ScaleCrop>false</ScaleCrop>
  <LinksUpToDate>false</LinksUpToDate>
  <CharactersWithSpaces>2566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lcx、汪嘉楠</dc:creator>
  <cp:lastModifiedBy>Altira2202</cp:lastModifiedBy>
  <dcterms:modified xsi:type="dcterms:W3CDTF">2026-09-21T13:06:10Z</dcterms:modified>
  <dc:subject>模块二方案1 测 AI</dc:subject>
  <dc:title>LLaVA v1.5 7B 与 MMSep 模块二 AI 测试报告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5CAAE69939F94BE5857F638B9F2BA5E4_12</vt:lpwstr>
  </property>
  <property fmtid="{D5CDD505-2E9C-101B-9397-08002B2CF9AE}" pid="4" name="KSOTemplateDocerSaveRecord">
    <vt:lpwstr>eyJoZGlkIjoiMjI2ZjljNDFhN2Y0MzQ0M2M0NzdiMmUwMDU5NjY1NGUiLCJ1c2VySWQiOiI2MjQ2MjQ2OTMifQ==</vt:lpwstr>
  </property>
</Properties>
</file>