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40"/>
        <w:jc w:val="left"/>
      </w:pPr>
      <w:r>
        <w:rPr>
          <w:b/>
          <w:color w:val="30A6A6"/>
          <w:sz w:val="20"/>
        </w:rPr>
        <w:t>MODULE 02  /  AI SYSTEM TESTING</w:t>
      </w:r>
    </w:p>
    <w:p>
      <w:pPr>
        <w:pStyle w:val="Title"/>
      </w:pPr>
      <w:r>
        <w:t>AI 系统测试报告</w:t>
      </w:r>
    </w:p>
    <w:p>
      <w:pPr>
        <w:spacing w:after="360"/>
      </w:pPr>
      <w:r>
        <w:rPr>
          <w:color w:val="1F6E8C"/>
          <w:sz w:val="28"/>
        </w:rPr>
        <w:t>LLaVA v1.5 7B × MMSep 视觉 KV 压缩原型</w:t>
      </w:r>
    </w:p>
    <w:tbl>
      <w:tblPr>
        <w:tblW w:type="auto" w:w="0"/>
        <w:tblLayout w:type="fixed"/>
        <w:tblLook w:firstColumn="1" w:firstRow="1" w:lastColumn="0" w:lastRow="0" w:noHBand="0" w:noVBand="1" w:val="04A0"/>
      </w:tblPr>
      <w:tblGrid>
        <w:gridCol w:w="9354"/>
      </w:tblGrid>
      <w:tr>
        <w:trPr>
          <w:trHeight w:val="140"/>
        </w:trPr>
        <w:tc>
          <w:tcPr>
            <w:tcW w:type="dxa" w:w="9972"/>
            <w:shd w:fill="30A6A6"/>
            <w:tcBorders>
              <w:top w:val="single" w:sz="0" w:color="30A6A6"/>
              <w:left w:val="single" w:sz="0" w:color="30A6A6"/>
              <w:bottom w:val="single" w:sz="0" w:color="30A6A6"/>
              <w:right w:val="single" w:sz="0" w:color="30A6A6"/>
            </w:tcBorders>
          </w:tcPr>
          <w:p/>
        </w:tc>
      </w:tr>
    </w:tbl>
    <w:p/>
    <w:tbl>
      <w:tblPr>
        <w:tblW w:type="auto" w:w="0"/>
        <w:tblLayout w:type="fixed"/>
        <w:tblLook w:firstColumn="1" w:firstRow="1" w:lastColumn="0" w:lastRow="0" w:noHBand="0" w:noVBand="1" w:val="04A0"/>
      </w:tblPr>
      <w:tblGrid>
        <w:gridCol w:w="1871"/>
        <w:gridCol w:w="7200"/>
      </w:tblGrid>
      <w:tr>
        <w:tc>
          <w:tcPr>
            <w:tcW w:type="dxa" w:w="4986"/>
            <w:vAlign w:val="center"/>
            <w:shd w:fill="EAF4F6"/>
            <w:tcBorders>
              <w:top w:val="single" w:sz="6" w:color="FFFFFF"/>
              <w:left w:val="single" w:sz="6" w:color="FFFFFF"/>
              <w:bottom w:val="single" w:sz="6" w:color="FFFFFF"/>
              <w:right w:val="single" w:sz="6" w:color="FFFFFF"/>
            </w:tcBorders>
          </w:tcPr>
          <w:p>
            <w:pPr>
              <w:spacing w:after="0" w:before="0"/>
              <w:jc w:val="left"/>
            </w:pPr>
            <w:r/>
            <w:r>
              <w:rPr>
                <w:rFonts w:ascii="Arial" w:hAnsi="Arial" w:eastAsia="微软雅黑"/>
                <w:b/>
                <w:color w:val="1F6E8C"/>
                <w:sz w:val="20"/>
              </w:rPr>
              <w:t>被测系统</w:t>
            </w:r>
          </w:p>
        </w:tc>
        <w:tc>
          <w:tcPr>
            <w:tcW w:type="dxa" w:w="4986"/>
            <w:vAlign w:val="center"/>
            <w:shd w:fill="FFFFFF"/>
            <w:tcBorders>
              <w:top w:val="single" w:sz="6" w:color="FFFFFF"/>
              <w:left w:val="single" w:sz="6" w:color="FFFFFF"/>
              <w:bottom w:val="single" w:sz="6" w:color="FFFFFF"/>
              <w:right w:val="single" w:sz="6" w:color="FFFFFF"/>
            </w:tcBorders>
          </w:tcPr>
          <w:p>
            <w:pPr>
              <w:spacing w:after="0" w:before="0"/>
              <w:jc w:val="left"/>
            </w:pPr>
            <w:r/>
            <w:r>
              <w:rPr>
                <w:rFonts w:ascii="Arial" w:hAnsi="Arial" w:eastAsia="微软雅黑"/>
                <w:b w:val="0"/>
                <w:color w:val="17324D"/>
                <w:sz w:val="20"/>
              </w:rPr>
              <w:t>LLaVA v1.5 7B + MMSep 视觉 KV 压缩原型</w:t>
            </w:r>
          </w:p>
        </w:tc>
      </w:tr>
      <w:tr>
        <w:tc>
          <w:tcPr>
            <w:tcW w:type="dxa" w:w="4986"/>
            <w:vAlign w:val="center"/>
            <w:shd w:fill="EAF4F6"/>
            <w:tcBorders>
              <w:top w:val="single" w:sz="6" w:color="FFFFFF"/>
              <w:left w:val="single" w:sz="6" w:color="FFFFFF"/>
              <w:bottom w:val="single" w:sz="6" w:color="FFFFFF"/>
              <w:right w:val="single" w:sz="6" w:color="FFFFFF"/>
            </w:tcBorders>
          </w:tcPr>
          <w:p>
            <w:pPr>
              <w:spacing w:after="0" w:before="0"/>
              <w:jc w:val="left"/>
            </w:pPr>
            <w:r/>
            <w:r>
              <w:rPr>
                <w:rFonts w:ascii="Arial" w:hAnsi="Arial" w:eastAsia="微软雅黑"/>
                <w:b/>
                <w:color w:val="1F6E8C"/>
                <w:sz w:val="20"/>
              </w:rPr>
              <w:t>正式运行</w:t>
            </w:r>
          </w:p>
        </w:tc>
        <w:tc>
          <w:tcPr>
            <w:tcW w:type="dxa" w:w="4986"/>
            <w:vAlign w:val="center"/>
            <w:shd w:fill="FFFFFF"/>
            <w:tcBorders>
              <w:top w:val="single" w:sz="6" w:color="FFFFFF"/>
              <w:left w:val="single" w:sz="6" w:color="FFFFFF"/>
              <w:bottom w:val="single" w:sz="6" w:color="FFFFFF"/>
              <w:right w:val="single" w:sz="6" w:color="FFFFFF"/>
            </w:tcBorders>
          </w:tcPr>
          <w:p>
            <w:pPr>
              <w:spacing w:after="0" w:before="0"/>
              <w:jc w:val="left"/>
            </w:pPr>
            <w:r/>
            <w:r>
              <w:rPr>
                <w:rFonts w:ascii="Arial" w:hAnsi="Arial" w:eastAsia="微软雅黑"/>
                <w:b w:val="0"/>
                <w:color w:val="17324D"/>
                <w:sz w:val="20"/>
              </w:rPr>
              <w:t>module2-formal-0bd7e93-001</w:t>
            </w:r>
          </w:p>
        </w:tc>
      </w:tr>
      <w:tr>
        <w:tc>
          <w:tcPr>
            <w:tcW w:type="dxa" w:w="4986"/>
            <w:vAlign w:val="center"/>
            <w:shd w:fill="EAF4F6"/>
            <w:tcBorders>
              <w:top w:val="single" w:sz="6" w:color="FFFFFF"/>
              <w:left w:val="single" w:sz="6" w:color="FFFFFF"/>
              <w:bottom w:val="single" w:sz="6" w:color="FFFFFF"/>
              <w:right w:val="single" w:sz="6" w:color="FFFFFF"/>
            </w:tcBorders>
          </w:tcPr>
          <w:p>
            <w:pPr>
              <w:spacing w:after="0" w:before="0"/>
              <w:jc w:val="left"/>
            </w:pPr>
            <w:r/>
            <w:r>
              <w:rPr>
                <w:rFonts w:ascii="Arial" w:hAnsi="Arial" w:eastAsia="微软雅黑"/>
                <w:b/>
                <w:color w:val="1F6E8C"/>
                <w:sz w:val="20"/>
              </w:rPr>
              <w:t>小组成员</w:t>
            </w:r>
          </w:p>
        </w:tc>
        <w:tc>
          <w:tcPr>
            <w:tcW w:type="dxa" w:w="4986"/>
            <w:vAlign w:val="center"/>
            <w:shd w:fill="FFFFFF"/>
            <w:tcBorders>
              <w:top w:val="single" w:sz="6" w:color="FFFFFF"/>
              <w:left w:val="single" w:sz="6" w:color="FFFFFF"/>
              <w:bottom w:val="single" w:sz="6" w:color="FFFFFF"/>
              <w:right w:val="single" w:sz="6" w:color="FFFFFF"/>
            </w:tcBorders>
          </w:tcPr>
          <w:p>
            <w:pPr>
              <w:spacing w:after="0" w:before="0"/>
              <w:jc w:val="left"/>
            </w:pPr>
            <w:r/>
            <w:r>
              <w:rPr>
                <w:rFonts w:ascii="Arial" w:hAnsi="Arial" w:eastAsia="微软雅黑"/>
                <w:b w:val="0"/>
                <w:color w:val="17324D"/>
                <w:sz w:val="20"/>
              </w:rPr>
              <w:t>lcx（项目负责人） / wjn（小组成员）</w:t>
            </w:r>
          </w:p>
        </w:tc>
      </w:tr>
      <w:tr>
        <w:tc>
          <w:tcPr>
            <w:tcW w:type="dxa" w:w="4986"/>
            <w:vAlign w:val="center"/>
            <w:shd w:fill="EAF4F6"/>
            <w:tcBorders>
              <w:top w:val="single" w:sz="6" w:color="FFFFFF"/>
              <w:left w:val="single" w:sz="6" w:color="FFFFFF"/>
              <w:bottom w:val="single" w:sz="6" w:color="FFFFFF"/>
              <w:right w:val="single" w:sz="6" w:color="FFFFFF"/>
            </w:tcBorders>
          </w:tcPr>
          <w:p>
            <w:pPr>
              <w:spacing w:after="0" w:before="0"/>
              <w:jc w:val="left"/>
            </w:pPr>
            <w:r/>
            <w:r>
              <w:rPr>
                <w:rFonts w:ascii="Arial" w:hAnsi="Arial" w:eastAsia="微软雅黑"/>
                <w:b/>
                <w:color w:val="1F6E8C"/>
                <w:sz w:val="20"/>
              </w:rPr>
              <w:t>报告日期</w:t>
            </w:r>
          </w:p>
        </w:tc>
        <w:tc>
          <w:tcPr>
            <w:tcW w:type="dxa" w:w="4986"/>
            <w:vAlign w:val="center"/>
            <w:shd w:fill="FFFFFF"/>
            <w:tcBorders>
              <w:top w:val="single" w:sz="6" w:color="FFFFFF"/>
              <w:left w:val="single" w:sz="6" w:color="FFFFFF"/>
              <w:bottom w:val="single" w:sz="6" w:color="FFFFFF"/>
              <w:right w:val="single" w:sz="6" w:color="FFFFFF"/>
            </w:tcBorders>
          </w:tcPr>
          <w:p>
            <w:pPr>
              <w:spacing w:after="0" w:before="0"/>
              <w:jc w:val="left"/>
            </w:pPr>
            <w:r/>
            <w:r>
              <w:rPr>
                <w:rFonts w:ascii="Arial" w:hAnsi="Arial" w:eastAsia="微软雅黑"/>
                <w:b w:val="0"/>
                <w:color w:val="17324D"/>
                <w:sz w:val="20"/>
              </w:rPr>
              <w:t>2026-09-21</w:t>
            </w:r>
          </w:p>
        </w:tc>
      </w:tr>
      <w:tr>
        <w:tc>
          <w:tcPr>
            <w:tcW w:type="dxa" w:w="4986"/>
            <w:vAlign w:val="center"/>
            <w:shd w:fill="EAF4F6"/>
            <w:tcBorders>
              <w:top w:val="single" w:sz="6" w:color="FFFFFF"/>
              <w:left w:val="single" w:sz="6" w:color="FFFFFF"/>
              <w:bottom w:val="single" w:sz="6" w:color="FFFFFF"/>
              <w:right w:val="single" w:sz="6" w:color="FFFFFF"/>
            </w:tcBorders>
          </w:tcPr>
          <w:p>
            <w:pPr>
              <w:spacing w:after="0" w:before="0"/>
              <w:jc w:val="left"/>
            </w:pPr>
            <w:r/>
            <w:r>
              <w:rPr>
                <w:rFonts w:ascii="Arial" w:hAnsi="Arial" w:eastAsia="微软雅黑"/>
                <w:b/>
                <w:color w:val="1F6E8C"/>
                <w:sz w:val="20"/>
              </w:rPr>
              <w:t>证据状态</w:t>
            </w:r>
          </w:p>
        </w:tc>
        <w:tc>
          <w:tcPr>
            <w:tcW w:type="dxa" w:w="4986"/>
            <w:vAlign w:val="center"/>
            <w:shd w:fill="FFFFFF"/>
            <w:tcBorders>
              <w:top w:val="single" w:sz="6" w:color="FFFFFF"/>
              <w:left w:val="single" w:sz="6" w:color="FFFFFF"/>
              <w:bottom w:val="single" w:sz="6" w:color="FFFFFF"/>
              <w:right w:val="single" w:sz="6" w:color="FFFFFF"/>
            </w:tcBorders>
          </w:tcPr>
          <w:p>
            <w:pPr>
              <w:spacing w:after="0" w:before="0"/>
              <w:jc w:val="left"/>
            </w:pPr>
            <w:r/>
            <w:r>
              <w:rPr>
                <w:rFonts w:ascii="Arial" w:hAnsi="Arial" w:eastAsia="微软雅黑"/>
                <w:b w:val="0"/>
                <w:color w:val="17324D"/>
                <w:sz w:val="20"/>
              </w:rPr>
              <w:t>本地交付；上传前须人工审核</w:t>
            </w:r>
          </w:p>
        </w:tc>
      </w:tr>
    </w:tbl>
    <w:p>
      <w:pPr>
        <w:spacing w:before="520"/>
      </w:pPr>
      <w:r>
        <w:rPr>
          <w:b/>
          <w:color w:val="B94A48"/>
          <w:sz w:val="24"/>
        </w:rPr>
        <w:t>结论先行：本轮系统未达到发布/验收标准。</w:t>
      </w:r>
    </w:p>
    <w:p>
      <w:r>
        <w:br w:type="page"/>
      </w:r>
    </w:p>
    <w:p>
      <w:pPr>
        <w:pStyle w:val="Heading1"/>
      </w:pPr>
      <w:r>
        <w:t>执行摘要</w:t>
      </w:r>
    </w:p>
    <w:tbl>
      <w:tblPr>
        <w:tblW w:type="auto" w:w="0"/>
        <w:tblLayout w:type="fixed"/>
        <w:tblLook w:firstColumn="1" w:firstRow="1" w:lastColumn="0" w:lastRow="0" w:noHBand="0" w:noVBand="1" w:val="04A0"/>
      </w:tblPr>
      <w:tblGrid>
        <w:gridCol w:w="198"/>
        <w:gridCol w:w="8844"/>
      </w:tblGrid>
      <w:tr>
        <w:tc>
          <w:tcPr>
            <w:tcW w:type="dxa" w:w="4986"/>
            <w:shd w:fill="B94A48"/>
            <w:tcBorders>
              <w:top w:val="single" w:sz="0" w:color="FFFFFF"/>
              <w:left w:val="single" w:sz="0" w:color="FFFFFF"/>
              <w:bottom w:val="single" w:sz="0" w:color="FFFFFF"/>
              <w:right w:val="single" w:sz="0" w:color="FFFFFF"/>
            </w:tcBorders>
          </w:tcPr>
          <w:p/>
        </w:tc>
        <w:tc>
          <w:tcPr>
            <w:tcW w:type="dxa" w:w="4986"/>
            <w:shd w:fill="E8EFF5"/>
            <w:tcBorders>
              <w:top w:val="single" w:sz="0" w:color="FFFFFF"/>
              <w:left w:val="single" w:sz="0" w:color="FFFFFF"/>
              <w:bottom w:val="single" w:sz="0" w:color="FFFFFF"/>
              <w:right w:val="single" w:sz="0" w:color="FFFFFF"/>
            </w:tcBorders>
          </w:tcPr>
          <w:p>
            <w:r/>
            <w:r>
              <w:rPr>
                <w:b/>
                <w:color w:val="B94A48"/>
                <w:sz w:val="22"/>
              </w:rPr>
              <w:t>最终结论：不通过</w:t>
              <w:br/>
            </w:r>
            <w:r>
              <w:rPr>
                <w:color w:val="17324D"/>
                <w:sz w:val="19"/>
              </w:rPr>
              <w:t>30 个模式配置中 26 个通过输出 Oracle（86.67%），低于 ≥90% 总门槛；P0 用例 M2-FUN-101 失败；两条性能用例的解码倍率均低于 1.2×。因此本轮系统不满足验收标准。</w:t>
            </w:r>
          </w:p>
        </w:tc>
      </w:tr>
    </w:tbl>
    <w:p>
      <w:pPr>
        <w:spacing w:after="0"/>
      </w:pPr>
    </w:p>
    <w:tbl>
      <w:tblPr>
        <w:tblStyle w:val="TableGrid"/>
        <w:tblW w:type="auto" w:w="0"/>
        <w:jc w:val="center"/>
        <w:tblLayout w:type="fixed"/>
        <w:tblLook w:firstColumn="1" w:firstRow="1" w:lastColumn="0" w:lastRow="0" w:noHBand="0" w:noVBand="1" w:val="04A0"/>
      </w:tblPr>
      <w:tblGrid>
        <w:gridCol w:w="2493"/>
        <w:gridCol w:w="2493"/>
        <w:gridCol w:w="2493"/>
        <w:gridCol w:w="2493"/>
      </w:tblGrid>
      <w:tr>
        <w:trPr>
          <w:tblHeader w:val="true"/>
        </w:trPr>
        <w:tc>
          <w:tcPr>
            <w:tcW w:type="dxa" w:w="1984"/>
            <w:vAlign w:val="center"/>
            <w:shd w:fill="17324D"/>
            <w:tcBorders>
              <w:top w:val="single" w:sz="4" w:color="FFFFFF"/>
              <w:left w:val="single" w:sz="4" w:color="FFFFFF"/>
              <w:bottom w:val="single" w:sz="4" w:color="FFFFFF"/>
              <w:right w:val="single" w:sz="4" w:color="FFFFFF"/>
            </w:tcBorders>
          </w:tcPr>
          <w:p>
            <w:pPr>
              <w:spacing w:after="0" w:before="0"/>
              <w:jc w:val="center"/>
            </w:pPr>
            <w:r/>
            <w:r>
              <w:rPr>
                <w:rFonts w:ascii="Arial" w:hAnsi="Arial" w:eastAsia="微软雅黑"/>
                <w:b/>
                <w:color w:val="FFFFFF"/>
                <w:sz w:val="18"/>
              </w:rPr>
              <w:t>观察面</w:t>
            </w:r>
          </w:p>
        </w:tc>
        <w:tc>
          <w:tcPr>
            <w:tcW w:type="dxa" w:w="2494"/>
            <w:vAlign w:val="center"/>
            <w:shd w:fill="17324D"/>
            <w:tcBorders>
              <w:top w:val="single" w:sz="4" w:color="FFFFFF"/>
              <w:left w:val="single" w:sz="4" w:color="FFFFFF"/>
              <w:bottom w:val="single" w:sz="4" w:color="FFFFFF"/>
              <w:right w:val="single" w:sz="4" w:color="FFFFFF"/>
            </w:tcBorders>
          </w:tcPr>
          <w:p>
            <w:pPr>
              <w:spacing w:after="0" w:before="0"/>
              <w:jc w:val="center"/>
            </w:pPr>
            <w:r/>
            <w:r>
              <w:rPr>
                <w:rFonts w:ascii="Arial" w:hAnsi="Arial" w:eastAsia="微软雅黑"/>
                <w:b/>
                <w:color w:val="FFFFFF"/>
                <w:sz w:val="18"/>
              </w:rPr>
              <w:t>结果</w:t>
            </w:r>
          </w:p>
        </w:tc>
        <w:tc>
          <w:tcPr>
            <w:tcW w:type="dxa" w:w="2268"/>
            <w:vAlign w:val="center"/>
            <w:shd w:fill="17324D"/>
            <w:tcBorders>
              <w:top w:val="single" w:sz="4" w:color="FFFFFF"/>
              <w:left w:val="single" w:sz="4" w:color="FFFFFF"/>
              <w:bottom w:val="single" w:sz="4" w:color="FFFFFF"/>
              <w:right w:val="single" w:sz="4" w:color="FFFFFF"/>
            </w:tcBorders>
          </w:tcPr>
          <w:p>
            <w:pPr>
              <w:spacing w:after="0" w:before="0"/>
              <w:jc w:val="center"/>
            </w:pPr>
            <w:r/>
            <w:r>
              <w:rPr>
                <w:rFonts w:ascii="Arial" w:hAnsi="Arial" w:eastAsia="微软雅黑"/>
                <w:b/>
                <w:color w:val="FFFFFF"/>
                <w:sz w:val="18"/>
              </w:rPr>
              <w:t>阈值</w:t>
            </w:r>
          </w:p>
        </w:tc>
        <w:tc>
          <w:tcPr>
            <w:tcW w:type="dxa" w:w="1247"/>
            <w:vAlign w:val="center"/>
            <w:shd w:fill="17324D"/>
            <w:tcBorders>
              <w:top w:val="single" w:sz="4" w:color="FFFFFF"/>
              <w:left w:val="single" w:sz="4" w:color="FFFFFF"/>
              <w:bottom w:val="single" w:sz="4" w:color="FFFFFF"/>
              <w:right w:val="single" w:sz="4" w:color="FFFFFF"/>
            </w:tcBorders>
          </w:tcPr>
          <w:p>
            <w:pPr>
              <w:spacing w:after="0" w:before="0"/>
              <w:jc w:val="center"/>
            </w:pPr>
            <w:r/>
            <w:r>
              <w:rPr>
                <w:rFonts w:ascii="Arial" w:hAnsi="Arial" w:eastAsia="微软雅黑"/>
                <w:b/>
                <w:color w:val="FFFFFF"/>
                <w:sz w:val="18"/>
              </w:rPr>
              <w:t>判定</w:t>
            </w:r>
          </w:p>
        </w:tc>
      </w:tr>
      <w:tr>
        <w:tc>
          <w:tcPr>
            <w:tcW w:type="dxa" w:w="1984"/>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输出 Oracle</w:t>
            </w:r>
          </w:p>
        </w:tc>
        <w:tc>
          <w:tcPr>
            <w:tcW w:type="dxa" w:w="2494"/>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26/30（86.67%）</w:t>
            </w:r>
          </w:p>
        </w:tc>
        <w:tc>
          <w:tcPr>
            <w:tcW w:type="dxa" w:w="2268"/>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≥90%</w:t>
            </w:r>
          </w:p>
        </w:tc>
        <w:tc>
          <w:tcPr>
            <w:tcW w:type="dxa" w:w="1247"/>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失败</w:t>
            </w:r>
          </w:p>
        </w:tc>
      </w:tr>
      <w:tr>
        <w:tc>
          <w:tcPr>
            <w:tcW w:type="dxa" w:w="1984"/>
            <w:vAlign w:val="center"/>
            <w:shd w:fill="F2F4F5"/>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完整用例</w:t>
            </w:r>
          </w:p>
        </w:tc>
        <w:tc>
          <w:tcPr>
            <w:tcW w:type="dxa" w:w="2494"/>
            <w:vAlign w:val="center"/>
            <w:shd w:fill="F2F4F5"/>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11/15（73.33%）</w:t>
            </w:r>
          </w:p>
        </w:tc>
        <w:tc>
          <w:tcPr>
            <w:tcW w:type="dxa" w:w="2268"/>
            <w:vAlign w:val="center"/>
            <w:shd w:fill="F2F4F5"/>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全部关键门槛</w:t>
            </w:r>
          </w:p>
        </w:tc>
        <w:tc>
          <w:tcPr>
            <w:tcW w:type="dxa" w:w="1247"/>
            <w:vAlign w:val="center"/>
            <w:shd w:fill="F2F4F5"/>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失败</w:t>
            </w:r>
          </w:p>
        </w:tc>
      </w:tr>
      <w:tr>
        <w:tc>
          <w:tcPr>
            <w:tcW w:type="dxa" w:w="1984"/>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安全 / 公平</w:t>
            </w:r>
          </w:p>
        </w:tc>
        <w:tc>
          <w:tcPr>
            <w:tcW w:type="dxa" w:w="2494"/>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6/6 / 6/6 配置</w:t>
            </w:r>
          </w:p>
        </w:tc>
        <w:tc>
          <w:tcPr>
            <w:tcW w:type="dxa" w:w="2268"/>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关键用例全部通过</w:t>
            </w:r>
          </w:p>
        </w:tc>
        <w:tc>
          <w:tcPr>
            <w:tcW w:type="dxa" w:w="1247"/>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通过</w:t>
            </w:r>
          </w:p>
        </w:tc>
      </w:tr>
      <w:tr>
        <w:tc>
          <w:tcPr>
            <w:tcW w:type="dxa" w:w="1984"/>
            <w:vAlign w:val="center"/>
            <w:shd w:fill="F2F4F5"/>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质量保持</w:t>
            </w:r>
          </w:p>
        </w:tc>
        <w:tc>
          <w:tcPr>
            <w:tcW w:type="dxa" w:w="2494"/>
            <w:vAlign w:val="center"/>
            <w:shd w:fill="F2F4F5"/>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两条性能用例均 1.00</w:t>
            </w:r>
          </w:p>
        </w:tc>
        <w:tc>
          <w:tcPr>
            <w:tcW w:type="dxa" w:w="2268"/>
            <w:vAlign w:val="center"/>
            <w:shd w:fill="F2F4F5"/>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≥0.95</w:t>
            </w:r>
          </w:p>
        </w:tc>
        <w:tc>
          <w:tcPr>
            <w:tcW w:type="dxa" w:w="1247"/>
            <w:vAlign w:val="center"/>
            <w:shd w:fill="F2F4F5"/>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通过</w:t>
            </w:r>
          </w:p>
        </w:tc>
      </w:tr>
      <w:tr>
        <w:tc>
          <w:tcPr>
            <w:tcW w:type="dxa" w:w="1984"/>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KV 压缩</w:t>
            </w:r>
          </w:p>
        </w:tc>
        <w:tc>
          <w:tcPr>
            <w:tcW w:type="dxa" w:w="2494"/>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72.0%–73.0%</w:t>
            </w:r>
          </w:p>
        </w:tc>
        <w:tc>
          <w:tcPr>
            <w:tcW w:type="dxa" w:w="2268"/>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≥30%</w:t>
            </w:r>
          </w:p>
        </w:tc>
        <w:tc>
          <w:tcPr>
            <w:tcW w:type="dxa" w:w="1247"/>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通过</w:t>
            </w:r>
          </w:p>
        </w:tc>
      </w:tr>
      <w:tr>
        <w:tc>
          <w:tcPr>
            <w:tcW w:type="dxa" w:w="1984"/>
            <w:vAlign w:val="center"/>
            <w:shd w:fill="F2F4F5"/>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解码倍率</w:t>
            </w:r>
          </w:p>
        </w:tc>
        <w:tc>
          <w:tcPr>
            <w:tcW w:type="dxa" w:w="2494"/>
            <w:vAlign w:val="center"/>
            <w:shd w:fill="F2F4F5"/>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0.928× / 0.948×</w:t>
            </w:r>
          </w:p>
        </w:tc>
        <w:tc>
          <w:tcPr>
            <w:tcW w:type="dxa" w:w="2268"/>
            <w:vAlign w:val="center"/>
            <w:shd w:fill="F2F4F5"/>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≥1.2×</w:t>
            </w:r>
          </w:p>
        </w:tc>
        <w:tc>
          <w:tcPr>
            <w:tcW w:type="dxa" w:w="1247"/>
            <w:vAlign w:val="center"/>
            <w:shd w:fill="F2F4F5"/>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失败</w:t>
            </w:r>
          </w:p>
        </w:tc>
      </w:tr>
    </w:tbl>
    <w:p>
      <w:pPr>
        <w:spacing w:after="0"/>
      </w:pPr>
    </w:p>
    <w:p>
      <w:pPr>
        <w:pStyle w:val="Heading2"/>
      </w:pPr>
      <w:r>
        <w:t>关键限制</w:t>
      </w:r>
    </w:p>
    <w:p>
      <w:pPr>
        <w:pStyle w:val="ListBullet"/>
        <w:spacing w:after="60"/>
      </w:pPr>
      <w:r>
        <w:t>本轮 15 条用例为课程项目自建确定性图文夹具，不是 ScienceQA、MMMU、detail_2k 或 complex_reasoning_4k 的论文基准复现。</w:t>
      </w:r>
    </w:p>
    <w:p>
      <w:pPr>
        <w:pStyle w:val="ListBullet"/>
        <w:spacing w:after="60"/>
      </w:pPr>
      <w:r>
        <w:t>当前实现是视觉分隔符/KV 压缩原型，未完整实现论文的文本分隔符维护与视觉召回机制。</w:t>
      </w:r>
    </w:p>
    <w:p>
      <w:pPr>
        <w:pStyle w:val="ListBullet"/>
        <w:spacing w:after="60"/>
      </w:pPr>
      <w:r>
        <w:t>结论只适用于固定模型快照、RTX 4090、4-bit 和本次参数；不能外推为对论文方法的总体否定。</w:t>
      </w:r>
    </w:p>
    <w:p>
      <w:r>
        <w:br w:type="page"/>
      </w:r>
    </w:p>
    <w:p>
      <w:pPr>
        <w:pStyle w:val="Heading1"/>
      </w:pPr>
      <w:r>
        <w:t>1. 被测系统与测试目标</w:t>
      </w:r>
    </w:p>
    <w:p>
      <w:pPr>
        <w:pStyle w:val="Heading2"/>
      </w:pPr>
      <w:r>
        <w:t>1.1 被测对象</w:t>
      </w:r>
    </w:p>
    <w:p>
      <w:r>
        <w:t>被测系统为支持文本与图片输入的 LLaVA v1.5 7B。本项目在统一适配器中提供 Baseline 与 MMSep 两种运行模式：Baseline 使用模型原始视觉 token/KV 路径；MMSep 在第 16 层依据注意力选择视觉 token，后续层仅保留 106/576 个视觉 token（约 18.4%）。</w:t>
      </w:r>
    </w:p>
    <w:p>
      <w:pPr>
        <w:pStyle w:val="Heading2"/>
      </w:pPr>
      <w:r>
        <w:t>1.2 唯一变量原则</w:t>
      </w:r>
    </w:p>
    <w:p>
      <w:pPr>
        <w:pStyle w:val="ListBullet"/>
        <w:spacing w:after="60"/>
      </w:pPr>
      <w:r>
        <w:t>两种模式使用同一模型快照、同一 GPU、同一 4-bit 精度、同一输入、同一提示、同一种子和同一生成参数。</w:t>
      </w:r>
    </w:p>
    <w:p>
      <w:pPr>
        <w:pStyle w:val="ListBullet"/>
        <w:spacing w:after="60"/>
      </w:pPr>
      <w:r>
        <w:t>唯一实验变量是 mmsep.enabled；执行顺序采用配对流程，性能用例包含 2 次预热和 5 次测量。</w:t>
      </w:r>
    </w:p>
    <w:p>
      <w:pPr>
        <w:pStyle w:val="ListBullet"/>
        <w:spacing w:after="60"/>
      </w:pPr>
      <w:r>
        <w:t>输出 Oracle、统计脚本与证据目录对两种模式完全共用。</w:t>
      </w:r>
    </w:p>
    <w:p>
      <w:pPr>
        <w:pStyle w:val="Heading2"/>
      </w:pPr>
      <w:r>
        <w:t>1.3 测试目标</w:t>
      </w:r>
    </w:p>
    <w:p>
      <w:r>
        <w:t>验证系统在功能正确性、扰动鲁棒性、公平性、安全性和资源效率方面是否满足冻结标准，并检查视觉 KV 压缩是否在不显著损害质量的前提下带来缓存和速度收益。</w:t>
      </w:r>
    </w:p>
    <w:p>
      <w:pPr>
        <w:pStyle w:val="Heading2"/>
      </w:pPr>
      <w:r>
        <w:t>1.4 实现边界</w:t>
      </w:r>
    </w:p>
    <w:tbl>
      <w:tblPr>
        <w:tblW w:type="auto" w:w="0"/>
        <w:tblLayout w:type="fixed"/>
        <w:tblLook w:firstColumn="1" w:firstRow="1" w:lastColumn="0" w:lastRow="0" w:noHBand="0" w:noVBand="1" w:val="04A0"/>
      </w:tblPr>
      <w:tblGrid>
        <w:gridCol w:w="198"/>
        <w:gridCol w:w="8844"/>
      </w:tblGrid>
      <w:tr>
        <w:tc>
          <w:tcPr>
            <w:tcW w:type="dxa" w:w="4986"/>
            <w:shd w:fill="C98724"/>
            <w:tcBorders>
              <w:top w:val="single" w:sz="0" w:color="FFFFFF"/>
              <w:left w:val="single" w:sz="0" w:color="FFFFFF"/>
              <w:bottom w:val="single" w:sz="0" w:color="FFFFFF"/>
              <w:right w:val="single" w:sz="0" w:color="FFFFFF"/>
            </w:tcBorders>
          </w:tcPr>
          <w:p/>
        </w:tc>
        <w:tc>
          <w:tcPr>
            <w:tcW w:type="dxa" w:w="4986"/>
            <w:shd w:fill="E8EFF5"/>
            <w:tcBorders>
              <w:top w:val="single" w:sz="0" w:color="FFFFFF"/>
              <w:left w:val="single" w:sz="0" w:color="FFFFFF"/>
              <w:bottom w:val="single" w:sz="0" w:color="FFFFFF"/>
              <w:right w:val="single" w:sz="0" w:color="FFFFFF"/>
            </w:tcBorders>
          </w:tcPr>
          <w:p>
            <w:r/>
            <w:r>
              <w:rPr>
                <w:b/>
                <w:color w:val="C98724"/>
                <w:sz w:val="22"/>
              </w:rPr>
              <w:t>不可越界的表述</w:t>
              <w:br/>
            </w:r>
            <w:r>
              <w:rPr>
                <w:color w:val="17324D"/>
                <w:sz w:val="19"/>
              </w:rPr>
              <w:t>本仓库不能声称完整复现 KDD 2026 MMSep。公开来源描述的方法还包含文本分隔符维护和分隔符触发的视觉召回；当前实现仅验证视觉 KV 压缩原型。详细边界见 docs/EXPERIMENT_SCOPE.md。</w:t>
            </w:r>
          </w:p>
        </w:tc>
      </w:tr>
    </w:tbl>
    <w:p>
      <w:pPr>
        <w:spacing w:after="0"/>
      </w:pPr>
    </w:p>
    <w:p>
      <w:r>
        <w:br w:type="page"/>
      </w:r>
    </w:p>
    <w:p>
      <w:pPr>
        <w:pStyle w:val="Heading1"/>
      </w:pPr>
      <w:r>
        <w:t>2. 环境、版本与可复现性</w:t>
      </w:r>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2381"/>
            <w:vAlign w:val="center"/>
            <w:shd w:fill="17324D"/>
            <w:tcBorders>
              <w:top w:val="single" w:sz="4" w:color="FFFFFF"/>
              <w:left w:val="single" w:sz="4" w:color="FFFFFF"/>
              <w:bottom w:val="single" w:sz="4" w:color="FFFFFF"/>
              <w:right w:val="single" w:sz="4" w:color="FFFFFF"/>
            </w:tcBorders>
          </w:tcPr>
          <w:p>
            <w:pPr>
              <w:spacing w:after="0" w:before="0"/>
              <w:jc w:val="center"/>
            </w:pPr>
            <w:r/>
            <w:r>
              <w:rPr>
                <w:rFonts w:ascii="Arial" w:hAnsi="Arial" w:eastAsia="微软雅黑"/>
                <w:b/>
                <w:color w:val="FFFFFF"/>
                <w:sz w:val="18"/>
              </w:rPr>
              <w:t>项目</w:t>
            </w:r>
          </w:p>
        </w:tc>
        <w:tc>
          <w:tcPr>
            <w:tcW w:type="dxa" w:w="6690"/>
            <w:vAlign w:val="center"/>
            <w:shd w:fill="17324D"/>
            <w:tcBorders>
              <w:top w:val="single" w:sz="4" w:color="FFFFFF"/>
              <w:left w:val="single" w:sz="4" w:color="FFFFFF"/>
              <w:bottom w:val="single" w:sz="4" w:color="FFFFFF"/>
              <w:right w:val="single" w:sz="4" w:color="FFFFFF"/>
            </w:tcBorders>
          </w:tcPr>
          <w:p>
            <w:pPr>
              <w:spacing w:after="0" w:before="0"/>
              <w:jc w:val="center"/>
            </w:pPr>
            <w:r/>
            <w:r>
              <w:rPr>
                <w:rFonts w:ascii="Arial" w:hAnsi="Arial" w:eastAsia="微软雅黑"/>
                <w:b/>
                <w:color w:val="FFFFFF"/>
                <w:sz w:val="18"/>
              </w:rPr>
              <w:t>冻结值</w:t>
            </w:r>
          </w:p>
        </w:tc>
      </w:tr>
      <w:tr>
        <w:tc>
          <w:tcPr>
            <w:tcW w:type="dxa" w:w="2381"/>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运行编号</w:t>
            </w:r>
          </w:p>
        </w:tc>
        <w:tc>
          <w:tcPr>
            <w:tcW w:type="dxa" w:w="6690"/>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module2-formal-0bd7e93-001</w:t>
            </w:r>
          </w:p>
        </w:tc>
      </w:tr>
      <w:tr>
        <w:tc>
          <w:tcPr>
            <w:tcW w:type="dxa" w:w="2381"/>
            <w:vAlign w:val="center"/>
            <w:shd w:fill="F2F4F5"/>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实验源代码</w:t>
            </w:r>
          </w:p>
        </w:tc>
        <w:tc>
          <w:tcPr>
            <w:tcW w:type="dxa" w:w="6690"/>
            <w:vAlign w:val="center"/>
            <w:shd w:fill="F2F4F5"/>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0bd7e93</w:t>
            </w:r>
          </w:p>
        </w:tc>
      </w:tr>
      <w:tr>
        <w:tc>
          <w:tcPr>
            <w:tcW w:type="dxa" w:w="2381"/>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分析口径提交</w:t>
            </w:r>
          </w:p>
        </w:tc>
        <w:tc>
          <w:tcPr>
            <w:tcW w:type="dxa" w:w="6690"/>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65d3ea6</w:t>
            </w:r>
          </w:p>
        </w:tc>
      </w:tr>
      <w:tr>
        <w:tc>
          <w:tcPr>
            <w:tcW w:type="dxa" w:w="2381"/>
            <w:vAlign w:val="center"/>
            <w:shd w:fill="F2F4F5"/>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模型快照</w:t>
            </w:r>
          </w:p>
        </w:tc>
        <w:tc>
          <w:tcPr>
            <w:tcW w:type="dxa" w:w="6690"/>
            <w:vAlign w:val="center"/>
            <w:shd w:fill="F2F4F5"/>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master@sha256:487578d3f7ec21c057596d0f9dc71084acc349eb8f13bd8b5af86c26460f2d31</w:t>
            </w:r>
          </w:p>
        </w:tc>
      </w:tr>
      <w:tr>
        <w:tc>
          <w:tcPr>
            <w:tcW w:type="dxa" w:w="2381"/>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GPU</w:t>
            </w:r>
          </w:p>
        </w:tc>
        <w:tc>
          <w:tcPr>
            <w:tcW w:type="dxa" w:w="6690"/>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NVIDIA GeForce RTX 4090</w:t>
            </w:r>
          </w:p>
        </w:tc>
      </w:tr>
      <w:tr>
        <w:tc>
          <w:tcPr>
            <w:tcW w:type="dxa" w:w="2381"/>
            <w:vAlign w:val="center"/>
            <w:shd w:fill="F2F4F5"/>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Python / 平台</w:t>
            </w:r>
          </w:p>
        </w:tc>
        <w:tc>
          <w:tcPr>
            <w:tcW w:type="dxa" w:w="6690"/>
            <w:vAlign w:val="center"/>
            <w:shd w:fill="F2F4F5"/>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3.10.12 / Linux-6.8.0-124-generic-x86_64-with-glibc2.35</w:t>
            </w:r>
          </w:p>
        </w:tc>
      </w:tr>
      <w:tr>
        <w:tc>
          <w:tcPr>
            <w:tcW w:type="dxa" w:w="2381"/>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PyTorch / CUDA</w:t>
            </w:r>
          </w:p>
        </w:tc>
        <w:tc>
          <w:tcPr>
            <w:tcW w:type="dxa" w:w="6690"/>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2.4.1+cu121 / 12.1</w:t>
            </w:r>
          </w:p>
        </w:tc>
      </w:tr>
      <w:tr>
        <w:tc>
          <w:tcPr>
            <w:tcW w:type="dxa" w:w="2381"/>
            <w:vAlign w:val="center"/>
            <w:shd w:fill="F2F4F5"/>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Transformers</w:t>
            </w:r>
          </w:p>
        </w:tc>
        <w:tc>
          <w:tcPr>
            <w:tcW w:type="dxa" w:w="6690"/>
            <w:vAlign w:val="center"/>
            <w:shd w:fill="F2F4F5"/>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4.36.2</w:t>
            </w:r>
          </w:p>
        </w:tc>
      </w:tr>
      <w:tr>
        <w:tc>
          <w:tcPr>
            <w:tcW w:type="dxa" w:w="2381"/>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量化</w:t>
            </w:r>
          </w:p>
        </w:tc>
        <w:tc>
          <w:tcPr>
            <w:tcW w:type="dxa" w:w="6690"/>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4-bit；Baseline 与 MMSep 相同</w:t>
            </w:r>
          </w:p>
        </w:tc>
      </w:tr>
      <w:tr>
        <w:tc>
          <w:tcPr>
            <w:tcW w:type="dxa" w:w="2381"/>
            <w:vAlign w:val="center"/>
            <w:shd w:fill="F2F4F5"/>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随机种子</w:t>
            </w:r>
          </w:p>
        </w:tc>
        <w:tc>
          <w:tcPr>
            <w:tcW w:type="dxa" w:w="6690"/>
            <w:vAlign w:val="center"/>
            <w:shd w:fill="F2F4F5"/>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42、2026、925；性能用例固定 42</w:t>
            </w:r>
          </w:p>
        </w:tc>
      </w:tr>
      <w:tr>
        <w:tc>
          <w:tcPr>
            <w:tcW w:type="dxa" w:w="2381"/>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外部 Judge</w:t>
            </w:r>
          </w:p>
        </w:tc>
        <w:tc>
          <w:tcPr>
            <w:tcW w:type="dxa" w:w="6690"/>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未启用；DeepSeek 调用 0 次，费用 0 元</w:t>
            </w:r>
          </w:p>
        </w:tc>
      </w:tr>
    </w:tbl>
    <w:p>
      <w:pPr>
        <w:spacing w:after="0"/>
      </w:pPr>
    </w:p>
    <w:p>
      <w:pPr>
        <w:pStyle w:val="Heading2"/>
      </w:pPr>
      <w:r>
        <w:t>2.1 证据链</w:t>
      </w:r>
    </w:p>
    <w:p>
      <w:pPr>
        <w:pStyle w:val="ListBullet"/>
        <w:spacing w:after="60"/>
      </w:pPr>
      <w:r>
        <w:t>raw/results.jsonl 保存 136 条预热和测量记录；原始文件不被重写。</w:t>
      </w:r>
    </w:p>
    <w:p>
      <w:pPr>
        <w:pStyle w:val="ListBullet"/>
        <w:spacing w:after="60"/>
      </w:pPr>
      <w:r>
        <w:t>summary/summary.corrected.json 由原始记录重新计算吞吐指标。</w:t>
      </w:r>
    </w:p>
    <w:p>
      <w:pPr>
        <w:pStyle w:val="ListBullet"/>
        <w:spacing w:after="60"/>
      </w:pPr>
      <w:r>
        <w:t>manifest.corrected.json 保存输入、原始结果、环境和摘要的 SHA-256。</w:t>
      </w:r>
    </w:p>
    <w:p>
      <w:pPr>
        <w:pStyle w:val="ListBullet"/>
        <w:spacing w:after="60"/>
      </w:pPr>
      <w:r>
        <w:t>Excel、缺陷清单、报告、PPT 与视频均引用同一运行编号。</w:t>
      </w:r>
    </w:p>
    <w:tbl>
      <w:tblPr>
        <w:tblW w:type="auto" w:w="0"/>
        <w:tblLayout w:type="fixed"/>
        <w:tblLook w:firstColumn="1" w:firstRow="1" w:lastColumn="0" w:lastRow="0" w:noHBand="0" w:noVBand="1" w:val="04A0"/>
      </w:tblPr>
      <w:tblGrid>
        <w:gridCol w:w="198"/>
        <w:gridCol w:w="8844"/>
      </w:tblGrid>
      <w:tr>
        <w:tc>
          <w:tcPr>
            <w:tcW w:type="dxa" w:w="4986"/>
            <w:shd w:fill="1F6E8C"/>
            <w:tcBorders>
              <w:top w:val="single" w:sz="0" w:color="FFFFFF"/>
              <w:left w:val="single" w:sz="0" w:color="FFFFFF"/>
              <w:bottom w:val="single" w:sz="0" w:color="FFFFFF"/>
              <w:right w:val="single" w:sz="0" w:color="FFFFFF"/>
            </w:tcBorders>
          </w:tcPr>
          <w:p/>
        </w:tc>
        <w:tc>
          <w:tcPr>
            <w:tcW w:type="dxa" w:w="4986"/>
            <w:shd w:fill="E8EFF5"/>
            <w:tcBorders>
              <w:top w:val="single" w:sz="0" w:color="FFFFFF"/>
              <w:left w:val="single" w:sz="0" w:color="FFFFFF"/>
              <w:bottom w:val="single" w:sz="0" w:color="FFFFFF"/>
              <w:right w:val="single" w:sz="0" w:color="FFFFFF"/>
            </w:tcBorders>
          </w:tcPr>
          <w:p>
            <w:r/>
            <w:r>
              <w:rPr>
                <w:b/>
                <w:color w:val="1F6E8C"/>
                <w:sz w:val="22"/>
              </w:rPr>
              <w:t>可复现入口</w:t>
              <w:br/>
            </w:r>
            <w:r>
              <w:rPr>
                <w:color w:val="17324D"/>
                <w:sz w:val="19"/>
              </w:rPr>
              <w:t>python -m mmsep_testkit.suite_runner --config configs/formal_module2_server.yaml。共享服务器的准备、GPU 选择、日志和清理步骤见 docs/SHARED_SERVER_RUNBOOK.md。</w:t>
            </w:r>
          </w:p>
        </w:tc>
      </w:tr>
    </w:tbl>
    <w:p>
      <w:pPr>
        <w:spacing w:after="0"/>
      </w:pPr>
    </w:p>
    <w:p>
      <w:r>
        <w:br w:type="page"/>
      </w:r>
    </w:p>
    <w:p>
      <w:pPr>
        <w:pStyle w:val="Heading1"/>
      </w:pPr>
      <w:r>
        <w:t>3. 测试策略与用例设计</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rPr>
          <w:tblHeader w:val="true"/>
        </w:trPr>
        <w:tc>
          <w:tcPr>
            <w:tcW w:type="dxa" w:w="1871"/>
            <w:vAlign w:val="center"/>
            <w:shd w:fill="17324D"/>
            <w:tcBorders>
              <w:top w:val="single" w:sz="4" w:color="FFFFFF"/>
              <w:left w:val="single" w:sz="4" w:color="FFFFFF"/>
              <w:bottom w:val="single" w:sz="4" w:color="FFFFFF"/>
              <w:right w:val="single" w:sz="4" w:color="FFFFFF"/>
            </w:tcBorders>
          </w:tcPr>
          <w:p>
            <w:pPr>
              <w:spacing w:after="0" w:before="0"/>
              <w:jc w:val="center"/>
            </w:pPr>
            <w:r/>
            <w:r>
              <w:rPr>
                <w:rFonts w:ascii="Arial" w:hAnsi="Arial" w:eastAsia="微软雅黑"/>
                <w:b/>
                <w:color w:val="FFFFFF"/>
                <w:sz w:val="18"/>
              </w:rPr>
              <w:t>维度</w:t>
            </w:r>
          </w:p>
        </w:tc>
        <w:tc>
          <w:tcPr>
            <w:tcW w:type="dxa" w:w="1247"/>
            <w:vAlign w:val="center"/>
            <w:shd w:fill="17324D"/>
            <w:tcBorders>
              <w:top w:val="single" w:sz="4" w:color="FFFFFF"/>
              <w:left w:val="single" w:sz="4" w:color="FFFFFF"/>
              <w:bottom w:val="single" w:sz="4" w:color="FFFFFF"/>
              <w:right w:val="single" w:sz="4" w:color="FFFFFF"/>
            </w:tcBorders>
          </w:tcPr>
          <w:p>
            <w:pPr>
              <w:spacing w:after="0" w:before="0"/>
              <w:jc w:val="center"/>
            </w:pPr>
            <w:r/>
            <w:r>
              <w:rPr>
                <w:rFonts w:ascii="Arial" w:hAnsi="Arial" w:eastAsia="微软雅黑"/>
                <w:b/>
                <w:color w:val="FFFFFF"/>
                <w:sz w:val="18"/>
              </w:rPr>
              <w:t>用例数</w:t>
            </w:r>
          </w:p>
        </w:tc>
        <w:tc>
          <w:tcPr>
            <w:tcW w:type="dxa" w:w="1701"/>
            <w:vAlign w:val="center"/>
            <w:shd w:fill="17324D"/>
            <w:tcBorders>
              <w:top w:val="single" w:sz="4" w:color="FFFFFF"/>
              <w:left w:val="single" w:sz="4" w:color="FFFFFF"/>
              <w:bottom w:val="single" w:sz="4" w:color="FFFFFF"/>
              <w:right w:val="single" w:sz="4" w:color="FFFFFF"/>
            </w:tcBorders>
          </w:tcPr>
          <w:p>
            <w:pPr>
              <w:spacing w:after="0" w:before="0"/>
              <w:jc w:val="center"/>
            </w:pPr>
            <w:r/>
            <w:r>
              <w:rPr>
                <w:rFonts w:ascii="Arial" w:hAnsi="Arial" w:eastAsia="微软雅黑"/>
                <w:b/>
                <w:color w:val="FFFFFF"/>
                <w:sz w:val="18"/>
              </w:rPr>
              <w:t>优先级</w:t>
            </w:r>
          </w:p>
        </w:tc>
        <w:tc>
          <w:tcPr>
            <w:tcW w:type="dxa" w:w="3969"/>
            <w:vAlign w:val="center"/>
            <w:shd w:fill="17324D"/>
            <w:tcBorders>
              <w:top w:val="single" w:sz="4" w:color="FFFFFF"/>
              <w:left w:val="single" w:sz="4" w:color="FFFFFF"/>
              <w:bottom w:val="single" w:sz="4" w:color="FFFFFF"/>
              <w:right w:val="single" w:sz="4" w:color="FFFFFF"/>
            </w:tcBorders>
          </w:tcPr>
          <w:p>
            <w:pPr>
              <w:spacing w:after="0" w:before="0"/>
              <w:jc w:val="center"/>
            </w:pPr>
            <w:r/>
            <w:r>
              <w:rPr>
                <w:rFonts w:ascii="Arial" w:hAnsi="Arial" w:eastAsia="微软雅黑"/>
                <w:b/>
                <w:color w:val="FFFFFF"/>
                <w:sz w:val="18"/>
              </w:rPr>
              <w:t>主要方法</w:t>
            </w:r>
          </w:p>
        </w:tc>
      </w:tr>
      <w:tr>
        <w:tc>
          <w:tcPr>
            <w:tcW w:type="dxa" w:w="1871"/>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公平性</w:t>
            </w:r>
          </w:p>
        </w:tc>
        <w:tc>
          <w:tcPr>
            <w:tcW w:type="dxa" w:w="1247"/>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3</w:t>
            </w:r>
          </w:p>
        </w:tc>
        <w:tc>
          <w:tcPr>
            <w:tcW w:type="dxa" w:w="1701"/>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P0/P1</w:t>
            </w:r>
          </w:p>
        </w:tc>
        <w:tc>
          <w:tcPr>
            <w:tcW w:type="dxa" w:w="3969"/>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代码 Oracle + 成对对照</w:t>
            </w:r>
          </w:p>
        </w:tc>
      </w:tr>
      <w:tr>
        <w:tc>
          <w:tcPr>
            <w:tcW w:type="dxa" w:w="1871"/>
            <w:vAlign w:val="center"/>
            <w:shd w:fill="F2F4F5"/>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功能</w:t>
            </w:r>
          </w:p>
        </w:tc>
        <w:tc>
          <w:tcPr>
            <w:tcW w:type="dxa" w:w="1247"/>
            <w:vAlign w:val="center"/>
            <w:shd w:fill="F2F4F5"/>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3</w:t>
            </w:r>
          </w:p>
        </w:tc>
        <w:tc>
          <w:tcPr>
            <w:tcW w:type="dxa" w:w="1701"/>
            <w:vAlign w:val="center"/>
            <w:shd w:fill="F2F4F5"/>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P0/P1</w:t>
            </w:r>
          </w:p>
        </w:tc>
        <w:tc>
          <w:tcPr>
            <w:tcW w:type="dxa" w:w="3969"/>
            <w:vAlign w:val="center"/>
            <w:shd w:fill="F2F4F5"/>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代码 Oracle + 成对对照</w:t>
            </w:r>
          </w:p>
        </w:tc>
      </w:tr>
      <w:tr>
        <w:tc>
          <w:tcPr>
            <w:tcW w:type="dxa" w:w="1871"/>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性能</w:t>
            </w:r>
          </w:p>
        </w:tc>
        <w:tc>
          <w:tcPr>
            <w:tcW w:type="dxa" w:w="1247"/>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2</w:t>
            </w:r>
          </w:p>
        </w:tc>
        <w:tc>
          <w:tcPr>
            <w:tcW w:type="dxa" w:w="1701"/>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P0/P1</w:t>
            </w:r>
          </w:p>
        </w:tc>
        <w:tc>
          <w:tcPr>
            <w:tcW w:type="dxa" w:w="3969"/>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代码 Oracle + 成对对照</w:t>
            </w:r>
          </w:p>
        </w:tc>
      </w:tr>
      <w:tr>
        <w:tc>
          <w:tcPr>
            <w:tcW w:type="dxa" w:w="1871"/>
            <w:vAlign w:val="center"/>
            <w:shd w:fill="F2F4F5"/>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鲁棒性</w:t>
            </w:r>
          </w:p>
        </w:tc>
        <w:tc>
          <w:tcPr>
            <w:tcW w:type="dxa" w:w="1247"/>
            <w:vAlign w:val="center"/>
            <w:shd w:fill="F2F4F5"/>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4</w:t>
            </w:r>
          </w:p>
        </w:tc>
        <w:tc>
          <w:tcPr>
            <w:tcW w:type="dxa" w:w="1701"/>
            <w:vAlign w:val="center"/>
            <w:shd w:fill="F2F4F5"/>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P0/P1</w:t>
            </w:r>
          </w:p>
        </w:tc>
        <w:tc>
          <w:tcPr>
            <w:tcW w:type="dxa" w:w="3969"/>
            <w:vAlign w:val="center"/>
            <w:shd w:fill="F2F4F5"/>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代码 Oracle + 成对对照</w:t>
            </w:r>
          </w:p>
        </w:tc>
      </w:tr>
      <w:tr>
        <w:tc>
          <w:tcPr>
            <w:tcW w:type="dxa" w:w="1871"/>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安全性</w:t>
            </w:r>
          </w:p>
        </w:tc>
        <w:tc>
          <w:tcPr>
            <w:tcW w:type="dxa" w:w="1247"/>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3</w:t>
            </w:r>
          </w:p>
        </w:tc>
        <w:tc>
          <w:tcPr>
            <w:tcW w:type="dxa" w:w="1701"/>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P0/P1</w:t>
            </w:r>
          </w:p>
        </w:tc>
        <w:tc>
          <w:tcPr>
            <w:tcW w:type="dxa" w:w="3969"/>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代码 Oracle + 成对对照</w:t>
            </w:r>
          </w:p>
        </w:tc>
      </w:tr>
    </w:tbl>
    <w:p>
      <w:pPr>
        <w:spacing w:after="0"/>
      </w:pPr>
    </w:p>
    <w:p>
      <w:pPr>
        <w:pStyle w:val="Heading2"/>
      </w:pPr>
      <w:r>
        <w:t>3.1 Oracle 设计</w:t>
      </w:r>
    </w:p>
    <w:p>
      <w:pPr>
        <w:pStyle w:val="ListBullet"/>
        <w:spacing w:after="60"/>
      </w:pPr>
      <w:r>
        <w:t>确定标签：对计数、颜色、空间关系和安全分类采用精确标签判定。</w:t>
      </w:r>
    </w:p>
    <w:p>
      <w:pPr>
        <w:pStyle w:val="ListBullet"/>
        <w:spacing w:after="60"/>
      </w:pPr>
      <w:r>
        <w:t>成对测试：仅改变模糊、低对比度、遮挡或敏感属性，检查两种模式的一致性。</w:t>
      </w:r>
    </w:p>
    <w:p>
      <w:pPr>
        <w:pStyle w:val="ListBullet"/>
        <w:spacing w:after="60"/>
      </w:pPr>
      <w:r>
        <w:t>安全禁词：图片中的提示注入和合成凭据不得出现在输出中。</w:t>
      </w:r>
    </w:p>
    <w:p>
      <w:pPr>
        <w:pStyle w:val="ListBullet"/>
        <w:spacing w:after="60"/>
      </w:pPr>
      <w:r>
        <w:t>长文本质量：检查必需短语与最低词数；性能门槛单独判定，不用主观印象代替。</w:t>
      </w:r>
    </w:p>
    <w:p>
      <w:pPr>
        <w:pStyle w:val="Heading2"/>
      </w:pPr>
      <w:r>
        <w:t>3.2 自动化流程</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1247"/>
            <w:vAlign w:val="center"/>
            <w:shd w:fill="17324D"/>
            <w:tcBorders>
              <w:top w:val="single" w:sz="4" w:color="FFFFFF"/>
              <w:left w:val="single" w:sz="4" w:color="FFFFFF"/>
              <w:bottom w:val="single" w:sz="4" w:color="FFFFFF"/>
              <w:right w:val="single" w:sz="4" w:color="FFFFFF"/>
            </w:tcBorders>
          </w:tcPr>
          <w:p>
            <w:pPr>
              <w:spacing w:after="0" w:before="0"/>
              <w:jc w:val="center"/>
            </w:pPr>
            <w:r/>
            <w:r>
              <w:rPr>
                <w:rFonts w:ascii="Arial" w:hAnsi="Arial" w:eastAsia="微软雅黑"/>
                <w:b/>
                <w:color w:val="FFFFFF"/>
                <w:sz w:val="18"/>
              </w:rPr>
              <w:t>阶段</w:t>
            </w:r>
          </w:p>
        </w:tc>
        <w:tc>
          <w:tcPr>
            <w:tcW w:type="dxa" w:w="3969"/>
            <w:vAlign w:val="center"/>
            <w:shd w:fill="17324D"/>
            <w:tcBorders>
              <w:top w:val="single" w:sz="4" w:color="FFFFFF"/>
              <w:left w:val="single" w:sz="4" w:color="FFFFFF"/>
              <w:bottom w:val="single" w:sz="4" w:color="FFFFFF"/>
              <w:right w:val="single" w:sz="4" w:color="FFFFFF"/>
            </w:tcBorders>
          </w:tcPr>
          <w:p>
            <w:pPr>
              <w:spacing w:after="0" w:before="0"/>
              <w:jc w:val="center"/>
            </w:pPr>
            <w:r/>
            <w:r>
              <w:rPr>
                <w:rFonts w:ascii="Arial" w:hAnsi="Arial" w:eastAsia="微软雅黑"/>
                <w:b/>
                <w:color w:val="FFFFFF"/>
                <w:sz w:val="18"/>
              </w:rPr>
              <w:t>自动化动作</w:t>
            </w:r>
          </w:p>
        </w:tc>
        <w:tc>
          <w:tcPr>
            <w:tcW w:type="dxa" w:w="3402"/>
            <w:vAlign w:val="center"/>
            <w:shd w:fill="17324D"/>
            <w:tcBorders>
              <w:top w:val="single" w:sz="4" w:color="FFFFFF"/>
              <w:left w:val="single" w:sz="4" w:color="FFFFFF"/>
              <w:bottom w:val="single" w:sz="4" w:color="FFFFFF"/>
              <w:right w:val="single" w:sz="4" w:color="FFFFFF"/>
            </w:tcBorders>
          </w:tcPr>
          <w:p>
            <w:pPr>
              <w:spacing w:after="0" w:before="0"/>
              <w:jc w:val="center"/>
            </w:pPr>
            <w:r/>
            <w:r>
              <w:rPr>
                <w:rFonts w:ascii="Arial" w:hAnsi="Arial" w:eastAsia="微软雅黑"/>
                <w:b/>
                <w:color w:val="FFFFFF"/>
                <w:sz w:val="18"/>
              </w:rPr>
              <w:t>输出证据</w:t>
            </w:r>
          </w:p>
        </w:tc>
      </w:tr>
      <w:tr>
        <w:tc>
          <w:tcPr>
            <w:tcW w:type="dxa" w:w="1247"/>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准备</w:t>
            </w:r>
          </w:p>
        </w:tc>
        <w:tc>
          <w:tcPr>
            <w:tcW w:type="dxa" w:w="3969"/>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校验配置、模型路径、用例数量和 GPU</w:t>
            </w:r>
          </w:p>
        </w:tc>
        <w:tc>
          <w:tcPr>
            <w:tcW w:type="dxa" w:w="3402"/>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environment.json</w:t>
            </w:r>
          </w:p>
        </w:tc>
      </w:tr>
      <w:tr>
        <w:tc>
          <w:tcPr>
            <w:tcW w:type="dxa" w:w="1247"/>
            <w:vAlign w:val="center"/>
            <w:shd w:fill="F2F4F5"/>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生成</w:t>
            </w:r>
          </w:p>
        </w:tc>
        <w:tc>
          <w:tcPr>
            <w:tcW w:type="dxa" w:w="3969"/>
            <w:vAlign w:val="center"/>
            <w:shd w:fill="F2F4F5"/>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从用例定义生成固定 PNG</w:t>
            </w:r>
          </w:p>
        </w:tc>
        <w:tc>
          <w:tcPr>
            <w:tcW w:type="dxa" w:w="3402"/>
            <w:vAlign w:val="center"/>
            <w:shd w:fill="F2F4F5"/>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inputs/*.png</w:t>
            </w:r>
          </w:p>
        </w:tc>
      </w:tr>
      <w:tr>
        <w:tc>
          <w:tcPr>
            <w:tcW w:type="dxa" w:w="1247"/>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执行</w:t>
            </w:r>
          </w:p>
        </w:tc>
        <w:tc>
          <w:tcPr>
            <w:tcW w:type="dxa" w:w="3969"/>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按 Baseline/MMSep 配对运行</w:t>
            </w:r>
          </w:p>
        </w:tc>
        <w:tc>
          <w:tcPr>
            <w:tcW w:type="dxa" w:w="3402"/>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results.jsonl</w:t>
            </w:r>
          </w:p>
        </w:tc>
      </w:tr>
      <w:tr>
        <w:tc>
          <w:tcPr>
            <w:tcW w:type="dxa" w:w="1247"/>
            <w:vAlign w:val="center"/>
            <w:shd w:fill="F2F4F5"/>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评估</w:t>
            </w:r>
          </w:p>
        </w:tc>
        <w:tc>
          <w:tcPr>
            <w:tcW w:type="dxa" w:w="3969"/>
            <w:vAlign w:val="center"/>
            <w:shd w:fill="F2F4F5"/>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标签、禁词、成对一致性、长度和性能</w:t>
            </w:r>
          </w:p>
        </w:tc>
        <w:tc>
          <w:tcPr>
            <w:tcW w:type="dxa" w:w="3402"/>
            <w:vAlign w:val="center"/>
            <w:shd w:fill="F2F4F5"/>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summary.corrected.json</w:t>
            </w:r>
          </w:p>
        </w:tc>
      </w:tr>
      <w:tr>
        <w:tc>
          <w:tcPr>
            <w:tcW w:type="dxa" w:w="1247"/>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封存</w:t>
            </w:r>
          </w:p>
        </w:tc>
        <w:tc>
          <w:tcPr>
            <w:tcW w:type="dxa" w:w="3969"/>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计算所有关键文件 SHA-256</w:t>
            </w:r>
          </w:p>
        </w:tc>
        <w:tc>
          <w:tcPr>
            <w:tcW w:type="dxa" w:w="3402"/>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manifest.corrected.json</w:t>
            </w:r>
          </w:p>
        </w:tc>
      </w:tr>
    </w:tbl>
    <w:p>
      <w:pPr>
        <w:spacing w:after="0"/>
      </w:pPr>
    </w:p>
    <w:p>
      <w:r>
        <w:br w:type="page"/>
      </w:r>
    </w:p>
    <w:p>
      <w:pPr>
        <w:pStyle w:val="Heading1"/>
      </w:pPr>
      <w:r>
        <w:t>4. 正式实验结果</w:t>
      </w:r>
    </w:p>
    <w:p>
      <w:pPr>
        <w:pStyle w:val="Heading2"/>
      </w:pPr>
      <w:r>
        <w:t>4.1 按维度的输出 Oracle</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rPr>
          <w:tblHeader w:val="true"/>
        </w:trPr>
        <w:tc>
          <w:tcPr>
            <w:tcW w:type="dxa" w:w="1814"/>
            <w:vAlign w:val="center"/>
            <w:shd w:fill="17324D"/>
            <w:tcBorders>
              <w:top w:val="single" w:sz="4" w:color="FFFFFF"/>
              <w:left w:val="single" w:sz="4" w:color="FFFFFF"/>
              <w:bottom w:val="single" w:sz="4" w:color="FFFFFF"/>
              <w:right w:val="single" w:sz="4" w:color="FFFFFF"/>
            </w:tcBorders>
          </w:tcPr>
          <w:p>
            <w:pPr>
              <w:spacing w:after="0" w:before="0"/>
              <w:jc w:val="center"/>
            </w:pPr>
            <w:r/>
            <w:r>
              <w:rPr>
                <w:rFonts w:ascii="Arial" w:hAnsi="Arial" w:eastAsia="微软雅黑"/>
                <w:b/>
                <w:color w:val="FFFFFF"/>
                <w:sz w:val="18"/>
              </w:rPr>
              <w:t>维度</w:t>
            </w:r>
          </w:p>
        </w:tc>
        <w:tc>
          <w:tcPr>
            <w:tcW w:type="dxa" w:w="2041"/>
            <w:vAlign w:val="center"/>
            <w:shd w:fill="17324D"/>
            <w:tcBorders>
              <w:top w:val="single" w:sz="4" w:color="FFFFFF"/>
              <w:left w:val="single" w:sz="4" w:color="FFFFFF"/>
              <w:bottom w:val="single" w:sz="4" w:color="FFFFFF"/>
              <w:right w:val="single" w:sz="4" w:color="FFFFFF"/>
            </w:tcBorders>
          </w:tcPr>
          <w:p>
            <w:pPr>
              <w:spacing w:after="0" w:before="0"/>
              <w:jc w:val="center"/>
            </w:pPr>
            <w:r/>
            <w:r>
              <w:rPr>
                <w:rFonts w:ascii="Arial" w:hAnsi="Arial" w:eastAsia="微软雅黑"/>
                <w:b/>
                <w:color w:val="FFFFFF"/>
                <w:sz w:val="18"/>
              </w:rPr>
              <w:t>通过配置</w:t>
            </w:r>
          </w:p>
        </w:tc>
        <w:tc>
          <w:tcPr>
            <w:tcW w:type="dxa" w:w="1701"/>
            <w:vAlign w:val="center"/>
            <w:shd w:fill="17324D"/>
            <w:tcBorders>
              <w:top w:val="single" w:sz="4" w:color="FFFFFF"/>
              <w:left w:val="single" w:sz="4" w:color="FFFFFF"/>
              <w:bottom w:val="single" w:sz="4" w:color="FFFFFF"/>
              <w:right w:val="single" w:sz="4" w:color="FFFFFF"/>
            </w:tcBorders>
          </w:tcPr>
          <w:p>
            <w:pPr>
              <w:spacing w:after="0" w:before="0"/>
              <w:jc w:val="center"/>
            </w:pPr>
            <w:r/>
            <w:r>
              <w:rPr>
                <w:rFonts w:ascii="Arial" w:hAnsi="Arial" w:eastAsia="微软雅黑"/>
                <w:b/>
                <w:color w:val="FFFFFF"/>
                <w:sz w:val="18"/>
              </w:rPr>
              <w:t>通过率</w:t>
            </w:r>
          </w:p>
        </w:tc>
        <w:tc>
          <w:tcPr>
            <w:tcW w:type="dxa" w:w="2835"/>
            <w:vAlign w:val="center"/>
            <w:shd w:fill="17324D"/>
            <w:tcBorders>
              <w:top w:val="single" w:sz="4" w:color="FFFFFF"/>
              <w:left w:val="single" w:sz="4" w:color="FFFFFF"/>
              <w:bottom w:val="single" w:sz="4" w:color="FFFFFF"/>
              <w:right w:val="single" w:sz="4" w:color="FFFFFF"/>
            </w:tcBorders>
          </w:tcPr>
          <w:p>
            <w:pPr>
              <w:spacing w:after="0" w:before="0"/>
              <w:jc w:val="center"/>
            </w:pPr>
            <w:r/>
            <w:r>
              <w:rPr>
                <w:rFonts w:ascii="Arial" w:hAnsi="Arial" w:eastAsia="微软雅黑"/>
                <w:b/>
                <w:color w:val="FFFFFF"/>
                <w:sz w:val="18"/>
              </w:rPr>
              <w:t>说明</w:t>
            </w:r>
          </w:p>
        </w:tc>
      </w:tr>
      <w:tr>
        <w:tc>
          <w:tcPr>
            <w:tcW w:type="dxa" w:w="1814"/>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功能</w:t>
            </w:r>
          </w:p>
        </w:tc>
        <w:tc>
          <w:tcPr>
            <w:tcW w:type="dxa" w:w="2041"/>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4/6</w:t>
            </w:r>
          </w:p>
        </w:tc>
        <w:tc>
          <w:tcPr>
            <w:tcW w:type="dxa" w:w="1701"/>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66.7%</w:t>
            </w:r>
          </w:p>
        </w:tc>
        <w:tc>
          <w:tcPr>
            <w:tcW w:type="dxa" w:w="2835"/>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有失败</w:t>
            </w:r>
          </w:p>
        </w:tc>
      </w:tr>
      <w:tr>
        <w:tc>
          <w:tcPr>
            <w:tcW w:type="dxa" w:w="1814"/>
            <w:vAlign w:val="center"/>
            <w:shd w:fill="F2F4F5"/>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鲁棒性</w:t>
            </w:r>
          </w:p>
        </w:tc>
        <w:tc>
          <w:tcPr>
            <w:tcW w:type="dxa" w:w="2041"/>
            <w:vAlign w:val="center"/>
            <w:shd w:fill="F2F4F5"/>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6/8</w:t>
            </w:r>
          </w:p>
        </w:tc>
        <w:tc>
          <w:tcPr>
            <w:tcW w:type="dxa" w:w="1701"/>
            <w:vAlign w:val="center"/>
            <w:shd w:fill="F2F4F5"/>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75.0%</w:t>
            </w:r>
          </w:p>
        </w:tc>
        <w:tc>
          <w:tcPr>
            <w:tcW w:type="dxa" w:w="2835"/>
            <w:vAlign w:val="center"/>
            <w:shd w:fill="F2F4F5"/>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有失败</w:t>
            </w:r>
          </w:p>
        </w:tc>
      </w:tr>
      <w:tr>
        <w:tc>
          <w:tcPr>
            <w:tcW w:type="dxa" w:w="1814"/>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公平性</w:t>
            </w:r>
          </w:p>
        </w:tc>
        <w:tc>
          <w:tcPr>
            <w:tcW w:type="dxa" w:w="2041"/>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6/6</w:t>
            </w:r>
          </w:p>
        </w:tc>
        <w:tc>
          <w:tcPr>
            <w:tcW w:type="dxa" w:w="1701"/>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100.0%</w:t>
            </w:r>
          </w:p>
        </w:tc>
        <w:tc>
          <w:tcPr>
            <w:tcW w:type="dxa" w:w="2835"/>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通过</w:t>
            </w:r>
          </w:p>
        </w:tc>
      </w:tr>
      <w:tr>
        <w:tc>
          <w:tcPr>
            <w:tcW w:type="dxa" w:w="1814"/>
            <w:vAlign w:val="center"/>
            <w:shd w:fill="F2F4F5"/>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安全性</w:t>
            </w:r>
          </w:p>
        </w:tc>
        <w:tc>
          <w:tcPr>
            <w:tcW w:type="dxa" w:w="2041"/>
            <w:vAlign w:val="center"/>
            <w:shd w:fill="F2F4F5"/>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6/6</w:t>
            </w:r>
          </w:p>
        </w:tc>
        <w:tc>
          <w:tcPr>
            <w:tcW w:type="dxa" w:w="1701"/>
            <w:vAlign w:val="center"/>
            <w:shd w:fill="F2F4F5"/>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100.0%</w:t>
            </w:r>
          </w:p>
        </w:tc>
        <w:tc>
          <w:tcPr>
            <w:tcW w:type="dxa" w:w="2835"/>
            <w:vAlign w:val="center"/>
            <w:shd w:fill="F2F4F5"/>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通过</w:t>
            </w:r>
          </w:p>
        </w:tc>
      </w:tr>
      <w:tr>
        <w:tc>
          <w:tcPr>
            <w:tcW w:type="dxa" w:w="1814"/>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性能</w:t>
            </w:r>
          </w:p>
        </w:tc>
        <w:tc>
          <w:tcPr>
            <w:tcW w:type="dxa" w:w="2041"/>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4/4</w:t>
            </w:r>
          </w:p>
        </w:tc>
        <w:tc>
          <w:tcPr>
            <w:tcW w:type="dxa" w:w="1701"/>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100.0%</w:t>
            </w:r>
          </w:p>
        </w:tc>
        <w:tc>
          <w:tcPr>
            <w:tcW w:type="dxa" w:w="2835"/>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通过</w:t>
            </w:r>
          </w:p>
        </w:tc>
      </w:tr>
    </w:tbl>
    <w:p>
      <w:pPr>
        <w:spacing w:after="0"/>
      </w:pPr>
    </w:p>
    <w:p>
      <w:r>
        <w:t>注意：性能维度的 4/4 仅表示输出内容 Oracle 通过；两条完整性能用例仍因速度阈值失败而判为 NG。</w:t>
      </w:r>
    </w:p>
    <w:p>
      <w:pPr>
        <w:pStyle w:val="Heading2"/>
      </w:pPr>
      <w:r>
        <w:t>4.2 失败用例</w:t>
      </w:r>
    </w:p>
    <w:tbl>
      <w:tblPr>
        <w:tblStyle w:val="TableGrid"/>
        <w:tblW w:type="auto" w:w="0"/>
        <w:jc w:val="center"/>
        <w:tblLayout w:type="fixed"/>
        <w:tblLook w:firstColumn="1" w:firstRow="1" w:lastColumn="0" w:lastRow="0" w:noHBand="0" w:noVBand="1" w:val="04A0"/>
      </w:tblPr>
      <w:tblGrid>
        <w:gridCol w:w="1994"/>
        <w:gridCol w:w="1994"/>
        <w:gridCol w:w="1994"/>
        <w:gridCol w:w="1994"/>
        <w:gridCol w:w="1994"/>
      </w:tblGrid>
      <w:tr>
        <w:trPr>
          <w:tblHeader w:val="true"/>
        </w:trPr>
        <w:tc>
          <w:tcPr>
            <w:tcW w:type="dxa" w:w="1587"/>
            <w:vAlign w:val="center"/>
            <w:shd w:fill="17324D"/>
            <w:tcBorders>
              <w:top w:val="single" w:sz="4" w:color="FFFFFF"/>
              <w:left w:val="single" w:sz="4" w:color="FFFFFF"/>
              <w:bottom w:val="single" w:sz="4" w:color="FFFFFF"/>
              <w:right w:val="single" w:sz="4" w:color="FFFFFF"/>
            </w:tcBorders>
          </w:tcPr>
          <w:p>
            <w:pPr>
              <w:spacing w:after="0" w:before="0"/>
              <w:jc w:val="center"/>
            </w:pPr>
            <w:r/>
            <w:r>
              <w:rPr>
                <w:rFonts w:ascii="Arial" w:hAnsi="Arial" w:eastAsia="微软雅黑"/>
                <w:b/>
                <w:color w:val="FFFFFF"/>
                <w:sz w:val="17"/>
              </w:rPr>
              <w:t>用例</w:t>
            </w:r>
          </w:p>
        </w:tc>
        <w:tc>
          <w:tcPr>
            <w:tcW w:type="dxa" w:w="1474"/>
            <w:vAlign w:val="center"/>
            <w:shd w:fill="17324D"/>
            <w:tcBorders>
              <w:top w:val="single" w:sz="4" w:color="FFFFFF"/>
              <w:left w:val="single" w:sz="4" w:color="FFFFFF"/>
              <w:bottom w:val="single" w:sz="4" w:color="FFFFFF"/>
              <w:right w:val="single" w:sz="4" w:color="FFFFFF"/>
            </w:tcBorders>
          </w:tcPr>
          <w:p>
            <w:pPr>
              <w:spacing w:after="0" w:before="0"/>
              <w:jc w:val="center"/>
            </w:pPr>
            <w:r/>
            <w:r>
              <w:rPr>
                <w:rFonts w:ascii="Arial" w:hAnsi="Arial" w:eastAsia="微软雅黑"/>
                <w:b/>
                <w:color w:val="FFFFFF"/>
                <w:sz w:val="17"/>
              </w:rPr>
              <w:t>期望</w:t>
            </w:r>
          </w:p>
        </w:tc>
        <w:tc>
          <w:tcPr>
            <w:tcW w:type="dxa" w:w="1871"/>
            <w:vAlign w:val="center"/>
            <w:shd w:fill="17324D"/>
            <w:tcBorders>
              <w:top w:val="single" w:sz="4" w:color="FFFFFF"/>
              <w:left w:val="single" w:sz="4" w:color="FFFFFF"/>
              <w:bottom w:val="single" w:sz="4" w:color="FFFFFF"/>
              <w:right w:val="single" w:sz="4" w:color="FFFFFF"/>
            </w:tcBorders>
          </w:tcPr>
          <w:p>
            <w:pPr>
              <w:spacing w:after="0" w:before="0"/>
              <w:jc w:val="center"/>
            </w:pPr>
            <w:r/>
            <w:r>
              <w:rPr>
                <w:rFonts w:ascii="Arial" w:hAnsi="Arial" w:eastAsia="微软雅黑"/>
                <w:b/>
                <w:color w:val="FFFFFF"/>
                <w:sz w:val="17"/>
              </w:rPr>
              <w:t>Baseline</w:t>
            </w:r>
          </w:p>
        </w:tc>
        <w:tc>
          <w:tcPr>
            <w:tcW w:type="dxa" w:w="1871"/>
            <w:vAlign w:val="center"/>
            <w:shd w:fill="17324D"/>
            <w:tcBorders>
              <w:top w:val="single" w:sz="4" w:color="FFFFFF"/>
              <w:left w:val="single" w:sz="4" w:color="FFFFFF"/>
              <w:bottom w:val="single" w:sz="4" w:color="FFFFFF"/>
              <w:right w:val="single" w:sz="4" w:color="FFFFFF"/>
            </w:tcBorders>
          </w:tcPr>
          <w:p>
            <w:pPr>
              <w:spacing w:after="0" w:before="0"/>
              <w:jc w:val="center"/>
            </w:pPr>
            <w:r/>
            <w:r>
              <w:rPr>
                <w:rFonts w:ascii="Arial" w:hAnsi="Arial" w:eastAsia="微软雅黑"/>
                <w:b/>
                <w:color w:val="FFFFFF"/>
                <w:sz w:val="17"/>
              </w:rPr>
              <w:t>MMSep</w:t>
            </w:r>
          </w:p>
        </w:tc>
        <w:tc>
          <w:tcPr>
            <w:tcW w:type="dxa" w:w="2381"/>
            <w:vAlign w:val="center"/>
            <w:shd w:fill="17324D"/>
            <w:tcBorders>
              <w:top w:val="single" w:sz="4" w:color="FFFFFF"/>
              <w:left w:val="single" w:sz="4" w:color="FFFFFF"/>
              <w:bottom w:val="single" w:sz="4" w:color="FFFFFF"/>
              <w:right w:val="single" w:sz="4" w:color="FFFFFF"/>
            </w:tcBorders>
          </w:tcPr>
          <w:p>
            <w:pPr>
              <w:spacing w:after="0" w:before="0"/>
              <w:jc w:val="center"/>
            </w:pPr>
            <w:r/>
            <w:r>
              <w:rPr>
                <w:rFonts w:ascii="Arial" w:hAnsi="Arial" w:eastAsia="微软雅黑"/>
                <w:b/>
                <w:color w:val="FFFFFF"/>
                <w:sz w:val="17"/>
              </w:rPr>
              <w:t>结论</w:t>
            </w:r>
          </w:p>
        </w:tc>
      </w:tr>
      <w:tr>
        <w:tc>
          <w:tcPr>
            <w:tcW w:type="dxa" w:w="1587"/>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7"/>
              </w:rPr>
              <w:t>M2-FUN-101</w:t>
            </w:r>
          </w:p>
        </w:tc>
        <w:tc>
          <w:tcPr>
            <w:tcW w:type="dxa" w:w="1474"/>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7"/>
              </w:rPr>
              <w:t>TWO</w:t>
            </w:r>
          </w:p>
        </w:tc>
        <w:tc>
          <w:tcPr>
            <w:tcW w:type="dxa" w:w="1871"/>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7"/>
              </w:rPr>
              <w:t>ONE</w:t>
            </w:r>
          </w:p>
        </w:tc>
        <w:tc>
          <w:tcPr>
            <w:tcW w:type="dxa" w:w="1871"/>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7"/>
              </w:rPr>
              <w:t>ONE</w:t>
            </w:r>
          </w:p>
        </w:tc>
        <w:tc>
          <w:tcPr>
            <w:tcW w:type="dxa" w:w="2381"/>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7"/>
              </w:rPr>
              <w:t>两个模式同样失败</w:t>
            </w:r>
          </w:p>
        </w:tc>
      </w:tr>
      <w:tr>
        <w:tc>
          <w:tcPr>
            <w:tcW w:type="dxa" w:w="1587"/>
            <w:vAlign w:val="center"/>
            <w:shd w:fill="F2F4F5"/>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7"/>
              </w:rPr>
              <w:t>M2-ROB-201</w:t>
            </w:r>
          </w:p>
        </w:tc>
        <w:tc>
          <w:tcPr>
            <w:tcW w:type="dxa" w:w="1474"/>
            <w:vAlign w:val="center"/>
            <w:shd w:fill="F2F4F5"/>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7"/>
              </w:rPr>
              <w:t>THREE</w:t>
            </w:r>
          </w:p>
        </w:tc>
        <w:tc>
          <w:tcPr>
            <w:tcW w:type="dxa" w:w="1871"/>
            <w:vAlign w:val="center"/>
            <w:shd w:fill="F2F4F5"/>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7"/>
              </w:rPr>
              <w:t>TWO（0/6）</w:t>
            </w:r>
          </w:p>
        </w:tc>
        <w:tc>
          <w:tcPr>
            <w:tcW w:type="dxa" w:w="1871"/>
            <w:vAlign w:val="center"/>
            <w:shd w:fill="F2F4F5"/>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7"/>
              </w:rPr>
              <w:t>TWO（0/6）</w:t>
            </w:r>
          </w:p>
        </w:tc>
        <w:tc>
          <w:tcPr>
            <w:tcW w:type="dxa" w:w="2381"/>
            <w:vAlign w:val="center"/>
            <w:shd w:fill="F2F4F5"/>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7"/>
              </w:rPr>
              <w:t>稳定、跨扰动失败</w:t>
            </w:r>
          </w:p>
        </w:tc>
      </w:tr>
      <w:tr>
        <w:tc>
          <w:tcPr>
            <w:tcW w:type="dxa" w:w="1587"/>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7"/>
              </w:rPr>
              <w:t>M2-PER-201</w:t>
            </w:r>
          </w:p>
        </w:tc>
        <w:tc>
          <w:tcPr>
            <w:tcW w:type="dxa" w:w="1474"/>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7"/>
              </w:rPr>
              <w:t>≥1.2×</w:t>
            </w:r>
          </w:p>
        </w:tc>
        <w:tc>
          <w:tcPr>
            <w:tcW w:type="dxa" w:w="1871"/>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7"/>
              </w:rPr>
              <w:t>28.44 tok/s</w:t>
            </w:r>
          </w:p>
        </w:tc>
        <w:tc>
          <w:tcPr>
            <w:tcW w:type="dxa" w:w="1871"/>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7"/>
              </w:rPr>
              <w:t>26.39 tok/s</w:t>
            </w:r>
          </w:p>
        </w:tc>
        <w:tc>
          <w:tcPr>
            <w:tcW w:type="dxa" w:w="2381"/>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7"/>
              </w:rPr>
              <w:t>0.928×，失败</w:t>
            </w:r>
          </w:p>
        </w:tc>
      </w:tr>
      <w:tr>
        <w:tc>
          <w:tcPr>
            <w:tcW w:type="dxa" w:w="1587"/>
            <w:vAlign w:val="center"/>
            <w:shd w:fill="F2F4F5"/>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7"/>
              </w:rPr>
              <w:t>M2-PER-202</w:t>
            </w:r>
          </w:p>
        </w:tc>
        <w:tc>
          <w:tcPr>
            <w:tcW w:type="dxa" w:w="1474"/>
            <w:vAlign w:val="center"/>
            <w:shd w:fill="F2F4F5"/>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7"/>
              </w:rPr>
              <w:t>≥1.2×</w:t>
            </w:r>
          </w:p>
        </w:tc>
        <w:tc>
          <w:tcPr>
            <w:tcW w:type="dxa" w:w="1871"/>
            <w:vAlign w:val="center"/>
            <w:shd w:fill="F2F4F5"/>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7"/>
              </w:rPr>
              <w:t>28.31 tok/s</w:t>
            </w:r>
          </w:p>
        </w:tc>
        <w:tc>
          <w:tcPr>
            <w:tcW w:type="dxa" w:w="1871"/>
            <w:vAlign w:val="center"/>
            <w:shd w:fill="F2F4F5"/>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7"/>
              </w:rPr>
              <w:t>26.84 tok/s</w:t>
            </w:r>
          </w:p>
        </w:tc>
        <w:tc>
          <w:tcPr>
            <w:tcW w:type="dxa" w:w="2381"/>
            <w:vAlign w:val="center"/>
            <w:shd w:fill="F2F4F5"/>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7"/>
              </w:rPr>
              <w:t>0.948×，失败</w:t>
            </w:r>
          </w:p>
        </w:tc>
      </w:tr>
    </w:tbl>
    <w:p>
      <w:pPr>
        <w:spacing w:after="0"/>
      </w:pPr>
    </w:p>
    <w:p>
      <w:pPr>
        <w:pStyle w:val="Heading2"/>
      </w:pPr>
      <w:r>
        <w:t>4.3 性能详细结果</w:t>
      </w:r>
    </w:p>
    <w:tbl>
      <w:tblPr>
        <w:tblStyle w:val="TableGrid"/>
        <w:tblW w:type="auto" w:w="0"/>
        <w:jc w:val="center"/>
        <w:tblLayout w:type="fixed"/>
        <w:tblLook w:firstColumn="1" w:firstRow="1" w:lastColumn="0" w:lastRow="0" w:noHBand="0" w:noVBand="1" w:val="04A0"/>
      </w:tblPr>
      <w:tblGrid>
        <w:gridCol w:w="1246"/>
        <w:gridCol w:w="1246"/>
        <w:gridCol w:w="1246"/>
        <w:gridCol w:w="1246"/>
        <w:gridCol w:w="1246"/>
        <w:gridCol w:w="1246"/>
        <w:gridCol w:w="1246"/>
        <w:gridCol w:w="1246"/>
      </w:tblGrid>
      <w:tr>
        <w:trPr>
          <w:tblHeader w:val="true"/>
        </w:trPr>
        <w:tc>
          <w:tcPr>
            <w:tcW w:type="dxa" w:w="1474"/>
            <w:vAlign w:val="center"/>
            <w:shd w:fill="17324D"/>
            <w:tcBorders>
              <w:top w:val="single" w:sz="4" w:color="FFFFFF"/>
              <w:left w:val="single" w:sz="4" w:color="FFFFFF"/>
              <w:bottom w:val="single" w:sz="4" w:color="FFFFFF"/>
              <w:right w:val="single" w:sz="4" w:color="FFFFFF"/>
            </w:tcBorders>
          </w:tcPr>
          <w:p>
            <w:pPr>
              <w:spacing w:after="0" w:before="0"/>
              <w:jc w:val="center"/>
            </w:pPr>
            <w:r/>
            <w:r>
              <w:rPr>
                <w:rFonts w:ascii="Arial" w:hAnsi="Arial" w:eastAsia="微软雅黑"/>
                <w:b/>
                <w:color w:val="FFFFFF"/>
                <w:sz w:val="15"/>
              </w:rPr>
              <w:t>用例</w:t>
            </w:r>
          </w:p>
        </w:tc>
        <w:tc>
          <w:tcPr>
            <w:tcW w:type="dxa" w:w="1134"/>
            <w:vAlign w:val="center"/>
            <w:shd w:fill="17324D"/>
            <w:tcBorders>
              <w:top w:val="single" w:sz="4" w:color="FFFFFF"/>
              <w:left w:val="single" w:sz="4" w:color="FFFFFF"/>
              <w:bottom w:val="single" w:sz="4" w:color="FFFFFF"/>
              <w:right w:val="single" w:sz="4" w:color="FFFFFF"/>
            </w:tcBorders>
          </w:tcPr>
          <w:p>
            <w:pPr>
              <w:spacing w:after="0" w:before="0"/>
              <w:jc w:val="center"/>
            </w:pPr>
            <w:r/>
            <w:r>
              <w:rPr>
                <w:rFonts w:ascii="Arial" w:hAnsi="Arial" w:eastAsia="微软雅黑"/>
                <w:b/>
                <w:color w:val="FFFFFF"/>
                <w:sz w:val="15"/>
              </w:rPr>
              <w:t>B ms</w:t>
            </w:r>
          </w:p>
        </w:tc>
        <w:tc>
          <w:tcPr>
            <w:tcW w:type="dxa" w:w="1134"/>
            <w:vAlign w:val="center"/>
            <w:shd w:fill="17324D"/>
            <w:tcBorders>
              <w:top w:val="single" w:sz="4" w:color="FFFFFF"/>
              <w:left w:val="single" w:sz="4" w:color="FFFFFF"/>
              <w:bottom w:val="single" w:sz="4" w:color="FFFFFF"/>
              <w:right w:val="single" w:sz="4" w:color="FFFFFF"/>
            </w:tcBorders>
          </w:tcPr>
          <w:p>
            <w:pPr>
              <w:spacing w:after="0" w:before="0"/>
              <w:jc w:val="center"/>
            </w:pPr>
            <w:r/>
            <w:r>
              <w:rPr>
                <w:rFonts w:ascii="Arial" w:hAnsi="Arial" w:eastAsia="微软雅黑"/>
                <w:b/>
                <w:color w:val="FFFFFF"/>
                <w:sz w:val="15"/>
              </w:rPr>
              <w:t>M ms</w:t>
            </w:r>
          </w:p>
        </w:tc>
        <w:tc>
          <w:tcPr>
            <w:tcW w:type="dxa" w:w="1191"/>
            <w:vAlign w:val="center"/>
            <w:shd w:fill="17324D"/>
            <w:tcBorders>
              <w:top w:val="single" w:sz="4" w:color="FFFFFF"/>
              <w:left w:val="single" w:sz="4" w:color="FFFFFF"/>
              <w:bottom w:val="single" w:sz="4" w:color="FFFFFF"/>
              <w:right w:val="single" w:sz="4" w:color="FFFFFF"/>
            </w:tcBorders>
          </w:tcPr>
          <w:p>
            <w:pPr>
              <w:spacing w:after="0" w:before="0"/>
              <w:jc w:val="center"/>
            </w:pPr>
            <w:r/>
            <w:r>
              <w:rPr>
                <w:rFonts w:ascii="Arial" w:hAnsi="Arial" w:eastAsia="微软雅黑"/>
                <w:b/>
                <w:color w:val="FFFFFF"/>
                <w:sz w:val="15"/>
              </w:rPr>
              <w:t>B tok/s</w:t>
            </w:r>
          </w:p>
        </w:tc>
        <w:tc>
          <w:tcPr>
            <w:tcW w:type="dxa" w:w="1191"/>
            <w:vAlign w:val="center"/>
            <w:shd w:fill="17324D"/>
            <w:tcBorders>
              <w:top w:val="single" w:sz="4" w:color="FFFFFF"/>
              <w:left w:val="single" w:sz="4" w:color="FFFFFF"/>
              <w:bottom w:val="single" w:sz="4" w:color="FFFFFF"/>
              <w:right w:val="single" w:sz="4" w:color="FFFFFF"/>
            </w:tcBorders>
          </w:tcPr>
          <w:p>
            <w:pPr>
              <w:spacing w:after="0" w:before="0"/>
              <w:jc w:val="center"/>
            </w:pPr>
            <w:r/>
            <w:r>
              <w:rPr>
                <w:rFonts w:ascii="Arial" w:hAnsi="Arial" w:eastAsia="微软雅黑"/>
                <w:b/>
                <w:color w:val="FFFFFF"/>
                <w:sz w:val="15"/>
              </w:rPr>
              <w:t>M tok/s</w:t>
            </w:r>
          </w:p>
        </w:tc>
        <w:tc>
          <w:tcPr>
            <w:tcW w:type="dxa" w:w="1020"/>
            <w:vAlign w:val="center"/>
            <w:shd w:fill="17324D"/>
            <w:tcBorders>
              <w:top w:val="single" w:sz="4" w:color="FFFFFF"/>
              <w:left w:val="single" w:sz="4" w:color="FFFFFF"/>
              <w:bottom w:val="single" w:sz="4" w:color="FFFFFF"/>
              <w:right w:val="single" w:sz="4" w:color="FFFFFF"/>
            </w:tcBorders>
          </w:tcPr>
          <w:p>
            <w:pPr>
              <w:spacing w:after="0" w:before="0"/>
              <w:jc w:val="center"/>
            </w:pPr>
            <w:r/>
            <w:r>
              <w:rPr>
                <w:rFonts w:ascii="Arial" w:hAnsi="Arial" w:eastAsia="微软雅黑"/>
                <w:b/>
                <w:color w:val="FFFFFF"/>
                <w:sz w:val="15"/>
              </w:rPr>
              <w:t>倍率</w:t>
            </w:r>
          </w:p>
        </w:tc>
        <w:tc>
          <w:tcPr>
            <w:tcW w:type="dxa" w:w="1077"/>
            <w:vAlign w:val="center"/>
            <w:shd w:fill="17324D"/>
            <w:tcBorders>
              <w:top w:val="single" w:sz="4" w:color="FFFFFF"/>
              <w:left w:val="single" w:sz="4" w:color="FFFFFF"/>
              <w:bottom w:val="single" w:sz="4" w:color="FFFFFF"/>
              <w:right w:val="single" w:sz="4" w:color="FFFFFF"/>
            </w:tcBorders>
          </w:tcPr>
          <w:p>
            <w:pPr>
              <w:spacing w:after="0" w:before="0"/>
              <w:jc w:val="center"/>
            </w:pPr>
            <w:r/>
            <w:r>
              <w:rPr>
                <w:rFonts w:ascii="Arial" w:hAnsi="Arial" w:eastAsia="微软雅黑"/>
                <w:b/>
                <w:color w:val="FFFFFF"/>
                <w:sz w:val="15"/>
              </w:rPr>
              <w:t>KV减少</w:t>
            </w:r>
          </w:p>
        </w:tc>
        <w:tc>
          <w:tcPr>
            <w:tcW w:type="dxa" w:w="794"/>
            <w:vAlign w:val="center"/>
            <w:shd w:fill="17324D"/>
            <w:tcBorders>
              <w:top w:val="single" w:sz="4" w:color="FFFFFF"/>
              <w:left w:val="single" w:sz="4" w:color="FFFFFF"/>
              <w:bottom w:val="single" w:sz="4" w:color="FFFFFF"/>
              <w:right w:val="single" w:sz="4" w:color="FFFFFF"/>
            </w:tcBorders>
          </w:tcPr>
          <w:p>
            <w:pPr>
              <w:spacing w:after="0" w:before="0"/>
              <w:jc w:val="center"/>
            </w:pPr>
            <w:r/>
            <w:r>
              <w:rPr>
                <w:rFonts w:ascii="Arial" w:hAnsi="Arial" w:eastAsia="微软雅黑"/>
                <w:b/>
                <w:color w:val="FFFFFF"/>
                <w:sz w:val="15"/>
              </w:rPr>
              <w:t>判定</w:t>
            </w:r>
          </w:p>
        </w:tc>
      </w:tr>
      <w:tr>
        <w:tc>
          <w:tcPr>
            <w:tcW w:type="dxa" w:w="1474"/>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5"/>
              </w:rPr>
              <w:t>M2-PER-201</w:t>
            </w:r>
          </w:p>
        </w:tc>
        <w:tc>
          <w:tcPr>
            <w:tcW w:type="dxa" w:w="1134"/>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5"/>
              </w:rPr>
              <w:t>2777.88</w:t>
            </w:r>
          </w:p>
        </w:tc>
        <w:tc>
          <w:tcPr>
            <w:tcW w:type="dxa" w:w="1134"/>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5"/>
              </w:rPr>
              <w:t>3637.39</w:t>
            </w:r>
          </w:p>
        </w:tc>
        <w:tc>
          <w:tcPr>
            <w:tcW w:type="dxa" w:w="1191"/>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5"/>
              </w:rPr>
              <w:t>28.44</w:t>
            </w:r>
          </w:p>
        </w:tc>
        <w:tc>
          <w:tcPr>
            <w:tcW w:type="dxa" w:w="1191"/>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5"/>
              </w:rPr>
              <w:t>26.39</w:t>
            </w:r>
          </w:p>
        </w:tc>
        <w:tc>
          <w:tcPr>
            <w:tcW w:type="dxa" w:w="1020"/>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5"/>
              </w:rPr>
              <w:t>0.928×</w:t>
            </w:r>
          </w:p>
        </w:tc>
        <w:tc>
          <w:tcPr>
            <w:tcW w:type="dxa" w:w="1077"/>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5"/>
              </w:rPr>
              <w:t>73.0%</w:t>
            </w:r>
          </w:p>
        </w:tc>
        <w:tc>
          <w:tcPr>
            <w:tcW w:type="dxa" w:w="794"/>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5"/>
              </w:rPr>
              <w:t>NG</w:t>
            </w:r>
          </w:p>
        </w:tc>
      </w:tr>
      <w:tr>
        <w:tc>
          <w:tcPr>
            <w:tcW w:type="dxa" w:w="1474"/>
            <w:vAlign w:val="center"/>
            <w:shd w:fill="F2F4F5"/>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5"/>
              </w:rPr>
              <w:t>M2-PER-202</w:t>
            </w:r>
          </w:p>
        </w:tc>
        <w:tc>
          <w:tcPr>
            <w:tcW w:type="dxa" w:w="1134"/>
            <w:vAlign w:val="center"/>
            <w:shd w:fill="F2F4F5"/>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5"/>
              </w:rPr>
              <w:t>4980.97</w:t>
            </w:r>
          </w:p>
        </w:tc>
        <w:tc>
          <w:tcPr>
            <w:tcW w:type="dxa" w:w="1134"/>
            <w:vAlign w:val="center"/>
            <w:shd w:fill="F2F4F5"/>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5"/>
              </w:rPr>
              <w:t>4881.11</w:t>
            </w:r>
          </w:p>
        </w:tc>
        <w:tc>
          <w:tcPr>
            <w:tcW w:type="dxa" w:w="1191"/>
            <w:vAlign w:val="center"/>
            <w:shd w:fill="F2F4F5"/>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5"/>
              </w:rPr>
              <w:t>28.31</w:t>
            </w:r>
          </w:p>
        </w:tc>
        <w:tc>
          <w:tcPr>
            <w:tcW w:type="dxa" w:w="1191"/>
            <w:vAlign w:val="center"/>
            <w:shd w:fill="F2F4F5"/>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5"/>
              </w:rPr>
              <w:t>26.84</w:t>
            </w:r>
          </w:p>
        </w:tc>
        <w:tc>
          <w:tcPr>
            <w:tcW w:type="dxa" w:w="1020"/>
            <w:vAlign w:val="center"/>
            <w:shd w:fill="F2F4F5"/>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5"/>
              </w:rPr>
              <w:t>0.948×</w:t>
            </w:r>
          </w:p>
        </w:tc>
        <w:tc>
          <w:tcPr>
            <w:tcW w:type="dxa" w:w="1077"/>
            <w:vAlign w:val="center"/>
            <w:shd w:fill="F2F4F5"/>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5"/>
              </w:rPr>
              <w:t>72.0%</w:t>
            </w:r>
          </w:p>
        </w:tc>
        <w:tc>
          <w:tcPr>
            <w:tcW w:type="dxa" w:w="794"/>
            <w:vAlign w:val="center"/>
            <w:shd w:fill="F2F4F5"/>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5"/>
              </w:rPr>
              <w:t>NG</w:t>
            </w:r>
          </w:p>
        </w:tc>
      </w:tr>
    </w:tbl>
    <w:p>
      <w:pPr>
        <w:spacing w:after="0"/>
      </w:pPr>
    </w:p>
    <w:p>
      <w:r>
        <w:br w:type="page"/>
      </w:r>
    </w:p>
    <w:p>
      <w:pPr>
        <w:pStyle w:val="Heading1"/>
      </w:pPr>
      <w:r>
        <w:t>5. 缺陷分析与验收判定</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rPr>
          <w:tblHeader w:val="true"/>
        </w:trPr>
        <w:tc>
          <w:tcPr>
            <w:tcW w:type="dxa" w:w="1814"/>
            <w:vAlign w:val="center"/>
            <w:shd w:fill="17324D"/>
            <w:tcBorders>
              <w:top w:val="single" w:sz="4" w:color="FFFFFF"/>
              <w:left w:val="single" w:sz="4" w:color="FFFFFF"/>
              <w:bottom w:val="single" w:sz="4" w:color="FFFFFF"/>
              <w:right w:val="single" w:sz="4" w:color="FFFFFF"/>
            </w:tcBorders>
          </w:tcPr>
          <w:p>
            <w:pPr>
              <w:spacing w:after="0" w:before="0"/>
              <w:jc w:val="center"/>
            </w:pPr>
            <w:r/>
            <w:r>
              <w:rPr>
                <w:rFonts w:ascii="Arial" w:hAnsi="Arial" w:eastAsia="微软雅黑"/>
                <w:b/>
                <w:color w:val="FFFFFF"/>
                <w:sz w:val="18"/>
              </w:rPr>
              <w:t>编号</w:t>
            </w:r>
          </w:p>
        </w:tc>
        <w:tc>
          <w:tcPr>
            <w:tcW w:type="dxa" w:w="1984"/>
            <w:vAlign w:val="center"/>
            <w:shd w:fill="17324D"/>
            <w:tcBorders>
              <w:top w:val="single" w:sz="4" w:color="FFFFFF"/>
              <w:left w:val="single" w:sz="4" w:color="FFFFFF"/>
              <w:bottom w:val="single" w:sz="4" w:color="FFFFFF"/>
              <w:right w:val="single" w:sz="4" w:color="FFFFFF"/>
            </w:tcBorders>
          </w:tcPr>
          <w:p>
            <w:pPr>
              <w:spacing w:after="0" w:before="0"/>
              <w:jc w:val="center"/>
            </w:pPr>
            <w:r/>
            <w:r>
              <w:rPr>
                <w:rFonts w:ascii="Arial" w:hAnsi="Arial" w:eastAsia="微软雅黑"/>
                <w:b/>
                <w:color w:val="FFFFFF"/>
                <w:sz w:val="18"/>
              </w:rPr>
              <w:t>对象</w:t>
            </w:r>
          </w:p>
        </w:tc>
        <w:tc>
          <w:tcPr>
            <w:tcW w:type="dxa" w:w="1417"/>
            <w:vAlign w:val="center"/>
            <w:shd w:fill="17324D"/>
            <w:tcBorders>
              <w:top w:val="single" w:sz="4" w:color="FFFFFF"/>
              <w:left w:val="single" w:sz="4" w:color="FFFFFF"/>
              <w:bottom w:val="single" w:sz="4" w:color="FFFFFF"/>
              <w:right w:val="single" w:sz="4" w:color="FFFFFF"/>
            </w:tcBorders>
          </w:tcPr>
          <w:p>
            <w:pPr>
              <w:spacing w:after="0" w:before="0"/>
              <w:jc w:val="center"/>
            </w:pPr>
            <w:r/>
            <w:r>
              <w:rPr>
                <w:rFonts w:ascii="Arial" w:hAnsi="Arial" w:eastAsia="微软雅黑"/>
                <w:b/>
                <w:color w:val="FFFFFF"/>
                <w:sz w:val="18"/>
              </w:rPr>
              <w:t>状态</w:t>
            </w:r>
          </w:p>
        </w:tc>
        <w:tc>
          <w:tcPr>
            <w:tcW w:type="dxa" w:w="3515"/>
            <w:vAlign w:val="center"/>
            <w:shd w:fill="17324D"/>
            <w:tcBorders>
              <w:top w:val="single" w:sz="4" w:color="FFFFFF"/>
              <w:left w:val="single" w:sz="4" w:color="FFFFFF"/>
              <w:bottom w:val="single" w:sz="4" w:color="FFFFFF"/>
              <w:right w:val="single" w:sz="4" w:color="FFFFFF"/>
            </w:tcBorders>
          </w:tcPr>
          <w:p>
            <w:pPr>
              <w:spacing w:after="0" w:before="0"/>
              <w:jc w:val="center"/>
            </w:pPr>
            <w:r/>
            <w:r>
              <w:rPr>
                <w:rFonts w:ascii="Arial" w:hAnsi="Arial" w:eastAsia="微软雅黑"/>
                <w:b/>
                <w:color w:val="FFFFFF"/>
                <w:sz w:val="18"/>
              </w:rPr>
              <w:t>核心影响</w:t>
            </w:r>
          </w:p>
        </w:tc>
      </w:tr>
      <w:tr>
        <w:tc>
          <w:tcPr>
            <w:tcW w:type="dxa" w:w="1814"/>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DEF-AI-001</w:t>
            </w:r>
          </w:p>
        </w:tc>
        <w:tc>
          <w:tcPr>
            <w:tcW w:type="dxa" w:w="1984"/>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模型计数</w:t>
            </w:r>
          </w:p>
        </w:tc>
        <w:tc>
          <w:tcPr>
            <w:tcW w:type="dxa" w:w="1417"/>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未修复</w:t>
            </w:r>
          </w:p>
        </w:tc>
        <w:tc>
          <w:tcPr>
            <w:tcW w:type="dxa" w:w="3515"/>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P0 功能门槛失败</w:t>
            </w:r>
          </w:p>
        </w:tc>
      </w:tr>
      <w:tr>
        <w:tc>
          <w:tcPr>
            <w:tcW w:type="dxa" w:w="1814"/>
            <w:vAlign w:val="center"/>
            <w:shd w:fill="F2F4F5"/>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DEF-AI-002</w:t>
            </w:r>
          </w:p>
        </w:tc>
        <w:tc>
          <w:tcPr>
            <w:tcW w:type="dxa" w:w="1984"/>
            <w:vAlign w:val="center"/>
            <w:shd w:fill="F2F4F5"/>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模型鲁棒性</w:t>
            </w:r>
          </w:p>
        </w:tc>
        <w:tc>
          <w:tcPr>
            <w:tcW w:type="dxa" w:w="1417"/>
            <w:vAlign w:val="center"/>
            <w:shd w:fill="F2F4F5"/>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未修复</w:t>
            </w:r>
          </w:p>
        </w:tc>
        <w:tc>
          <w:tcPr>
            <w:tcW w:type="dxa" w:w="3515"/>
            <w:vAlign w:val="center"/>
            <w:shd w:fill="F2F4F5"/>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低对比度/干净输入稳定误计数</w:t>
            </w:r>
          </w:p>
        </w:tc>
      </w:tr>
      <w:tr>
        <w:tc>
          <w:tcPr>
            <w:tcW w:type="dxa" w:w="1814"/>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DEF-PERF-001</w:t>
            </w:r>
          </w:p>
        </w:tc>
        <w:tc>
          <w:tcPr>
            <w:tcW w:type="dxa" w:w="1984"/>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MMSep 原型</w:t>
            </w:r>
          </w:p>
        </w:tc>
        <w:tc>
          <w:tcPr>
            <w:tcW w:type="dxa" w:w="1417"/>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未修复</w:t>
            </w:r>
          </w:p>
        </w:tc>
        <w:tc>
          <w:tcPr>
            <w:tcW w:type="dxa" w:w="3515"/>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无 1.2× 加速收益</w:t>
            </w:r>
          </w:p>
        </w:tc>
      </w:tr>
      <w:tr>
        <w:tc>
          <w:tcPr>
            <w:tcW w:type="dxa" w:w="1814"/>
            <w:vAlign w:val="center"/>
            <w:shd w:fill="F2F4F5"/>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DEF-FW-001</w:t>
            </w:r>
          </w:p>
        </w:tc>
        <w:tc>
          <w:tcPr>
            <w:tcW w:type="dxa" w:w="1984"/>
            <w:vAlign w:val="center"/>
            <w:shd w:fill="F2F4F5"/>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测试框架</w:t>
            </w:r>
          </w:p>
        </w:tc>
        <w:tc>
          <w:tcPr>
            <w:tcW w:type="dxa" w:w="1417"/>
            <w:vAlign w:val="center"/>
            <w:shd w:fill="F2F4F5"/>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已修复</w:t>
            </w:r>
          </w:p>
        </w:tc>
        <w:tc>
          <w:tcPr>
            <w:tcW w:type="dxa" w:w="3515"/>
            <w:vAlign w:val="center"/>
            <w:shd w:fill="F2F4F5"/>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避免不同输出长度造成虚假加速</w:t>
            </w:r>
          </w:p>
        </w:tc>
      </w:tr>
    </w:tbl>
    <w:p>
      <w:pPr>
        <w:spacing w:after="0"/>
      </w:pPr>
    </w:p>
    <w:p>
      <w:pPr>
        <w:pStyle w:val="Heading2"/>
      </w:pPr>
      <w:r>
        <w:t>5.1 验收矩阵</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4706"/>
            <w:vAlign w:val="center"/>
            <w:shd w:fill="17324D"/>
            <w:tcBorders>
              <w:top w:val="single" w:sz="4" w:color="FFFFFF"/>
              <w:left w:val="single" w:sz="4" w:color="FFFFFF"/>
              <w:bottom w:val="single" w:sz="4" w:color="FFFFFF"/>
              <w:right w:val="single" w:sz="4" w:color="FFFFFF"/>
            </w:tcBorders>
          </w:tcPr>
          <w:p>
            <w:pPr>
              <w:spacing w:after="0" w:before="0"/>
              <w:jc w:val="center"/>
            </w:pPr>
            <w:r/>
            <w:r>
              <w:rPr>
                <w:rFonts w:ascii="Arial" w:hAnsi="Arial" w:eastAsia="微软雅黑"/>
                <w:b/>
                <w:color w:val="FFFFFF"/>
                <w:sz w:val="18"/>
              </w:rPr>
              <w:t>门槛</w:t>
            </w:r>
          </w:p>
        </w:tc>
        <w:tc>
          <w:tcPr>
            <w:tcW w:type="dxa" w:w="2665"/>
            <w:vAlign w:val="center"/>
            <w:shd w:fill="17324D"/>
            <w:tcBorders>
              <w:top w:val="single" w:sz="4" w:color="FFFFFF"/>
              <w:left w:val="single" w:sz="4" w:color="FFFFFF"/>
              <w:bottom w:val="single" w:sz="4" w:color="FFFFFF"/>
              <w:right w:val="single" w:sz="4" w:color="FFFFFF"/>
            </w:tcBorders>
          </w:tcPr>
          <w:p>
            <w:pPr>
              <w:spacing w:after="0" w:before="0"/>
              <w:jc w:val="center"/>
            </w:pPr>
            <w:r/>
            <w:r>
              <w:rPr>
                <w:rFonts w:ascii="Arial" w:hAnsi="Arial" w:eastAsia="微软雅黑"/>
                <w:b/>
                <w:color w:val="FFFFFF"/>
                <w:sz w:val="18"/>
              </w:rPr>
              <w:t>实际</w:t>
            </w:r>
          </w:p>
        </w:tc>
        <w:tc>
          <w:tcPr>
            <w:tcW w:type="dxa" w:w="1247"/>
            <w:vAlign w:val="center"/>
            <w:shd w:fill="17324D"/>
            <w:tcBorders>
              <w:top w:val="single" w:sz="4" w:color="FFFFFF"/>
              <w:left w:val="single" w:sz="4" w:color="FFFFFF"/>
              <w:bottom w:val="single" w:sz="4" w:color="FFFFFF"/>
              <w:right w:val="single" w:sz="4" w:color="FFFFFF"/>
            </w:tcBorders>
          </w:tcPr>
          <w:p>
            <w:pPr>
              <w:spacing w:after="0" w:before="0"/>
              <w:jc w:val="center"/>
            </w:pPr>
            <w:r/>
            <w:r>
              <w:rPr>
                <w:rFonts w:ascii="Arial" w:hAnsi="Arial" w:eastAsia="微软雅黑"/>
                <w:b/>
                <w:color w:val="FFFFFF"/>
                <w:sz w:val="18"/>
              </w:rPr>
              <w:t>判定</w:t>
            </w:r>
          </w:p>
        </w:tc>
      </w:tr>
      <w:tr>
        <w:tc>
          <w:tcPr>
            <w:tcW w:type="dxa" w:w="4706"/>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总体配置通过率 ≥90%</w:t>
            </w:r>
          </w:p>
        </w:tc>
        <w:tc>
          <w:tcPr>
            <w:tcW w:type="dxa" w:w="2665"/>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86.67%</w:t>
            </w:r>
          </w:p>
        </w:tc>
        <w:tc>
          <w:tcPr>
            <w:tcW w:type="dxa" w:w="1247"/>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失败</w:t>
            </w:r>
          </w:p>
        </w:tc>
      </w:tr>
      <w:tr>
        <w:tc>
          <w:tcPr>
            <w:tcW w:type="dxa" w:w="4706"/>
            <w:vAlign w:val="center"/>
            <w:shd w:fill="F2F4F5"/>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P0 用例 100% 通过</w:t>
            </w:r>
          </w:p>
        </w:tc>
        <w:tc>
          <w:tcPr>
            <w:tcW w:type="dxa" w:w="2665"/>
            <w:vAlign w:val="center"/>
            <w:shd w:fill="F2F4F5"/>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M2-FUN-101 失败</w:t>
            </w:r>
          </w:p>
        </w:tc>
        <w:tc>
          <w:tcPr>
            <w:tcW w:type="dxa" w:w="1247"/>
            <w:vAlign w:val="center"/>
            <w:shd w:fill="F2F4F5"/>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失败</w:t>
            </w:r>
          </w:p>
        </w:tc>
      </w:tr>
      <w:tr>
        <w:tc>
          <w:tcPr>
            <w:tcW w:type="dxa" w:w="4706"/>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安全、公平关键用例全部通过</w:t>
            </w:r>
          </w:p>
        </w:tc>
        <w:tc>
          <w:tcPr>
            <w:tcW w:type="dxa" w:w="2665"/>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均为 100%</w:t>
            </w:r>
          </w:p>
        </w:tc>
        <w:tc>
          <w:tcPr>
            <w:tcW w:type="dxa" w:w="1247"/>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通过</w:t>
            </w:r>
          </w:p>
        </w:tc>
      </w:tr>
      <w:tr>
        <w:tc>
          <w:tcPr>
            <w:tcW w:type="dxa" w:w="4706"/>
            <w:vAlign w:val="center"/>
            <w:shd w:fill="F2F4F5"/>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质量保持率 ≥0.95</w:t>
            </w:r>
          </w:p>
        </w:tc>
        <w:tc>
          <w:tcPr>
            <w:tcW w:type="dxa" w:w="2665"/>
            <w:vAlign w:val="center"/>
            <w:shd w:fill="F2F4F5"/>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1.00</w:t>
            </w:r>
          </w:p>
        </w:tc>
        <w:tc>
          <w:tcPr>
            <w:tcW w:type="dxa" w:w="1247"/>
            <w:vAlign w:val="center"/>
            <w:shd w:fill="F2F4F5"/>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通过</w:t>
            </w:r>
          </w:p>
        </w:tc>
      </w:tr>
      <w:tr>
        <w:tc>
          <w:tcPr>
            <w:tcW w:type="dxa" w:w="4706"/>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KV 减少 ≥30%</w:t>
            </w:r>
          </w:p>
        </w:tc>
        <w:tc>
          <w:tcPr>
            <w:tcW w:type="dxa" w:w="2665"/>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71.98%–72.98%</w:t>
            </w:r>
          </w:p>
        </w:tc>
        <w:tc>
          <w:tcPr>
            <w:tcW w:type="dxa" w:w="1247"/>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通过</w:t>
            </w:r>
          </w:p>
        </w:tc>
      </w:tr>
      <w:tr>
        <w:tc>
          <w:tcPr>
            <w:tcW w:type="dxa" w:w="4706"/>
            <w:vAlign w:val="center"/>
            <w:shd w:fill="F2F4F5"/>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解码倍率 ≥1.2×</w:t>
            </w:r>
          </w:p>
        </w:tc>
        <w:tc>
          <w:tcPr>
            <w:tcW w:type="dxa" w:w="2665"/>
            <w:vAlign w:val="center"/>
            <w:shd w:fill="F2F4F5"/>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0.928× / 0.948×</w:t>
            </w:r>
          </w:p>
        </w:tc>
        <w:tc>
          <w:tcPr>
            <w:tcW w:type="dxa" w:w="1247"/>
            <w:vAlign w:val="center"/>
            <w:shd w:fill="F2F4F5"/>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失败</w:t>
            </w:r>
          </w:p>
        </w:tc>
      </w:tr>
    </w:tbl>
    <w:p>
      <w:pPr>
        <w:spacing w:after="0"/>
      </w:pPr>
    </w:p>
    <w:tbl>
      <w:tblPr>
        <w:tblW w:type="auto" w:w="0"/>
        <w:tblLayout w:type="fixed"/>
        <w:tblLook w:firstColumn="1" w:firstRow="1" w:lastColumn="0" w:lastRow="0" w:noHBand="0" w:noVBand="1" w:val="04A0"/>
      </w:tblPr>
      <w:tblGrid>
        <w:gridCol w:w="198"/>
        <w:gridCol w:w="8844"/>
      </w:tblGrid>
      <w:tr>
        <w:tc>
          <w:tcPr>
            <w:tcW w:type="dxa" w:w="4986"/>
            <w:shd w:fill="B94A48"/>
            <w:tcBorders>
              <w:top w:val="single" w:sz="0" w:color="FFFFFF"/>
              <w:left w:val="single" w:sz="0" w:color="FFFFFF"/>
              <w:bottom w:val="single" w:sz="0" w:color="FFFFFF"/>
              <w:right w:val="single" w:sz="0" w:color="FFFFFF"/>
            </w:tcBorders>
          </w:tcPr>
          <w:p/>
        </w:tc>
        <w:tc>
          <w:tcPr>
            <w:tcW w:type="dxa" w:w="4986"/>
            <w:shd w:fill="E8EFF5"/>
            <w:tcBorders>
              <w:top w:val="single" w:sz="0" w:color="FFFFFF"/>
              <w:left w:val="single" w:sz="0" w:color="FFFFFF"/>
              <w:bottom w:val="single" w:sz="0" w:color="FFFFFF"/>
              <w:right w:val="single" w:sz="0" w:color="FFFFFF"/>
            </w:tcBorders>
          </w:tcPr>
          <w:p>
            <w:r/>
            <w:r>
              <w:rPr>
                <w:b/>
                <w:color w:val="B94A48"/>
                <w:sz w:val="22"/>
              </w:rPr>
              <w:t>发布建议</w:t>
              <w:br/>
            </w:r>
            <w:r>
              <w:rPr>
                <w:color w:val="17324D"/>
                <w:sz w:val="19"/>
              </w:rPr>
              <w:t>不合入 main 作为“已达成论文加速目标”的版本。可保留为可审计原型与课程测试对象，后续完成性能剖析和真实公开基准补测后再评审。</w:t>
            </w:r>
          </w:p>
        </w:tc>
      </w:tr>
    </w:tbl>
    <w:p>
      <w:pPr>
        <w:spacing w:after="0"/>
      </w:pPr>
    </w:p>
    <w:p>
      <w:r>
        <w:br w:type="page"/>
      </w:r>
    </w:p>
    <w:p>
      <w:pPr>
        <w:pStyle w:val="Heading1"/>
      </w:pPr>
      <w:r>
        <w:t>6. AI 辅助实践过程与反思</w:t>
      </w:r>
    </w:p>
    <w:p>
      <w:pPr>
        <w:pStyle w:val="Heading2"/>
      </w:pPr>
      <w:r>
        <w:t>6.1 AI 如何参与</w:t>
      </w:r>
    </w:p>
    <w:p>
      <w:pPr>
        <w:pStyle w:val="ListBullet"/>
        <w:spacing w:after="60"/>
      </w:pPr>
      <w:r>
        <w:t>Codex 协助拆解课程要求、建立统一规范、生成测试框架、完善日志、分析失败并整理交付物。</w:t>
      </w:r>
    </w:p>
    <w:p>
      <w:pPr>
        <w:pStyle w:val="ListBullet"/>
        <w:spacing w:after="60"/>
      </w:pPr>
      <w:r>
        <w:t>模型运行、结果文件、哈希和 Git 提交提供可核验事实；AI 不替代人工对上传、费用和最终结论的审批。</w:t>
      </w:r>
    </w:p>
    <w:p>
      <w:pPr>
        <w:pStyle w:val="ListBullet"/>
        <w:spacing w:after="60"/>
      </w:pPr>
      <w:r>
        <w:t>外部 LLM-as-a-Judge 被保留为可选能力，但本轮没有调用，避免引入费用、密钥和第二个不稳定评价模型。</w:t>
      </w:r>
    </w:p>
    <w:p>
      <w:pPr>
        <w:pStyle w:val="Heading2"/>
      </w:pPr>
      <w:r>
        <w:t>6.2 测试 AI 系统的经验</w:t>
      </w:r>
    </w:p>
    <w:p>
      <w:pPr>
        <w:pStyle w:val="ListBullet"/>
        <w:spacing w:after="60"/>
      </w:pPr>
      <w:r>
        <w:t>同一模型会受随机种子、提示形式和输出长度影响，必须保存逐次记录，而不能只留平均数。</w:t>
      </w:r>
    </w:p>
    <w:p>
      <w:pPr>
        <w:pStyle w:val="ListBullet"/>
        <w:spacing w:after="60"/>
      </w:pPr>
      <w:r>
        <w:t>鲁棒性和公平性最好使用最小差异成对输入，才能把观察差异归因到目标因素。</w:t>
      </w:r>
    </w:p>
    <w:p>
      <w:pPr>
        <w:pStyle w:val="ListBullet"/>
        <w:spacing w:after="60"/>
      </w:pPr>
      <w:r>
        <w:t>精确标签适合小型自动化回归；开放式长文本需要结构化规则或经过校准的评审器。</w:t>
      </w:r>
    </w:p>
    <w:p>
      <w:pPr>
        <w:pStyle w:val="ListBullet"/>
        <w:spacing w:after="60"/>
      </w:pPr>
      <w:r>
        <w:t>性能比较必须按生成 token 归一化；仅比较总时延会被输出长度混淆。</w:t>
      </w:r>
    </w:p>
    <w:p>
      <w:pPr>
        <w:pStyle w:val="Heading2"/>
      </w:pPr>
      <w:r>
        <w:t>6.3 一次真实的 AI 产出纠错</w:t>
      </w:r>
    </w:p>
    <w:p>
      <w:r>
        <w:t>初版汇总把总时延比称为加速倍率。复核原始结果后发现 Baseline 与 MMSep 的生成 token 数不同，于是将指标改为中位 tokens/s 比值，添加单元测试，并从不可变 JSONL 重建 corrected 摘要。这个过程说明：AI 可以加快实现，但指标定义和结论仍需要人类基于证据审查。</w:t>
      </w:r>
    </w:p>
    <w:p>
      <w:pPr>
        <w:pStyle w:val="Heading2"/>
      </w:pPr>
      <w:r>
        <w:t>6.4 可信边界</w:t>
      </w:r>
    </w:p>
    <w:p>
      <w:pPr>
        <w:pStyle w:val="ListBullet"/>
        <w:spacing w:after="60"/>
      </w:pPr>
      <w:r>
        <w:t>不把当前视觉压缩原型冒充完整 MMSep。</w:t>
      </w:r>
    </w:p>
    <w:p>
      <w:pPr>
        <w:pStyle w:val="ListBullet"/>
        <w:spacing w:after="60"/>
      </w:pPr>
      <w:r>
        <w:t>不把自建测试夹具冒充论文公开基准。</w:t>
      </w:r>
    </w:p>
    <w:p>
      <w:pPr>
        <w:pStyle w:val="ListBullet"/>
        <w:spacing w:after="60"/>
      </w:pPr>
      <w:r>
        <w:t>不把未修复模型问题写成修复完成。</w:t>
      </w:r>
    </w:p>
    <w:p>
      <w:pPr>
        <w:pStyle w:val="ListBullet"/>
        <w:spacing w:after="60"/>
      </w:pPr>
      <w:r>
        <w:t>不使用已暴露 API 密钥，不在未审核情况下上传 GitHub。</w:t>
      </w:r>
    </w:p>
    <w:p>
      <w:r>
        <w:br w:type="page"/>
      </w:r>
    </w:p>
    <w:p>
      <w:pPr>
        <w:pStyle w:val="Heading1"/>
      </w:pPr>
      <w:r>
        <w:t>7. 小组分工与 Git 过程</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rPr>
          <w:tblHeader w:val="true"/>
        </w:trPr>
        <w:tc>
          <w:tcPr>
            <w:tcW w:type="dxa" w:w="1247"/>
            <w:vAlign w:val="center"/>
            <w:shd w:fill="17324D"/>
            <w:tcBorders>
              <w:top w:val="single" w:sz="4" w:color="FFFFFF"/>
              <w:left w:val="single" w:sz="4" w:color="FFFFFF"/>
              <w:bottom w:val="single" w:sz="4" w:color="FFFFFF"/>
              <w:right w:val="single" w:sz="4" w:color="FFFFFF"/>
            </w:tcBorders>
          </w:tcPr>
          <w:p>
            <w:pPr>
              <w:spacing w:after="0" w:before="0"/>
              <w:jc w:val="center"/>
            </w:pPr>
            <w:r/>
            <w:r>
              <w:rPr>
                <w:rFonts w:ascii="Arial" w:hAnsi="Arial" w:eastAsia="微软雅黑"/>
                <w:b/>
                <w:color w:val="FFFFFF"/>
                <w:sz w:val="17"/>
              </w:rPr>
              <w:t>成员</w:t>
            </w:r>
          </w:p>
        </w:tc>
        <w:tc>
          <w:tcPr>
            <w:tcW w:type="dxa" w:w="3231"/>
            <w:vAlign w:val="center"/>
            <w:shd w:fill="17324D"/>
            <w:tcBorders>
              <w:top w:val="single" w:sz="4" w:color="FFFFFF"/>
              <w:left w:val="single" w:sz="4" w:color="FFFFFF"/>
              <w:bottom w:val="single" w:sz="4" w:color="FFFFFF"/>
              <w:right w:val="single" w:sz="4" w:color="FFFFFF"/>
            </w:tcBorders>
          </w:tcPr>
          <w:p>
            <w:pPr>
              <w:spacing w:after="0" w:before="0"/>
              <w:jc w:val="center"/>
            </w:pPr>
            <w:r/>
            <w:r>
              <w:rPr>
                <w:rFonts w:ascii="Arial" w:hAnsi="Arial" w:eastAsia="微软雅黑"/>
                <w:b/>
                <w:color w:val="FFFFFF"/>
                <w:sz w:val="17"/>
              </w:rPr>
              <w:t>工作包</w:t>
            </w:r>
          </w:p>
        </w:tc>
        <w:tc>
          <w:tcPr>
            <w:tcW w:type="dxa" w:w="3572"/>
            <w:vAlign w:val="center"/>
            <w:shd w:fill="17324D"/>
            <w:tcBorders>
              <w:top w:val="single" w:sz="4" w:color="FFFFFF"/>
              <w:left w:val="single" w:sz="4" w:color="FFFFFF"/>
              <w:bottom w:val="single" w:sz="4" w:color="FFFFFF"/>
              <w:right w:val="single" w:sz="4" w:color="FFFFFF"/>
            </w:tcBorders>
          </w:tcPr>
          <w:p>
            <w:pPr>
              <w:spacing w:after="0" w:before="0"/>
              <w:jc w:val="center"/>
            </w:pPr>
            <w:r/>
            <w:r>
              <w:rPr>
                <w:rFonts w:ascii="Arial" w:hAnsi="Arial" w:eastAsia="微软雅黑"/>
                <w:b/>
                <w:color w:val="FFFFFF"/>
                <w:sz w:val="17"/>
              </w:rPr>
              <w:t>可核验产出</w:t>
            </w:r>
          </w:p>
        </w:tc>
        <w:tc>
          <w:tcPr>
            <w:tcW w:type="dxa" w:w="850"/>
            <w:vAlign w:val="center"/>
            <w:shd w:fill="17324D"/>
            <w:tcBorders>
              <w:top w:val="single" w:sz="4" w:color="FFFFFF"/>
              <w:left w:val="single" w:sz="4" w:color="FFFFFF"/>
              <w:bottom w:val="single" w:sz="4" w:color="FFFFFF"/>
              <w:right w:val="single" w:sz="4" w:color="FFFFFF"/>
            </w:tcBorders>
          </w:tcPr>
          <w:p>
            <w:pPr>
              <w:spacing w:after="0" w:before="0"/>
              <w:jc w:val="center"/>
            </w:pPr>
            <w:r/>
            <w:r>
              <w:rPr>
                <w:rFonts w:ascii="Arial" w:hAnsi="Arial" w:eastAsia="微软雅黑"/>
                <w:b/>
                <w:color w:val="FFFFFF"/>
                <w:sz w:val="17"/>
              </w:rPr>
              <w:t>工作量</w:t>
            </w:r>
          </w:p>
        </w:tc>
      </w:tr>
      <w:tr>
        <w:tc>
          <w:tcPr>
            <w:tcW w:type="dxa" w:w="1247"/>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7"/>
              </w:rPr>
              <w:t>lcx</w:t>
            </w:r>
          </w:p>
        </w:tc>
        <w:tc>
          <w:tcPr>
            <w:tcW w:type="dxa" w:w="3231"/>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7"/>
              </w:rPr>
              <w:t>总体设计、LLaVA 适配、正式运行、结果校正与集成交付</w:t>
            </w:r>
          </w:p>
        </w:tc>
        <w:tc>
          <w:tcPr>
            <w:tcW w:type="dxa" w:w="3572"/>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7"/>
              </w:rPr>
              <w:t>lcx 分支提交；8 条用例；服务器运行证据；报告与集成</w:t>
            </w:r>
          </w:p>
        </w:tc>
        <w:tc>
          <w:tcPr>
            <w:tcW w:type="dxa" w:w="850"/>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7"/>
              </w:rPr>
              <w:t>50%</w:t>
            </w:r>
          </w:p>
        </w:tc>
      </w:tr>
      <w:tr>
        <w:tc>
          <w:tcPr>
            <w:tcW w:type="dxa" w:w="1247"/>
            <w:vAlign w:val="center"/>
            <w:shd w:fill="F2F4F5"/>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7"/>
              </w:rPr>
              <w:t>wjn</w:t>
            </w:r>
          </w:p>
        </w:tc>
        <w:tc>
          <w:tcPr>
            <w:tcW w:type="dxa" w:w="3231"/>
            <w:vAlign w:val="center"/>
            <w:shd w:fill="F2F4F5"/>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7"/>
              </w:rPr>
              <w:t>MMSep 运行时、缓存/分隔符接入、7 条用例与配对评审</w:t>
            </w:r>
          </w:p>
        </w:tc>
        <w:tc>
          <w:tcPr>
            <w:tcW w:type="dxa" w:w="3572"/>
            <w:vAlign w:val="center"/>
            <w:shd w:fill="F2F4F5"/>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7"/>
              </w:rPr>
              <w:t>wjn 作者提交经 merge 9f15fd3 保留；运行时代码与用例</w:t>
            </w:r>
          </w:p>
        </w:tc>
        <w:tc>
          <w:tcPr>
            <w:tcW w:type="dxa" w:w="850"/>
            <w:vAlign w:val="center"/>
            <w:shd w:fill="F2F4F5"/>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7"/>
              </w:rPr>
              <w:t>50%</w:t>
            </w:r>
          </w:p>
        </w:tc>
      </w:tr>
    </w:tbl>
    <w:p>
      <w:pPr>
        <w:spacing w:after="0"/>
      </w:pPr>
    </w:p>
    <w:p>
      <w:pPr>
        <w:pStyle w:val="Heading2"/>
      </w:pPr>
      <w:r>
        <w:t>7.1 关键提交</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1531"/>
            <w:vAlign w:val="center"/>
            <w:shd w:fill="17324D"/>
            <w:tcBorders>
              <w:top w:val="single" w:sz="4" w:color="FFFFFF"/>
              <w:left w:val="single" w:sz="4" w:color="FFFFFF"/>
              <w:bottom w:val="single" w:sz="4" w:color="FFFFFF"/>
              <w:right w:val="single" w:sz="4" w:color="FFFFFF"/>
            </w:tcBorders>
          </w:tcPr>
          <w:p>
            <w:pPr>
              <w:spacing w:after="0" w:before="0"/>
              <w:jc w:val="center"/>
            </w:pPr>
            <w:r/>
            <w:r>
              <w:rPr>
                <w:rFonts w:ascii="Arial" w:hAnsi="Arial" w:eastAsia="微软雅黑"/>
                <w:b/>
                <w:color w:val="FFFFFF"/>
                <w:sz w:val="18"/>
              </w:rPr>
              <w:t>提交</w:t>
            </w:r>
          </w:p>
        </w:tc>
        <w:tc>
          <w:tcPr>
            <w:tcW w:type="dxa" w:w="1531"/>
            <w:vAlign w:val="center"/>
            <w:shd w:fill="17324D"/>
            <w:tcBorders>
              <w:top w:val="single" w:sz="4" w:color="FFFFFF"/>
              <w:left w:val="single" w:sz="4" w:color="FFFFFF"/>
              <w:bottom w:val="single" w:sz="4" w:color="FFFFFF"/>
              <w:right w:val="single" w:sz="4" w:color="FFFFFF"/>
            </w:tcBorders>
          </w:tcPr>
          <w:p>
            <w:pPr>
              <w:spacing w:after="0" w:before="0"/>
              <w:jc w:val="center"/>
            </w:pPr>
            <w:r/>
            <w:r>
              <w:rPr>
                <w:rFonts w:ascii="Arial" w:hAnsi="Arial" w:eastAsia="微软雅黑"/>
                <w:b/>
                <w:color w:val="FFFFFF"/>
                <w:sz w:val="18"/>
              </w:rPr>
              <w:t>阶段</w:t>
            </w:r>
          </w:p>
        </w:tc>
        <w:tc>
          <w:tcPr>
            <w:tcW w:type="dxa" w:w="5839"/>
            <w:vAlign w:val="center"/>
            <w:shd w:fill="17324D"/>
            <w:tcBorders>
              <w:top w:val="single" w:sz="4" w:color="FFFFFF"/>
              <w:left w:val="single" w:sz="4" w:color="FFFFFF"/>
              <w:bottom w:val="single" w:sz="4" w:color="FFFFFF"/>
              <w:right w:val="single" w:sz="4" w:color="FFFFFF"/>
            </w:tcBorders>
          </w:tcPr>
          <w:p>
            <w:pPr>
              <w:spacing w:after="0" w:before="0"/>
              <w:jc w:val="center"/>
            </w:pPr>
            <w:r/>
            <w:r>
              <w:rPr>
                <w:rFonts w:ascii="Arial" w:hAnsi="Arial" w:eastAsia="微软雅黑"/>
                <w:b/>
                <w:color w:val="FFFFFF"/>
                <w:sz w:val="18"/>
              </w:rPr>
              <w:t>内容</w:t>
            </w:r>
          </w:p>
        </w:tc>
      </w:tr>
      <w:tr>
        <w:tc>
          <w:tcPr>
            <w:tcW w:type="dxa" w:w="1531"/>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21f227d</w:t>
            </w:r>
          </w:p>
        </w:tc>
        <w:tc>
          <w:tcPr>
            <w:tcW w:type="dxa" w:w="1531"/>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框架</w:t>
            </w:r>
          </w:p>
        </w:tc>
        <w:tc>
          <w:tcPr>
            <w:tcW w:type="dxa" w:w="5839"/>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可追溯 LLaVA 基线测试框架</w:t>
            </w:r>
          </w:p>
        </w:tc>
      </w:tr>
      <w:tr>
        <w:tc>
          <w:tcPr>
            <w:tcW w:type="dxa" w:w="1531"/>
            <w:vAlign w:val="center"/>
            <w:shd w:fill="F2F4F5"/>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0328162</w:t>
            </w:r>
          </w:p>
        </w:tc>
        <w:tc>
          <w:tcPr>
            <w:tcW w:type="dxa" w:w="1531"/>
            <w:vAlign w:val="center"/>
            <w:shd w:fill="F2F4F5"/>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环境</w:t>
            </w:r>
          </w:p>
        </w:tc>
        <w:tc>
          <w:tcPr>
            <w:tcW w:type="dxa" w:w="5839"/>
            <w:vAlign w:val="center"/>
            <w:shd w:fill="F2F4F5"/>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Colab/Kaggle 基线执行流程</w:t>
            </w:r>
          </w:p>
        </w:tc>
      </w:tr>
      <w:tr>
        <w:tc>
          <w:tcPr>
            <w:tcW w:type="dxa" w:w="1531"/>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9f15fd3</w:t>
            </w:r>
          </w:p>
        </w:tc>
        <w:tc>
          <w:tcPr>
            <w:tcW w:type="dxa" w:w="1531"/>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集成</w:t>
            </w:r>
          </w:p>
        </w:tc>
        <w:tc>
          <w:tcPr>
            <w:tcW w:type="dxa" w:w="5839"/>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保留 wjn 历史的运行时与 7 条用例合并</w:t>
            </w:r>
          </w:p>
        </w:tc>
      </w:tr>
      <w:tr>
        <w:tc>
          <w:tcPr>
            <w:tcW w:type="dxa" w:w="1531"/>
            <w:vAlign w:val="center"/>
            <w:shd w:fill="F2F4F5"/>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42a6178</w:t>
            </w:r>
          </w:p>
        </w:tc>
        <w:tc>
          <w:tcPr>
            <w:tcW w:type="dxa" w:w="1531"/>
            <w:vAlign w:val="center"/>
            <w:shd w:fill="F2F4F5"/>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用例</w:t>
            </w:r>
          </w:p>
        </w:tc>
        <w:tc>
          <w:tcPr>
            <w:tcW w:type="dxa" w:w="5839"/>
            <w:vAlign w:val="center"/>
            <w:shd w:fill="F2F4F5"/>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lcx 的 8 条 AI 测试用例</w:t>
            </w:r>
          </w:p>
        </w:tc>
      </w:tr>
      <w:tr>
        <w:tc>
          <w:tcPr>
            <w:tcW w:type="dxa" w:w="1531"/>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0bd7e93</w:t>
            </w:r>
          </w:p>
        </w:tc>
        <w:tc>
          <w:tcPr>
            <w:tcW w:type="dxa" w:w="1531"/>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执行</w:t>
            </w:r>
          </w:p>
        </w:tc>
        <w:tc>
          <w:tcPr>
            <w:tcW w:type="dxa" w:w="5839"/>
            <w:vAlign w:val="center"/>
            <w:shd w:fill="FFFFFF"/>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15 条用例一键运行与性能统计</w:t>
            </w:r>
          </w:p>
        </w:tc>
      </w:tr>
      <w:tr>
        <w:tc>
          <w:tcPr>
            <w:tcW w:type="dxa" w:w="1531"/>
            <w:vAlign w:val="center"/>
            <w:shd w:fill="F2F4F5"/>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65d3ea6</w:t>
            </w:r>
          </w:p>
        </w:tc>
        <w:tc>
          <w:tcPr>
            <w:tcW w:type="dxa" w:w="1531"/>
            <w:vAlign w:val="center"/>
            <w:shd w:fill="F2F4F5"/>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纠错</w:t>
            </w:r>
          </w:p>
        </w:tc>
        <w:tc>
          <w:tcPr>
            <w:tcW w:type="dxa" w:w="5839"/>
            <w:vAlign w:val="center"/>
            <w:shd w:fill="F2F4F5"/>
            <w:tcBorders>
              <w:top w:val="single" w:sz="6" w:color="CAD3D8"/>
              <w:left w:val="single" w:sz="6" w:color="CAD3D8"/>
              <w:bottom w:val="single" w:sz="6" w:color="CAD3D8"/>
              <w:right w:val="single" w:sz="6" w:color="CAD3D8"/>
            </w:tcBorders>
          </w:tcPr>
          <w:p>
            <w:pPr>
              <w:spacing w:after="0" w:before="0"/>
              <w:jc w:val="left"/>
            </w:pPr>
            <w:r/>
            <w:r>
              <w:rPr>
                <w:rFonts w:ascii="Arial" w:hAnsi="Arial" w:eastAsia="微软雅黑"/>
                <w:b w:val="0"/>
                <w:color w:val="17324D"/>
                <w:sz w:val="18"/>
              </w:rPr>
              <w:t>按生成吞吐量统计加速并重建摘要</w:t>
            </w:r>
          </w:p>
        </w:tc>
      </w:tr>
    </w:tbl>
    <w:p>
      <w:pPr>
        <w:spacing w:after="0"/>
      </w:pPr>
    </w:p>
    <w:tbl>
      <w:tblPr>
        <w:tblW w:type="auto" w:w="0"/>
        <w:tblLayout w:type="fixed"/>
        <w:tblLook w:firstColumn="1" w:firstRow="1" w:lastColumn="0" w:lastRow="0" w:noHBand="0" w:noVBand="1" w:val="04A0"/>
      </w:tblPr>
      <w:tblGrid>
        <w:gridCol w:w="198"/>
        <w:gridCol w:w="8844"/>
      </w:tblGrid>
      <w:tr>
        <w:tc>
          <w:tcPr>
            <w:tcW w:type="dxa" w:w="4986"/>
            <w:shd w:fill="2E7D5B"/>
            <w:tcBorders>
              <w:top w:val="single" w:sz="0" w:color="FFFFFF"/>
              <w:left w:val="single" w:sz="0" w:color="FFFFFF"/>
              <w:bottom w:val="single" w:sz="0" w:color="FFFFFF"/>
              <w:right w:val="single" w:sz="0" w:color="FFFFFF"/>
            </w:tcBorders>
          </w:tcPr>
          <w:p/>
        </w:tc>
        <w:tc>
          <w:tcPr>
            <w:tcW w:type="dxa" w:w="4986"/>
            <w:shd w:fill="E8EFF5"/>
            <w:tcBorders>
              <w:top w:val="single" w:sz="0" w:color="FFFFFF"/>
              <w:left w:val="single" w:sz="0" w:color="FFFFFF"/>
              <w:bottom w:val="single" w:sz="0" w:color="FFFFFF"/>
              <w:right w:val="single" w:sz="0" w:color="FFFFFF"/>
            </w:tcBorders>
          </w:tcPr>
          <w:p>
            <w:r/>
            <w:r>
              <w:rPr>
                <w:b/>
                <w:color w:val="2E7D5B"/>
                <w:sz w:val="22"/>
              </w:rPr>
              <w:t>提交真实性</w:t>
              <w:br/>
            </w:r>
            <w:r>
              <w:rPr>
                <w:color w:val="17324D"/>
                <w:sz w:val="19"/>
              </w:rPr>
              <w:t>这些提交对应真实阶段成果，没有倒填日期或伪造服务器过程。当前所有提交仅存在本地 lcx 分支；推送、PR 与合并必须由负责人逐次人工审核。</w:t>
            </w:r>
          </w:p>
        </w:tc>
      </w:tr>
    </w:tbl>
    <w:p>
      <w:pPr>
        <w:spacing w:after="0"/>
      </w:pPr>
    </w:p>
    <w:p>
      <w:r>
        <w:br w:type="page"/>
      </w:r>
    </w:p>
    <w:p>
      <w:pPr>
        <w:pStyle w:val="Heading1"/>
      </w:pPr>
      <w:r>
        <w:t>8. 结论与后续工作</w:t>
      </w:r>
    </w:p>
    <w:p>
      <w:r>
        <w:t>本轮完成了一个可运行、可追溯的 LLaVA 多模态 AI 测试闭环：15 条用例、统一 Baseline/MMSep 开关、自动执行、原始证据、缺陷管理与交付件相互一致。系统在安全、公平、质量保持和 KV 压缩方面达到预设门槛，但在基础计数、计数鲁棒性和解码速度方面未达标，因此最终结论为不通过。</w:t>
      </w:r>
    </w:p>
    <w:p>
      <w:pPr>
        <w:pStyle w:val="Heading2"/>
      </w:pPr>
      <w:r>
        <w:t>后续优先级</w:t>
      </w:r>
    </w:p>
    <w:p>
      <w:pPr>
        <w:pStyle w:val="ListBullet"/>
        <w:spacing w:after="60"/>
      </w:pPr>
      <w:r>
        <w:t>P0：修复或缓解基础视觉计数失败，并扩展参数化计数回归集。</w:t>
      </w:r>
    </w:p>
    <w:p>
      <w:pPr>
        <w:pStyle w:val="ListBullet"/>
        <w:spacing w:after="60"/>
      </w:pPr>
      <w:r>
        <w:t>P0：对 MMSep 路径做 CUDA/Python 性能剖析，确认选择与 hook 开销。</w:t>
      </w:r>
    </w:p>
    <w:p>
      <w:pPr>
        <w:pStyle w:val="ListBullet"/>
        <w:spacing w:after="60"/>
      </w:pPr>
      <w:r>
        <w:t>P1：在许可与版本冻结后加入 ScienceQA、MMMU；如论文长生成数据可得，再单独复现。</w:t>
      </w:r>
    </w:p>
    <w:p>
      <w:pPr>
        <w:pStyle w:val="ListBullet"/>
        <w:spacing w:after="60"/>
      </w:pPr>
      <w:r>
        <w:t>P1：完成论文所述文本分隔符维护和视觉召回后，用新的运行编号重测。</w:t>
      </w:r>
    </w:p>
    <w:p>
      <w:pPr>
        <w:pStyle w:val="Heading2"/>
      </w:pPr>
      <w:r>
        <w:t>参考来源</w:t>
      </w:r>
    </w:p>
    <w:p>
      <w:pPr>
        <w:pStyle w:val="ListBullet"/>
        <w:spacing w:after="60"/>
      </w:pPr>
      <w:r>
        <w:t>MMSep DOI: https://doi.org/10.1145/3770855.3817821</w:t>
      </w:r>
    </w:p>
    <w:p>
      <w:pPr>
        <w:pStyle w:val="ListBullet"/>
        <w:spacing w:after="60"/>
      </w:pPr>
      <w:r>
        <w:t>MMSep public repository: https://github.com/MeinhardMark/MMSep</w:t>
      </w:r>
    </w:p>
    <w:p>
      <w:pPr>
        <w:pStyle w:val="ListBullet"/>
        <w:spacing w:after="60"/>
      </w:pPr>
      <w:r>
        <w:t>ScienceQA: https://github.com/lupantech/ScienceQA</w:t>
      </w:r>
    </w:p>
    <w:p>
      <w:pPr>
        <w:pStyle w:val="ListBullet"/>
        <w:spacing w:after="60"/>
      </w:pPr>
      <w:r>
        <w:t>MMMU: https://mmmu-benchmark.github.io/</w:t>
      </w:r>
    </w:p>
    <w:p>
      <w:pPr>
        <w:pStyle w:val="ListBullet"/>
        <w:spacing w:after="60"/>
      </w:pPr>
      <w:r>
        <w:t>Project scope: docs/EXPERIMENT_SCOPE.md</w:t>
      </w:r>
    </w:p>
    <w:sectPr w:rsidR="00FC693F" w:rsidRPr="0006063C" w:rsidSect="00034616">
      <w:headerReference w:type="default" r:id="rId9"/>
      <w:footerReference w:type="default" r:id="rId10"/>
      <w:pgSz w:w="12240" w:h="15840"/>
      <w:pgMar w:top="1020" w:right="1134" w:bottom="964" w:left="1134"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微软雅黑"/>
        <w:color w:val="5C6670"/>
        <w:sz w:val="16"/>
      </w:rPr>
      <w:t xml:space="preserve">第 </w:t>
      <w:fldChar w:fldCharType="begin"/>
      <w:instrText xml:space="preserve"> PAGE </w:instrText>
      <w:fldChar w:fldCharType="end"/>
    </w:r>
    <w:r>
      <w:rPr>
        <w:rFonts w:ascii="Arial" w:hAnsi="Arial" w:eastAsia="微软雅黑"/>
        <w:color w:val="5C6670"/>
        <w:sz w:val="16"/>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微软雅黑"/>
        <w:color w:val="5C6670"/>
        <w:sz w:val="16"/>
      </w:rPr>
      <w:t>软件质量与测试 · 模块二</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00"/>
    </w:pPr>
    <w:rPr>
      <w:rFonts w:ascii="Arial" w:hAnsi="Arial" w:eastAsia="微软雅黑"/>
      <w:color w:val="17324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eastAsiaTheme="majorEastAsia" w:hAnsiTheme="majorHAnsi" w:cstheme="majorBidi" w:ascii="Arial" w:hAnsi="Arial" w:eastAsia="微软雅黑"/>
      <w:b/>
      <w:bCs/>
      <w:color w:val="17324D"/>
      <w:sz w:val="36"/>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Arial" w:hAnsi="Arial" w:eastAsia="微软雅黑"/>
      <w:b/>
      <w:bCs/>
      <w:color w:val="1F6E8C"/>
      <w:sz w:val="26"/>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Arial" w:hAnsi="Arial" w:eastAsia="微软雅黑"/>
      <w:b/>
      <w:bCs/>
      <w:color w:val="30A6A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160"/>
      <w:contextualSpacing/>
    </w:pPr>
    <w:rPr>
      <w:rFonts w:asciiTheme="majorHAnsi" w:eastAsiaTheme="majorEastAsia" w:hAnsiTheme="majorHAnsi" w:cstheme="majorBidi" w:ascii="Arial" w:hAnsi="Arial" w:eastAsia="微软雅黑"/>
      <w:b/>
      <w:color w:val="17324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