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b/>
          <w:color w:val="30A6A6"/>
          <w:sz w:val="20"/>
        </w:rPr>
        <w:t>MODULE 02  /  AI SYSTEM TESTING</w:t>
      </w:r>
    </w:p>
    <w:p>
      <w:pPr>
        <w:pStyle w:val="Title"/>
      </w:pPr>
      <w:r>
        <w:t>AI 测试缺陷清单</w:t>
      </w:r>
    </w:p>
    <w:p>
      <w:pPr>
        <w:spacing w:after="360"/>
      </w:pPr>
      <w:r>
        <w:rPr>
          <w:color w:val="1F6E8C"/>
          <w:sz w:val="28"/>
        </w:rPr>
        <w:t>真实缺陷、复现证据与回归状态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140"/>
        </w:trPr>
        <w:tc>
          <w:tcPr>
            <w:tcW w:type="dxa" w:w="9972"/>
            <w:shd w:fill="30A6A6"/>
            <w:tcBorders>
              <w:top w:val="single" w:sz="0" w:color="30A6A6"/>
              <w:left w:val="single" w:sz="0" w:color="30A6A6"/>
              <w:bottom w:val="single" w:sz="0" w:color="30A6A6"/>
              <w:right w:val="single" w:sz="0" w:color="30A6A6"/>
            </w:tcBorders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200"/>
      </w:tblGrid>
      <w:tr>
        <w:tc>
          <w:tcPr>
            <w:tcW w:type="dxa" w:w="4986"/>
            <w:vAlign w:val="center"/>
            <w:shd w:fill="EAF4F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/>
                <w:color w:val="1F6E8C"/>
                <w:sz w:val="20"/>
              </w:rPr>
              <w:t>被测系统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20"/>
              </w:rPr>
              <w:t>LLaVA v1.5 7B + MMSep 视觉 KV 压缩原型</w:t>
            </w:r>
          </w:p>
        </w:tc>
      </w:tr>
      <w:tr>
        <w:tc>
          <w:tcPr>
            <w:tcW w:type="dxa" w:w="4986"/>
            <w:vAlign w:val="center"/>
            <w:shd w:fill="EAF4F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/>
                <w:color w:val="1F6E8C"/>
                <w:sz w:val="20"/>
              </w:rPr>
              <w:t>正式运行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20"/>
              </w:rPr>
              <w:t>module2-formal-0bd7e93-001</w:t>
            </w:r>
          </w:p>
        </w:tc>
      </w:tr>
      <w:tr>
        <w:tc>
          <w:tcPr>
            <w:tcW w:type="dxa" w:w="4986"/>
            <w:vAlign w:val="center"/>
            <w:shd w:fill="EAF4F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/>
                <w:color w:val="1F6E8C"/>
                <w:sz w:val="20"/>
              </w:rPr>
              <w:t>小组成员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20"/>
              </w:rPr>
              <w:t>lcx（项目负责人） / wjn（小组成员）</w:t>
            </w:r>
          </w:p>
        </w:tc>
      </w:tr>
      <w:tr>
        <w:tc>
          <w:tcPr>
            <w:tcW w:type="dxa" w:w="4986"/>
            <w:vAlign w:val="center"/>
            <w:shd w:fill="EAF4F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/>
                <w:color w:val="1F6E8C"/>
                <w:sz w:val="20"/>
              </w:rPr>
              <w:t>报告日期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20"/>
              </w:rPr>
              <w:t>2026-09-21</w:t>
            </w:r>
          </w:p>
        </w:tc>
      </w:tr>
      <w:tr>
        <w:tc>
          <w:tcPr>
            <w:tcW w:type="dxa" w:w="4986"/>
            <w:vAlign w:val="center"/>
            <w:shd w:fill="EAF4F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/>
                <w:color w:val="1F6E8C"/>
                <w:sz w:val="20"/>
              </w:rPr>
              <w:t>证据状态</w:t>
            </w:r>
          </w:p>
        </w:tc>
        <w:tc>
          <w:tcPr>
            <w:tcW w:type="dxa" w:w="4986"/>
            <w:vAlign w:val="center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20"/>
              </w:rPr>
              <w:t>本地交付；上传前须人工审核</w:t>
            </w:r>
          </w:p>
        </w:tc>
      </w:tr>
    </w:tbl>
    <w:p>
      <w:pPr>
        <w:spacing w:before="520"/>
      </w:pPr>
      <w:r>
        <w:rPr>
          <w:b/>
          <w:color w:val="B94A48"/>
          <w:sz w:val="24"/>
        </w:rPr>
        <w:t>结论先行：本轮系统未达到发布/验收标准。</w:t>
      </w:r>
    </w:p>
    <w:p>
      <w:r>
        <w:br w:type="page"/>
      </w:r>
    </w:p>
    <w:p>
      <w:pPr>
        <w:pStyle w:val="Heading1"/>
      </w:pPr>
      <w:r>
        <w:t>1. 缺陷总览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c>
          <w:tcPr>
            <w:tcW w:type="dxa" w:w="4986"/>
            <w:shd w:fill="30A6A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4986"/>
            <w:shd w:fill="E8EFF5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/>
            <w:r>
              <w:rPr>
                <w:b/>
                <w:color w:val="30A6A6"/>
                <w:sz w:val="22"/>
              </w:rPr>
              <w:t>判定原则</w:t>
              <w:br/>
            </w:r>
            <w:r>
              <w:rPr>
                <w:color w:val="17324D"/>
                <w:sz w:val="19"/>
              </w:rPr>
              <w:t>只登记正式运行中能够由原始 JSONL、固定输入和代码提交复现的问题。模型能力缺陷没有伪造“已修复”；测试框架指标缺陷则记录真实修复与回归证据。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474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缺陷编号</w:t>
            </w:r>
          </w:p>
        </w:tc>
        <w:tc>
          <w:tcPr>
            <w:tcW w:type="dxa" w:w="1361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02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严重级别</w:t>
            </w:r>
          </w:p>
        </w:tc>
        <w:tc>
          <w:tcPr>
            <w:tcW w:type="dxa" w:w="102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701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关联用例</w:t>
            </w:r>
          </w:p>
        </w:tc>
        <w:tc>
          <w:tcPr>
            <w:tcW w:type="dxa" w:w="2948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概要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DEF-AI-001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模型功能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高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未修复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M2-FUN-101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两个红色圆形被回答为 ONE</w:t>
            </w:r>
          </w:p>
        </w:tc>
      </w:tr>
      <w:tr>
        <w:tc>
          <w:tcPr>
            <w:tcW w:type="dxa" w:w="1474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DEF-AI-002</w:t>
            </w:r>
          </w:p>
        </w:tc>
        <w:tc>
          <w:tcPr>
            <w:tcW w:type="dxa" w:w="1361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模型鲁棒性</w:t>
            </w:r>
          </w:p>
        </w:tc>
        <w:tc>
          <w:tcPr>
            <w:tcW w:type="dxa" w:w="102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高</w:t>
            </w:r>
          </w:p>
        </w:tc>
        <w:tc>
          <w:tcPr>
            <w:tcW w:type="dxa" w:w="102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未修复</w:t>
            </w:r>
          </w:p>
        </w:tc>
        <w:tc>
          <w:tcPr>
            <w:tcW w:type="dxa" w:w="1701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M2-ROB-201</w:t>
            </w:r>
          </w:p>
        </w:tc>
        <w:tc>
          <w:tcPr>
            <w:tcW w:type="dxa" w:w="2948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三个三角形稳定误答为 TWO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DEF-PERF-001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性能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中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未修复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M2-PER-201/202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解码吞吐倍率未达 1.2×</w:t>
            </w:r>
          </w:p>
        </w:tc>
      </w:tr>
      <w:tr>
        <w:tc>
          <w:tcPr>
            <w:tcW w:type="dxa" w:w="1474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DEF-FW-001</w:t>
            </w:r>
          </w:p>
        </w:tc>
        <w:tc>
          <w:tcPr>
            <w:tcW w:type="dxa" w:w="1361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测试框架</w:t>
            </w:r>
          </w:p>
        </w:tc>
        <w:tc>
          <w:tcPr>
            <w:tcW w:type="dxa" w:w="102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中</w:t>
            </w:r>
          </w:p>
        </w:tc>
        <w:tc>
          <w:tcPr>
            <w:tcW w:type="dxa" w:w="102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已修复</w:t>
            </w:r>
          </w:p>
        </w:tc>
        <w:tc>
          <w:tcPr>
            <w:tcW w:type="dxa" w:w="1701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性能汇总</w:t>
            </w:r>
          </w:p>
        </w:tc>
        <w:tc>
          <w:tcPr>
            <w:tcW w:type="dxa" w:w="2948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7"/>
              </w:rPr>
              <w:t>曾以总时延比较不同输出长度</w:t>
            </w:r>
          </w:p>
        </w:tc>
      </w:tr>
    </w:tbl>
    <w:p>
      <w:pPr>
        <w:spacing w:after="0"/>
      </w:pPr>
    </w:p>
    <w:p>
      <w:pPr>
        <w:pStyle w:val="Heading1"/>
      </w:pPr>
      <w:r>
        <w:t>2. 统计口径</w:t>
      </w:r>
    </w:p>
    <w:p>
      <w:pPr>
        <w:pStyle w:val="ListBullet"/>
        <w:spacing w:after="60"/>
      </w:pPr>
      <w:r>
        <w:t>正式运行含 15 条用例、Baseline 与 MMSep 两种模式，共 30 个配置结果。</w:t>
      </w:r>
    </w:p>
    <w:p>
      <w:pPr>
        <w:pStyle w:val="ListBullet"/>
        <w:spacing w:after="60"/>
      </w:pPr>
      <w:r>
        <w:t>输出 Oracle 通过 26/30（86.67%）；把性能阈值计入整条用例后，通过 11/15（73.33%）。</w:t>
      </w:r>
    </w:p>
    <w:p>
      <w:pPr>
        <w:pStyle w:val="ListBullet"/>
        <w:spacing w:after="60"/>
      </w:pPr>
      <w:r>
        <w:t>运行过程无执行错误；失败均来自可复现的模型输出或性能门槛。</w:t>
      </w:r>
    </w:p>
    <w:p>
      <w:pPr>
        <w:pStyle w:val="Heading1"/>
        <w:pageBreakBefore/>
      </w:pPr>
      <w:r>
        <w:t>3. DEF-AI-001  基础图像计数错误：两个红色圆形回答 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状态 / 严重级别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未修复 / 高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发现版本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源代码 0bd7e93；分析口径 65d3ea6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运行环境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NVIDIA GeForce RTX 4090；PyTorch 2.4.1+cu121；Transformers 4.36.2；4-bit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缺陷现象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Baseline 与 MMSep 在同一张含两个红色圆形的图片上均输出 ONE，期望为 TWO。两个模式都失败，说明问题不是由 MMSep 开关单独引入。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期望结果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两种模式均返回 TWO。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实际结果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Baseline=ONE；MMSep=ONE；通过次数均为 0/1。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修复/处置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需在后续模型/提示策略版本中修复；本轮不修改权重，也不把调整提示词伪装成模型修复。建议引入公开计数样本回归集并验证视觉编码分辨率。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回归验证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当前回归状态：仍失败。输入、原始输出与摘要均已保存。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证据定位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交付件/实验记录/module2-formal-0bd7e93-001/inputs/M2-FUN-101-clean.png；raw/results.jsonl；summary/summary.corrected.json</w:t>
            </w:r>
          </w:p>
        </w:tc>
      </w:tr>
    </w:tbl>
    <w:p>
      <w:pPr>
        <w:spacing w:after="0"/>
      </w:pPr>
    </w:p>
    <w:p>
      <w:pPr>
        <w:pStyle w:val="Heading2"/>
      </w:pPr>
      <w:r>
        <w:t>复现步骤</w:t>
      </w:r>
    </w:p>
    <w:p>
      <w:pPr>
        <w:ind w:left="227"/>
      </w:pPr>
      <w:r>
        <w:rPr>
          <w:b/>
        </w:rPr>
        <w:t xml:space="preserve">1. </w:t>
      </w:r>
      <w:r>
        <w:t>加载固定模型快照并使用 4-bit 配置。</w:t>
      </w:r>
    </w:p>
    <w:p>
      <w:pPr>
        <w:ind w:left="227"/>
      </w:pPr>
      <w:r>
        <w:rPr>
          <w:b/>
        </w:rPr>
        <w:t xml:space="preserve">2. </w:t>
      </w:r>
      <w:r>
        <w:t>生成并读取 inputs/M2-FUN-101-clean.png。</w:t>
      </w:r>
    </w:p>
    <w:p>
      <w:pPr>
        <w:ind w:left="227"/>
      </w:pPr>
      <w:r>
        <w:rPr>
          <w:b/>
        </w:rPr>
        <w:t xml:space="preserve">3. </w:t>
      </w:r>
      <w:r>
        <w:t>提示词：Count the red circles. Reply with exactly one label: ONE, TWO, or THREE。</w:t>
      </w:r>
    </w:p>
    <w:p>
      <w:pPr>
        <w:ind w:left="227"/>
      </w:pPr>
      <w:r>
        <w:rPr>
          <w:b/>
        </w:rPr>
        <w:t xml:space="preserve">4. </w:t>
      </w:r>
      <w:r>
        <w:t>分别以 Baseline 与 MMSep、seed=42 运行。</w:t>
      </w:r>
    </w:p>
    <w:p>
      <w:pPr>
        <w:pStyle w:val="Heading2"/>
      </w:pPr>
      <w:r>
        <w:t>输入证据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70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-FUN-101-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670"/>
        </w:rPr>
        <w:t>图 1  固定测试输入（SHA-256 见 manifest.corrected.json）</w:t>
      </w:r>
    </w:p>
    <w:p>
      <w:pPr>
        <w:pStyle w:val="Heading1"/>
        <w:pageBreakBefore/>
      </w:pPr>
      <w:r>
        <w:t>4. DEF-AI-002  形状计数鲁棒性错误：三个三角形稳定回答 TWO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状态 / 严重级别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未修复 / 高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发现版本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源代码 0bd7e93；分析口径 65d3ea6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运行环境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NVIDIA GeForce RTX 4090；PyTorch 2.4.1+cu121；Transformers 4.36.2；4-bit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缺陷现象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干净图和低对比度图都含三个三角形。Baseline 与 MMSep 在 3 个随机种子、2 个变体上均回答 TWO，说明是稳定的计数能力缺陷，而不是一次随机波动。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期望结果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两个变体、两种模式和全部种子均返回 THREE。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实际结果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Baseline 0/6；MMSep 0/6；示例输出均为 TWO。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修复/处置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需在后续模型版本中处理。建议把形状数量、尺寸、间距和对比度做参数化扩展，定位视觉编码或语言解码环节。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回归验证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当前回归状态：仍失败；12 条模式×变体×种子测量记录可复现。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证据定位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inputs/M2-ROB-201-clean.png、inputs/M2-ROB-201-low-contrast.png；raw/results.jsonl</w:t>
            </w:r>
          </w:p>
        </w:tc>
      </w:tr>
    </w:tbl>
    <w:p>
      <w:pPr>
        <w:spacing w:after="0"/>
      </w:pPr>
    </w:p>
    <w:p>
      <w:pPr>
        <w:pStyle w:val="Heading2"/>
      </w:pPr>
      <w:r>
        <w:t>复现步骤</w:t>
      </w:r>
    </w:p>
    <w:p>
      <w:pPr>
        <w:ind w:left="227"/>
      </w:pPr>
      <w:r>
        <w:rPr>
          <w:b/>
        </w:rPr>
        <w:t xml:space="preserve">1. </w:t>
      </w:r>
      <w:r>
        <w:t>生成 clean 与 low-contrast 两个固定变体。</w:t>
      </w:r>
    </w:p>
    <w:p>
      <w:pPr>
        <w:ind w:left="227"/>
      </w:pPr>
      <w:r>
        <w:rPr>
          <w:b/>
        </w:rPr>
        <w:t xml:space="preserve">2. </w:t>
      </w:r>
      <w:r>
        <w:t>提示词要求只在 TWO、THREE、FOUR 中选择。</w:t>
      </w:r>
    </w:p>
    <w:p>
      <w:pPr>
        <w:ind w:left="227"/>
      </w:pPr>
      <w:r>
        <w:rPr>
          <w:b/>
        </w:rPr>
        <w:t xml:space="preserve">3. </w:t>
      </w:r>
      <w:r>
        <w:t>Baseline 与 MMSep 分别以 seed=42、2026、925 执行。</w:t>
      </w:r>
    </w:p>
    <w:p>
      <w:pPr>
        <w:ind w:left="227"/>
      </w:pPr>
      <w:r>
        <w:rPr>
          <w:b/>
        </w:rPr>
        <w:t xml:space="preserve">4. </w:t>
      </w:r>
      <w:r>
        <w:t>比较所有测量输出与参考标签 THREE。</w:t>
      </w:r>
    </w:p>
    <w:p>
      <w:pPr>
        <w:pStyle w:val="Heading2"/>
      </w:pPr>
      <w:r>
        <w:t>输入证据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706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-ROB-201-low-contr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670"/>
        </w:rPr>
        <w:t>图 2  固定测试输入（SHA-256 见 manifest.corrected.json）</w:t>
      </w:r>
    </w:p>
    <w:p>
      <w:pPr>
        <w:pStyle w:val="Heading1"/>
        <w:pageBreakBefore/>
      </w:pPr>
      <w:r>
        <w:t>5. DEF-PERF-001  视觉 KV 压缩原型未达到 1.2× 解码加速门槛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状态 / 严重级别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未修复 / 中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发现版本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源代码 0bd7e93；分析口径 65d3ea6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运行环境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NVIDIA GeForce RTX 4090；PyTorch 2.4.1+cu121；Transformers 4.36.2；4-bit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缺陷现象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两条性能用例的质量保持率均为 1.0，KV 减少约 72%–73%，显存峰值下降约 7.6%–8.7%，但按生成 tokens/s 计算的解码倍率只有 0.928×和 0.948×。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期望结果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解码倍率 ≥1.2×，质量保持率 ≥0.95，KV 减少 ≥30%。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实际结果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M2-PER-201=0.928×；M2-PER-202=0.948×。仅加速门槛失败。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修复/处置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根因尚未证实。可能因素包括 Python hook/选择开销及当前原型缺少论文完整解码机制；必须经过剖析后才能确认，不能把假设写成结论。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回归验证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当前回归状态：两条性能用例均为 NG。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证据定位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summary/summary.corrected.json；manifest.corrected.json</w:t>
            </w:r>
          </w:p>
        </w:tc>
      </w:tr>
    </w:tbl>
    <w:p>
      <w:pPr>
        <w:spacing w:after="0"/>
      </w:pPr>
    </w:p>
    <w:p>
      <w:pPr>
        <w:pStyle w:val="Heading2"/>
      </w:pPr>
      <w:r>
        <w:t>复现步骤</w:t>
      </w:r>
    </w:p>
    <w:p>
      <w:pPr>
        <w:ind w:left="227"/>
      </w:pPr>
      <w:r>
        <w:rPr>
          <w:b/>
        </w:rPr>
        <w:t xml:space="preserve">1. </w:t>
      </w:r>
      <w:r>
        <w:t>每种模式预热 2 次。</w:t>
      </w:r>
    </w:p>
    <w:p>
      <w:pPr>
        <w:ind w:left="227"/>
      </w:pPr>
      <w:r>
        <w:rPr>
          <w:b/>
        </w:rPr>
        <w:t xml:space="preserve">2. </w:t>
      </w:r>
      <w:r>
        <w:t>每条用例正式测量 5 次。</w:t>
      </w:r>
    </w:p>
    <w:p>
      <w:pPr>
        <w:ind w:left="227"/>
      </w:pPr>
      <w:r>
        <w:rPr>
          <w:b/>
        </w:rPr>
        <w:t xml:space="preserve">3. </w:t>
      </w:r>
      <w:r>
        <w:t>统计生成 token 数、端到端时长、中位 tokens/s、显存和 KV 估算。</w:t>
      </w:r>
    </w:p>
    <w:p>
      <w:pPr>
        <w:ind w:left="227"/>
      </w:pPr>
      <w:r>
        <w:rPr>
          <w:b/>
        </w:rPr>
        <w:t xml:space="preserve">4. </w:t>
      </w:r>
      <w:r>
        <w:t>以 MMSep 中位 tokens/s / Baseline 中位 tokens/s 判定。</w:t>
      </w:r>
    </w:p>
    <w:p>
      <w:pPr>
        <w:pStyle w:val="Heading1"/>
        <w:pageBreakBefore/>
      </w:pPr>
      <w:r>
        <w:t>6. DEF-FW-001  性能汇总曾用总时延比较不同输出长度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7324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状态 / 严重级别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已修复 / 中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发现版本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源代码 0bd7e93；分析口径 65d3ea6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运行环境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NVIDIA GeForce RTX 4090；PyTorch 2.4.1+cu121；Transformers 4.36.2；4-bit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缺陷现象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原汇总用 Baseline 总时延 / MMSep 总时延表示加速。当两个模式生成 token 数不同时，该口径会把输出长度差异误当作速度差异。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期望结果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解码性能按 generated_tokens / seconds 归一化，再比较中位 tokens/s。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实际结果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旧口径可能显示 1.020×总时延优势；新口径为 0.948×吞吐倍率。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修复/处置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提交 65d3ea6 修改 runner 与汇总脚本，新增 tokens/s 统计及单元测试，并保留原始 summary.json 作为审计证据。</w:t>
            </w:r>
          </w:p>
        </w:tc>
      </w:tr>
      <w:tr>
        <w:tc>
          <w:tcPr>
            <w:tcW w:type="dxa" w:w="1757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回归验证</w:t>
            </w:r>
          </w:p>
        </w:tc>
        <w:tc>
          <w:tcPr>
            <w:tcW w:type="dxa" w:w="7200"/>
            <w:vAlign w:val="center"/>
            <w:shd w:fill="F2F4F5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已通过单元测试；由同一不可变 raw/results.jsonl 生成 summary.corrected.json；manifest.corrected.json 保存新哈希。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证据定位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color="CAD3D8"/>
              <w:left w:val="single" w:sz="6" w:color="CAD3D8"/>
              <w:bottom w:val="single" w:sz="6" w:color="CAD3D8"/>
              <w:right w:val="single" w:sz="6" w:color="CAD3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微软雅黑"/>
                <w:b w:val="0"/>
                <w:color w:val="17324D"/>
                <w:sz w:val="18"/>
              </w:rPr>
              <w:t>Git commit 65d3ea6；scripts/rebuild_module2_summary.py；summary/summary.corrected.json</w:t>
            </w:r>
          </w:p>
        </w:tc>
      </w:tr>
    </w:tbl>
    <w:p>
      <w:pPr>
        <w:spacing w:after="0"/>
      </w:pPr>
    </w:p>
    <w:p>
      <w:pPr>
        <w:pStyle w:val="Heading2"/>
      </w:pPr>
      <w:r>
        <w:t>复现步骤</w:t>
      </w:r>
    </w:p>
    <w:p>
      <w:pPr>
        <w:ind w:left="227"/>
      </w:pPr>
      <w:r>
        <w:rPr>
          <w:b/>
        </w:rPr>
        <w:t xml:space="preserve">1. </w:t>
      </w:r>
      <w:r>
        <w:t>检查原 summary.json 中的 latency ratio。</w:t>
      </w:r>
    </w:p>
    <w:p>
      <w:pPr>
        <w:ind w:left="227"/>
      </w:pPr>
      <w:r>
        <w:rPr>
          <w:b/>
        </w:rPr>
        <w:t xml:space="preserve">2. </w:t>
      </w:r>
      <w:r>
        <w:t>对照 raw/results.jsonl 中 generated_tokens 与 duration_ms。</w:t>
      </w:r>
    </w:p>
    <w:p>
      <w:pPr>
        <w:ind w:left="227"/>
      </w:pPr>
      <w:r>
        <w:rPr>
          <w:b/>
        </w:rPr>
        <w:t xml:space="preserve">3. </w:t>
      </w:r>
      <w:r>
        <w:t>确认两个模式输出长度不同。</w:t>
      </w:r>
    </w:p>
    <w:p>
      <w:pPr>
        <w:ind w:left="227"/>
      </w:pPr>
      <w:r>
        <w:rPr>
          <w:b/>
        </w:rPr>
        <w:t xml:space="preserve">4. </w:t>
      </w:r>
      <w:r>
        <w:t>运行 rebuild_module2_summary.py 重建摘要。</w:t>
      </w:r>
    </w:p>
    <w:p>
      <w:pPr>
        <w:pStyle w:val="Heading1"/>
        <w:pageBreakBefore/>
      </w:pPr>
      <w:r>
        <w:t>7. 回归与关闭准则</w:t>
      </w:r>
    </w:p>
    <w:p>
      <w:pPr>
        <w:pStyle w:val="ListBullet"/>
        <w:spacing w:after="60"/>
      </w:pPr>
      <w:r>
        <w:t>DEF-AI-001/002：模型、提示模板或图像处理器变更后，原始用例及参数化扩展集全部通过，且不损害安全/公平性用例，方可关闭。</w:t>
      </w:r>
    </w:p>
    <w:p>
      <w:pPr>
        <w:pStyle w:val="ListBullet"/>
        <w:spacing w:after="60"/>
      </w:pPr>
      <w:r>
        <w:t>DEF-PERF-001：同一硬件与精度下重复正式性能流程，两个场景均达到 ≥1.2×，同时质量保持率 ≥0.95、KV 减少 ≥30%，方可关闭。</w:t>
      </w:r>
    </w:p>
    <w:p>
      <w:pPr>
        <w:pStyle w:val="ListBullet"/>
        <w:spacing w:after="60"/>
      </w:pPr>
      <w:r>
        <w:t>DEF-FW-001：任何性能报告必须同时保存 generated_tokens、duration_ms、tokens/s 与摘要脚本版本；旧 summary.json 不再作为结论依据。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c>
          <w:tcPr>
            <w:tcW w:type="dxa" w:w="4986"/>
            <w:shd w:fill="2E7D5B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4986"/>
            <w:shd w:fill="E8EFF5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/>
            <w:r>
              <w:rPr>
                <w:b/>
                <w:color w:val="2E7D5B"/>
                <w:sz w:val="22"/>
              </w:rPr>
              <w:t>审计提示</w:t>
              <w:br/>
            </w:r>
            <w:r>
              <w:rPr>
                <w:color w:val="17324D"/>
                <w:sz w:val="19"/>
              </w:rPr>
              <w:t>本文档没有把未修复的模型能力问题写成已关闭，也没有把可能根因写成已证实根因。所有结论均可回溯到本地交付件。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微软雅黑"/>
        <w:color w:val="5C667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微软雅黑"/>
        <w:color w:val="5C66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5C6670"/>
        <w:sz w:val="16"/>
      </w:rPr>
      <w:t>软件质量与测试 · 模块二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微软雅黑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6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微软雅黑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