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AU"/>
          <w14:ligatures w14:val="standardContextual"/>
        </w:rPr>
        <w:id w:val="-2069485959"/>
        <w:docPartObj>
          <w:docPartGallery w:val="Cover Pages"/>
          <w:docPartUnique/>
        </w:docPartObj>
      </w:sdtPr>
      <w:sdtEndPr>
        <w:rPr>
          <w:color w:val="auto"/>
        </w:rPr>
      </w:sdtEndPr>
      <w:sdtContent>
        <w:p w14:paraId="614AAD5B" w14:textId="459A0F8D" w:rsidR="00D248DD" w:rsidRDefault="00D248DD">
          <w:pPr>
            <w:pStyle w:val="NoSpacing"/>
            <w:spacing w:before="1540" w:after="240"/>
            <w:jc w:val="center"/>
            <w:rPr>
              <w:color w:val="156082" w:themeColor="accent1"/>
            </w:rPr>
          </w:pPr>
          <w:r>
            <w:rPr>
              <w:noProof/>
              <w:color w:val="156082" w:themeColor="accent1"/>
            </w:rPr>
            <w:drawing>
              <wp:inline distT="0" distB="0" distL="0" distR="0" wp14:anchorId="7E8189C5" wp14:editId="4A8F582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2A9FB65156445D681A6B33AD16F21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E96DCE" w14:textId="45397FA8" w:rsidR="00D248DD" w:rsidRDefault="002F36B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The Australian Constitution, </w:t>
              </w:r>
              <w:r w:rsidR="001E72E0">
                <w:rPr>
                  <w:rFonts w:asciiTheme="majorHAnsi" w:eastAsiaTheme="majorEastAsia" w:hAnsiTheme="majorHAnsi" w:cstheme="majorBidi"/>
                  <w:caps/>
                  <w:color w:val="156082" w:themeColor="accent1"/>
                  <w:sz w:val="72"/>
                  <w:szCs w:val="72"/>
                </w:rPr>
                <w:t>In Defence of National Values</w:t>
              </w:r>
            </w:p>
          </w:sdtContent>
        </w:sdt>
        <w:sdt>
          <w:sdtPr>
            <w:rPr>
              <w:color w:val="156082" w:themeColor="accent1"/>
              <w:sz w:val="28"/>
              <w:szCs w:val="28"/>
            </w:rPr>
            <w:alias w:val="Subtitle"/>
            <w:tag w:val=""/>
            <w:id w:val="328029620"/>
            <w:placeholder>
              <w:docPart w:val="A7C562DBA76B4662A8B3BD6C5339F23A"/>
            </w:placeholder>
            <w:dataBinding w:prefixMappings="xmlns:ns0='http://purl.org/dc/elements/1.1/' xmlns:ns1='http://schemas.openxmlformats.org/package/2006/metadata/core-properties' " w:xpath="/ns1:coreProperties[1]/ns0:subject[1]" w:storeItemID="{6C3C8BC8-F283-45AE-878A-BAB7291924A1}"/>
            <w:text/>
          </w:sdtPr>
          <w:sdtContent>
            <w:p w14:paraId="7E2620F8" w14:textId="0A4B79CF" w:rsidR="00D248DD" w:rsidRDefault="00D248DD">
              <w:pPr>
                <w:pStyle w:val="NoSpacing"/>
                <w:jc w:val="center"/>
                <w:rPr>
                  <w:color w:val="156082" w:themeColor="accent1"/>
                  <w:sz w:val="28"/>
                  <w:szCs w:val="28"/>
                </w:rPr>
              </w:pPr>
              <w:r>
                <w:rPr>
                  <w:color w:val="156082" w:themeColor="accent1"/>
                  <w:sz w:val="28"/>
                  <w:szCs w:val="28"/>
                </w:rPr>
                <w:t>Jared Tucker – S46267454                                                                                                          POLS1101 Minor Essay</w:t>
              </w:r>
            </w:p>
          </w:sdtContent>
        </w:sdt>
        <w:p w14:paraId="17CBBF96" w14:textId="77777777" w:rsidR="00D248DD" w:rsidRDefault="00D248D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836C23C" wp14:editId="67C67CB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14T00:00:00Z">
                                    <w:dateFormat w:val="MMMM d, yyyy"/>
                                    <w:lid w:val="en-US"/>
                                    <w:storeMappedDataAs w:val="dateTime"/>
                                    <w:calendar w:val="gregorian"/>
                                  </w:date>
                                </w:sdtPr>
                                <w:sdtContent>
                                  <w:p w14:paraId="44128A14" w14:textId="10AC5209" w:rsidR="00D248DD" w:rsidRDefault="00D248DD">
                                    <w:pPr>
                                      <w:pStyle w:val="NoSpacing"/>
                                      <w:spacing w:after="40"/>
                                      <w:jc w:val="center"/>
                                      <w:rPr>
                                        <w:caps/>
                                        <w:color w:val="156082" w:themeColor="accent1"/>
                                        <w:sz w:val="28"/>
                                        <w:szCs w:val="28"/>
                                      </w:rPr>
                                    </w:pPr>
                                    <w:r>
                                      <w:rPr>
                                        <w:caps/>
                                        <w:color w:val="156082" w:themeColor="accent1"/>
                                        <w:sz w:val="28"/>
                                        <w:szCs w:val="28"/>
                                      </w:rPr>
                                      <w:t>August 14, 2024</w:t>
                                    </w:r>
                                  </w:p>
                                </w:sdtContent>
                              </w:sdt>
                              <w:p w14:paraId="1647FBEF" w14:textId="601A36D9" w:rsidR="00D248D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248DD">
                                      <w:rPr>
                                        <w:caps/>
                                        <w:color w:val="156082" w:themeColor="accent1"/>
                                      </w:rPr>
                                      <w:t>The University of Queensland</w:t>
                                    </w:r>
                                  </w:sdtContent>
                                </w:sdt>
                              </w:p>
                              <w:p w14:paraId="6298AB0E" w14:textId="46B2B3C9" w:rsidR="00D248D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248DD">
                                      <w:rPr>
                                        <w:color w:val="156082" w:themeColor="accent1"/>
                                      </w:rPr>
                                      <w:t>St Lucia, QLD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36C23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14T00:00:00Z">
                              <w:dateFormat w:val="MMMM d, yyyy"/>
                              <w:lid w:val="en-US"/>
                              <w:storeMappedDataAs w:val="dateTime"/>
                              <w:calendar w:val="gregorian"/>
                            </w:date>
                          </w:sdtPr>
                          <w:sdtContent>
                            <w:p w14:paraId="44128A14" w14:textId="10AC5209" w:rsidR="00D248DD" w:rsidRDefault="00D248DD">
                              <w:pPr>
                                <w:pStyle w:val="NoSpacing"/>
                                <w:spacing w:after="40"/>
                                <w:jc w:val="center"/>
                                <w:rPr>
                                  <w:caps/>
                                  <w:color w:val="156082" w:themeColor="accent1"/>
                                  <w:sz w:val="28"/>
                                  <w:szCs w:val="28"/>
                                </w:rPr>
                              </w:pPr>
                              <w:r>
                                <w:rPr>
                                  <w:caps/>
                                  <w:color w:val="156082" w:themeColor="accent1"/>
                                  <w:sz w:val="28"/>
                                  <w:szCs w:val="28"/>
                                </w:rPr>
                                <w:t>August 14, 2024</w:t>
                              </w:r>
                            </w:p>
                          </w:sdtContent>
                        </w:sdt>
                        <w:p w14:paraId="1647FBEF" w14:textId="601A36D9" w:rsidR="00D248D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248DD">
                                <w:rPr>
                                  <w:caps/>
                                  <w:color w:val="156082" w:themeColor="accent1"/>
                                </w:rPr>
                                <w:t>The University of Queensland</w:t>
                              </w:r>
                            </w:sdtContent>
                          </w:sdt>
                        </w:p>
                        <w:p w14:paraId="6298AB0E" w14:textId="46B2B3C9" w:rsidR="00D248D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248DD">
                                <w:rPr>
                                  <w:color w:val="156082" w:themeColor="accent1"/>
                                </w:rPr>
                                <w:t>St Lucia, QLD</w:t>
                              </w:r>
                            </w:sdtContent>
                          </w:sdt>
                        </w:p>
                      </w:txbxContent>
                    </v:textbox>
                    <w10:wrap anchorx="margin" anchory="page"/>
                  </v:shape>
                </w:pict>
              </mc:Fallback>
            </mc:AlternateContent>
          </w:r>
          <w:r>
            <w:rPr>
              <w:noProof/>
              <w:color w:val="156082" w:themeColor="accent1"/>
            </w:rPr>
            <w:drawing>
              <wp:inline distT="0" distB="0" distL="0" distR="0" wp14:anchorId="44AB81AD" wp14:editId="029A93B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39474" w14:textId="5244F41D" w:rsidR="00D248DD" w:rsidRDefault="00D248DD">
          <w:r>
            <w:br w:type="page"/>
          </w:r>
        </w:p>
      </w:sdtContent>
    </w:sdt>
    <w:p w14:paraId="36FD9586" w14:textId="3668C5A6" w:rsidR="000226ED" w:rsidRDefault="00095DF1">
      <w:r>
        <w:lastRenderedPageBreak/>
        <w:t xml:space="preserve">It has been said that Australia’s Constitution is too difficult to change, with an overwhelming </w:t>
      </w:r>
      <w:r w:rsidR="002F36B2">
        <w:t>37</w:t>
      </w:r>
      <w:r>
        <w:t xml:space="preserve"> </w:t>
      </w:r>
      <w:r w:rsidR="002F36B2">
        <w:t xml:space="preserve">of 45 </w:t>
      </w:r>
      <w:r>
        <w:t>amendments being defeated at referendum</w:t>
      </w:r>
      <w:r w:rsidR="004136E5">
        <w:t xml:space="preserve"> </w:t>
      </w:r>
      <w:r w:rsidR="004136E5">
        <w:fldChar w:fldCharType="begin"/>
      </w:r>
      <w:r w:rsidR="008B4C82">
        <w:instrText xml:space="preserve"> ADDIN ZOTERO_ITEM CSL_CITATION {"citationID":"mmcEMO8f","properties":{"formattedCitation":"(Australian Electoral Commission, 2023)","plainCitation":"(Australian Electoral Commission, 2023)","noteIndex":0},"citationItems":[{"id":32,"uris":["http://zotero.org/users/local/P52WLuzr/items/BZX3JGTH"],"itemData":{"id":32,"type":"webpage","abstract":"Listing of referendum dates and results from 1906 to the present","language":"en-AU","note":"Last Modified: 2012-10-24","title":"Referendum Dates and Results","URL":"https://www.aec.gov.au/Elections/referendums/Referendum_Dates_and_Results.htm","author":[{"family":"Australian Electoral Commission","given":""}],"accessed":{"date-parts":[["2024",8,23]]},"issued":{"date-parts":[["2023",11,7]]}}}],"schema":"https://github.com/citation-style-language/schema/raw/master/csl-citation.json"} </w:instrText>
      </w:r>
      <w:r w:rsidR="004136E5">
        <w:fldChar w:fldCharType="separate"/>
      </w:r>
      <w:r w:rsidR="004136E5" w:rsidRPr="004136E5">
        <w:rPr>
          <w:rFonts w:ascii="Aptos" w:hAnsi="Aptos"/>
        </w:rPr>
        <w:t>(Australian Electoral Commission, 2023)</w:t>
      </w:r>
      <w:r w:rsidR="004136E5">
        <w:fldChar w:fldCharType="end"/>
      </w:r>
      <w:r w:rsidR="008B4C82">
        <w:t>.</w:t>
      </w:r>
      <w:r w:rsidR="004837E6">
        <w:t xml:space="preserve"> A constitution can be described as “</w:t>
      </w:r>
      <w:r w:rsidR="004837E6" w:rsidRPr="004837E6">
        <w:t>a set of written provisions (norms), enacted by political actor(s), that mostly define the fabric/structure of the governmental machine</w:t>
      </w:r>
      <w:r w:rsidR="004837E6">
        <w:t xml:space="preserve">” </w:t>
      </w:r>
      <w:r w:rsidR="004837E6">
        <w:fldChar w:fldCharType="begin"/>
      </w:r>
      <w:r w:rsidR="0038314E">
        <w:instrText xml:space="preserve"> ADDIN ZOTERO_ITEM CSL_CITATION {"citationID":"j5z6hCNA","properties":{"formattedCitation":"(Pasquino, 2015)","plainCitation":"(Pasquino, 2015)","dontUpdate":true,"noteIndex":0},"citationItems":[{"id":23,"uris":["http://zotero.org/users/local/P52WLuzr/items/7HKKITHH"],"itemData":{"id":23,"type":"chapter","container-title":"Rationality, Democracy, and Justice","edition":"1","ISBN":"978-1-107-58816-5","language":"en","note":"DOI: 10.1017/CBO9781107588165.009","page":"85-96","publisher":"Cambridge University Press","source":"DOI.org (Crossref)","title":"Flexible and Rigid Constitutions: A Post-Kelsenian Typology of Constitutional Systems","title-short":"Flexible and Rigid Constitutions","URL":"https://www.cambridge.org/core/product/identifier/9781107588165%23c06523-495/type/book_part","editor":[{"family":"López-Guerra","given":"Claudio"},{"family":"Maskivker","given":"Julia"}],"author":[{"family":"Pasquino","given":"Pasquale"}],"accessed":{"date-parts":[["2024",8,16]]},"issued":{"date-parts":[["2015",2,5]]}}}],"schema":"https://github.com/citation-style-language/schema/raw/master/csl-citation.json"} </w:instrText>
      </w:r>
      <w:r w:rsidR="004837E6">
        <w:fldChar w:fldCharType="separate"/>
      </w:r>
      <w:r w:rsidR="004837E6" w:rsidRPr="004837E6">
        <w:rPr>
          <w:rFonts w:ascii="Aptos" w:hAnsi="Aptos"/>
        </w:rPr>
        <w:t>(Pasquino, 2015</w:t>
      </w:r>
      <w:r w:rsidR="004837E6">
        <w:rPr>
          <w:rFonts w:ascii="Aptos" w:hAnsi="Aptos"/>
        </w:rPr>
        <w:t>, p. 85</w:t>
      </w:r>
      <w:r w:rsidR="004837E6" w:rsidRPr="004837E6">
        <w:rPr>
          <w:rFonts w:ascii="Aptos" w:hAnsi="Aptos"/>
        </w:rPr>
        <w:t>)</w:t>
      </w:r>
      <w:r w:rsidR="004837E6">
        <w:fldChar w:fldCharType="end"/>
      </w:r>
      <w:r w:rsidR="004837E6">
        <w:t>.</w:t>
      </w:r>
      <w:r w:rsidR="008B4C82">
        <w:t xml:space="preserve"> </w:t>
      </w:r>
      <w:r w:rsidR="000226ED">
        <w:t>The Australian Constitution</w:t>
      </w:r>
      <w:r w:rsidR="0085678D">
        <w:t xml:space="preserve"> is a document that</w:t>
      </w:r>
      <w:r w:rsidR="000226ED">
        <w:t xml:space="preserve"> sets out the rules governing Australia and describes the structure, role, and powers of the Australian Parliament</w:t>
      </w:r>
      <w:r>
        <w:t>.</w:t>
      </w:r>
      <w:r w:rsidR="009F4D65">
        <w:t xml:space="preserve"> Additionally, the roles of the executive government and High Court of Australia are detailed </w:t>
      </w:r>
      <w:r w:rsidR="008B4C82">
        <w:fldChar w:fldCharType="begin"/>
      </w:r>
      <w:r w:rsidR="008B4C82">
        <w:instrText xml:space="preserve"> ADDIN ZOTERO_ITEM CSL_CITATION {"citationID":"b638g35J","properties":{"formattedCitation":"(Parliamentary Education Office, 2024)","plainCitation":"(Parliamentary Education Office, 2024)","noteIndex":0},"citationItems":[{"id":15,"uris":["http://zotero.org/users/local/P52WLuzr/items/DMMVN9Q8"],"itemData":{"id":15,"type":"webpage","abstract":"This fact sheet explores the Australian Constitution. It includes information about the key features of the Constitution and how it can be changed.","language":"en","title":"Australian Constitution","URL":"https://peo.gov.au/understand-our-parliament/how-parliament-works/the-australian-constitution/australian-constitution","author":[{"family":"Parliamentary Education Office","given":""}],"accessed":{"date-parts":[["2024",8,14]]},"issued":{"date-parts":[["2024",7,19]]}}}],"schema":"https://github.com/citation-style-language/schema/raw/master/csl-citation.json"} </w:instrText>
      </w:r>
      <w:r w:rsidR="008B4C82">
        <w:fldChar w:fldCharType="separate"/>
      </w:r>
      <w:r w:rsidR="008B4C82" w:rsidRPr="008B4C82">
        <w:rPr>
          <w:rFonts w:ascii="Aptos" w:hAnsi="Aptos"/>
        </w:rPr>
        <w:t>(Parliamentary Education Office, 2024)</w:t>
      </w:r>
      <w:r w:rsidR="008B4C82">
        <w:fldChar w:fldCharType="end"/>
      </w:r>
      <w:r w:rsidR="009F4D65">
        <w:t>.</w:t>
      </w:r>
      <w:r>
        <w:t xml:space="preserve"> I propose instead that the Constitution’s rigidity is its greatest strength, and the reason that it as endured for over 120 years. In support of this position, I shall use the following three </w:t>
      </w:r>
      <w:r w:rsidRPr="004136E5">
        <w:t xml:space="preserve">points. First, </w:t>
      </w:r>
      <w:r w:rsidR="00D82387" w:rsidRPr="004136E5">
        <w:t>a discussion of the merits</w:t>
      </w:r>
      <w:r w:rsidRPr="004136E5">
        <w:t xml:space="preserve"> of rigid constitutions in their provision of national stability. Second, the mechanisms of constitutional change will be examined</w:t>
      </w:r>
      <w:r w:rsidR="00A85B99" w:rsidRPr="004136E5">
        <w:t>. Highlighting the importance of the Australian referendum system as a vessel of direct democracy. Finally, I will argue that</w:t>
      </w:r>
      <w:r w:rsidR="00172CA9" w:rsidRPr="004136E5">
        <w:t xml:space="preserve"> Australia’s constitutional change is on par with similar nations</w:t>
      </w:r>
      <w:r w:rsidR="0056310C" w:rsidRPr="004136E5">
        <w:t>,</w:t>
      </w:r>
      <w:r w:rsidR="00172CA9" w:rsidRPr="004136E5">
        <w:t xml:space="preserve"> despite partisan manipulation.</w:t>
      </w:r>
    </w:p>
    <w:p w14:paraId="5A00D2B0" w14:textId="571FA1A0" w:rsidR="0075422E" w:rsidRDefault="00CD1510">
      <w:r>
        <w:t xml:space="preserve">In the same year as the Australian Constitution was penned </w:t>
      </w:r>
      <w:r w:rsidRPr="00F03301">
        <w:t xml:space="preserve">(1901) James Bryce published </w:t>
      </w:r>
      <w:r w:rsidRPr="00F03301">
        <w:rPr>
          <w:i/>
          <w:iCs/>
        </w:rPr>
        <w:t>Studies in History and Jurisprudence</w:t>
      </w:r>
      <w:r w:rsidRPr="00F03301">
        <w:t>.</w:t>
      </w:r>
      <w:r>
        <w:t xml:space="preserve"> The third essay of the book is dedicated to discussions on flexible and rigid constitutions, </w:t>
      </w:r>
      <w:r w:rsidR="00CE050C">
        <w:t>providing</w:t>
      </w:r>
      <w:r w:rsidR="00AE5DEC">
        <w:t xml:space="preserve"> a period correct insight into the merits of a rigid constitution</w:t>
      </w:r>
      <w:r w:rsidR="00432A8E">
        <w:t xml:space="preserve">. Bryce states that stability of a constitution is desirable because it inspires a sense of security in the minds of citizens and encourages order and industry. Further, Bryce </w:t>
      </w:r>
      <w:r w:rsidR="00CB689E">
        <w:t xml:space="preserve">outlines several advantages of rigid constitutions. The first being that they are less susceptible to vagueness and provide guidance in dealing with discrepancies between laws and traditions. They are also difficult to undermine, as a change in a rigid constitution rarely goes unnoticed; and defenders can quickly rally </w:t>
      </w:r>
      <w:r w:rsidR="00AE51EE">
        <w:t xml:space="preserve">in opposition. Finally, </w:t>
      </w:r>
      <w:r w:rsidR="00BE1A17">
        <w:t>when an amendment process consists of delays and formalities it allows time for fuller discussions to be held. This is likely to uncover objections on the matter at a deeper level, allowing people to reconsider their position while a notion is still easily defeated. For these reasons a rigid constitution provides elements of stability to a nation.</w:t>
      </w:r>
      <w:r w:rsidR="00FB4776">
        <w:t xml:space="preserve"> There are also downsides, notably the inability to stretch to meet a passing emergency before resuming its prior shape</w:t>
      </w:r>
      <w:r w:rsidR="00F03301">
        <w:t xml:space="preserve"> </w:t>
      </w:r>
      <w:r w:rsidR="00F03301">
        <w:fldChar w:fldCharType="begin"/>
      </w:r>
      <w:r w:rsidR="00F03301">
        <w:instrText xml:space="preserve"> ADDIN ZOTERO_ITEM CSL_CITATION {"citationID":"71BO8zju","properties":{"formattedCitation":"(Bryce, 1901)","plainCitation":"(Bryce, 1901)","noteIndex":0},"citationItems":[{"id":20,"uris":["http://zotero.org/users/local/P52WLuzr/items/GD9G6R43"],"itemData":{"id":20,"type":"book","abstract":"Vol. 1 of a two volume collection of Bryce’s essays and articles on the Roman and British Empires, constitutional history and theory, obedience, sovereignty, the law of nature , and legal history.","event-place":"New York","number-of-volumes":"2","publisher":"Oxford University Press","publisher-place":"New York","title":"Studies in History and Jurisprudence","URL":"https://oll.libertyfund.org/titles/bryce-studies-in-history-and-jurisprudence-vol-1","volume":"1","author":[{"family":"Bryce","given":"James"}],"accessed":{"date-parts":[["2024",8,16]]},"issued":{"date-parts":[["1901"]]}}}],"schema":"https://github.com/citation-style-language/schema/raw/master/csl-citation.json"} </w:instrText>
      </w:r>
      <w:r w:rsidR="00F03301">
        <w:fldChar w:fldCharType="separate"/>
      </w:r>
      <w:r w:rsidR="00F03301" w:rsidRPr="00F03301">
        <w:rPr>
          <w:rFonts w:ascii="Aptos" w:hAnsi="Aptos"/>
        </w:rPr>
        <w:t>(Bryce, 1901)</w:t>
      </w:r>
      <w:r w:rsidR="00F03301">
        <w:fldChar w:fldCharType="end"/>
      </w:r>
      <w:r w:rsidR="00FB4776">
        <w:t xml:space="preserve">. </w:t>
      </w:r>
      <w:r w:rsidR="00FB4776" w:rsidRPr="00242B20">
        <w:t>Additionally</w:t>
      </w:r>
      <w:r w:rsidR="000415C3" w:rsidRPr="00242B20">
        <w:t>,</w:t>
      </w:r>
      <w:r w:rsidR="00FB4776" w:rsidRPr="00242B20">
        <w:t xml:space="preserve"> </w:t>
      </w:r>
      <w:r w:rsidR="000415C3" w:rsidRPr="00242B20">
        <w:t>if a constitution is too difficult to change then it may not be able to respond to changing national values and incorporate changes in keeping with the times</w:t>
      </w:r>
      <w:r w:rsidR="00242B20">
        <w:t xml:space="preserve"> </w:t>
      </w:r>
      <w:r w:rsidR="00242B20">
        <w:fldChar w:fldCharType="begin"/>
      </w:r>
      <w:r w:rsidR="00242B20">
        <w:instrText xml:space="preserve"> ADDIN ZOTERO_ITEM CSL_CITATION {"citationID":"iclH9Cd4","properties":{"formattedCitation":"(Centre for Constitutional Studies, n.d.)","plainCitation":"(Centre for Constitutional Studies, n.d.)","noteIndex":0},"citationItems":[{"id":26,"uris":["http://zotero.org/users/local/P52WLuzr/items/UR9HPLKJ"],"itemData":{"id":26,"type":"webpage","title":"Key Term: Amending Formula","URL":"https://www.constitutionalstudies.ca/ccs-term/amending-formula/?print=print-search","author":[{"family":"Centre for Constitutional Studies","given":""}],"accessed":{"date-parts":[["2024",8,17]]}}}],"schema":"https://github.com/citation-style-language/schema/raw/master/csl-citation.json"} </w:instrText>
      </w:r>
      <w:r w:rsidR="00242B20">
        <w:fldChar w:fldCharType="separate"/>
      </w:r>
      <w:r w:rsidR="00242B20" w:rsidRPr="00242B20">
        <w:rPr>
          <w:rFonts w:ascii="Aptos" w:hAnsi="Aptos"/>
        </w:rPr>
        <w:t>(Centre for Constitutional Studies, n.d.)</w:t>
      </w:r>
      <w:r w:rsidR="00242B20">
        <w:fldChar w:fldCharType="end"/>
      </w:r>
      <w:r w:rsidR="000415C3">
        <w:t>.</w:t>
      </w:r>
      <w:r w:rsidR="00FB4776">
        <w:t xml:space="preserve"> It should be noted however that the benefits of a rigid constitution </w:t>
      </w:r>
      <w:r w:rsidR="000C2C57">
        <w:t xml:space="preserve">far </w:t>
      </w:r>
      <w:r w:rsidR="00FB4776">
        <w:t xml:space="preserve">outweigh its flaws, and the stability provided by such a constitution </w:t>
      </w:r>
      <w:r w:rsidR="000C2C57">
        <w:t>is evidenced by many nations around the world; whose constitutional amendment mechanisms shall be discussed in the following paragraph.</w:t>
      </w:r>
    </w:p>
    <w:p w14:paraId="4715F8B8" w14:textId="173D76D4" w:rsidR="00920CFD" w:rsidRDefault="00C05556">
      <w:r>
        <w:t xml:space="preserve">Australia’s Constitution has endured for over 120 years, a </w:t>
      </w:r>
      <w:r w:rsidR="004C7736">
        <w:t xml:space="preserve">testament to the vision of the framers in crafting a robust and relevant document. </w:t>
      </w:r>
      <w:r w:rsidR="00920CFD">
        <w:t>Although inspiration was drawn from</w:t>
      </w:r>
      <w:r w:rsidR="004C7736">
        <w:t xml:space="preserve"> the United States</w:t>
      </w:r>
      <w:r w:rsidR="00920CFD">
        <w:t xml:space="preserve">, Canada, and the United Kingdom there are some distinct differences adopted by Australia in </w:t>
      </w:r>
      <w:r w:rsidR="00C8430B">
        <w:t>ammending</w:t>
      </w:r>
      <w:r w:rsidR="00920CFD">
        <w:t xml:space="preserve"> our constitution.</w:t>
      </w:r>
      <w:r w:rsidR="008B5CDD">
        <w:t xml:space="preserve"> Chapter 8 of the Australian Constitution deals with alteration of the Constitution. Its only section is section 128 Mode of altering the Constitution. The mechanism of alteration is called a referendum.</w:t>
      </w:r>
      <w:r w:rsidR="00F77E91">
        <w:t xml:space="preserve"> </w:t>
      </w:r>
      <w:r w:rsidR="00F77E91" w:rsidRPr="00592463">
        <w:t>Before a referendum can take place both Houses of the Commonwealth Parliament must pass the proposed law containing the suggested amendment of the Constitution. Then a referendum is called whereby a majority of electors in a majority of states must be in favour of the</w:t>
      </w:r>
      <w:r w:rsidR="00F77E91">
        <w:t xml:space="preserve"> </w:t>
      </w:r>
      <w:r w:rsidR="00F77E91" w:rsidRPr="00F552E4">
        <w:t>change</w:t>
      </w:r>
      <w:r w:rsidR="00242B20" w:rsidRPr="00F552E4">
        <w:t xml:space="preserve"> </w:t>
      </w:r>
      <w:r w:rsidR="00242B20" w:rsidRPr="00F552E4">
        <w:fldChar w:fldCharType="begin"/>
      </w:r>
      <w:r w:rsidR="00592463" w:rsidRPr="00F552E4">
        <w:instrText xml:space="preserve"> ADDIN ZOTERO_ITEM CSL_CITATION {"citationID":"GcLaw84W","properties":{"formattedCitation":"(Australia\\uc0\\u8217{}s Constitution, 2022)","plainCitation":"(Australia’s Constitution, 2022)","noteIndex":0},"citationItems":[{"id":25,"uris":["http://zotero.org/users/local/P52WLuzr/items/YJ9SAPME"],"itemData":{"id":25,"type":"bill","language":"en","title":"Australia's Constitution","URL":"https://www.aph.gov.au/-/media/05_About_Parliament/52_Sen/523_PPP/2023_Australian_Constitution.pdf","author":[{"family":"Australian Government Solicitor","given":""},{"family":"Parliamentary Education Office","given":""}],"accessed":{"date-parts":[["2024",8,23]]},"issued":{"date-parts":[["2022"]]}}}],"schema":"https://github.com/citation-style-language/schema/raw/master/csl-citation.json"} </w:instrText>
      </w:r>
      <w:r w:rsidR="00242B20" w:rsidRPr="00F552E4">
        <w:fldChar w:fldCharType="separate"/>
      </w:r>
      <w:r w:rsidR="00592463" w:rsidRPr="00F552E4">
        <w:rPr>
          <w:rFonts w:ascii="Aptos" w:hAnsi="Aptos" w:cs="Times New Roman"/>
          <w:kern w:val="0"/>
        </w:rPr>
        <w:t>(Australia’s Constitution, 2022)</w:t>
      </w:r>
      <w:r w:rsidR="00242B20" w:rsidRPr="00F552E4">
        <w:fldChar w:fldCharType="end"/>
      </w:r>
      <w:r w:rsidR="00F77E91" w:rsidRPr="00F552E4">
        <w:t>, this is known as a double majority</w:t>
      </w:r>
      <w:r w:rsidR="00592463" w:rsidRPr="00F552E4">
        <w:t xml:space="preserve"> </w:t>
      </w:r>
      <w:r w:rsidR="00592463" w:rsidRPr="00F552E4">
        <w:fldChar w:fldCharType="begin"/>
      </w:r>
      <w:r w:rsidR="00592463" w:rsidRPr="00F552E4">
        <w:instrText xml:space="preserve"> ADDIN ZOTERO_ITEM CSL_CITATION {"citationID":"xNequNB6","properties":{"formattedCitation":"(Parliamentary Education Office, 2024)","plainCitation":"(Parliamentary Education Office, 2024)","noteIndex":0},"citationItems":[{"id":15,"uris":["http://zotero.org/users/local/P52WLuzr/items/DMMVN9Q8"],"itemData":{"id":15,"type":"webpage","abstract":"This fact sheet explores the Australian Constitution. It includes information about the key features of the Constitution and how it can be changed.","language":"en","title":"Australian Constitution","URL":"https://peo.gov.au/understand-our-parliament/how-parliament-works/the-australian-constitution/australian-constitution","author":[{"family":"Parliamentary Education Office","given":""}],"accessed":{"date-parts":[["2024",8,14]]},"issued":{"date-parts":[["2024",7,19]]}}}],"schema":"https://github.com/citation-style-language/schema/raw/master/csl-citation.json"} </w:instrText>
      </w:r>
      <w:r w:rsidR="00592463" w:rsidRPr="00F552E4">
        <w:fldChar w:fldCharType="separate"/>
      </w:r>
      <w:r w:rsidR="00592463" w:rsidRPr="00F552E4">
        <w:rPr>
          <w:rFonts w:ascii="Aptos" w:hAnsi="Aptos"/>
        </w:rPr>
        <w:t>(Parliamentary Education Office, 2024)</w:t>
      </w:r>
      <w:r w:rsidR="00592463" w:rsidRPr="00F552E4">
        <w:fldChar w:fldCharType="end"/>
      </w:r>
      <w:r w:rsidR="00F77E91" w:rsidRPr="00F552E4">
        <w:t>.</w:t>
      </w:r>
      <w:r w:rsidR="001E43EC" w:rsidRPr="00F552E4">
        <w:t xml:space="preserve"> In the United States </w:t>
      </w:r>
      <w:r w:rsidR="000415C3" w:rsidRPr="00F552E4">
        <w:t>an amendment may be proposed by a two-thirds vote of both Houses of Congress, or, if two-thirds of the States request one, by a convention called for that purpose. The amendment must then be ratified by three-fourths of the State legislatures, or three-fourths of conventions called in each State for ratification</w:t>
      </w:r>
      <w:r w:rsidR="00592463" w:rsidRPr="00F552E4">
        <w:t xml:space="preserve"> </w:t>
      </w:r>
      <w:r w:rsidR="00F552E4" w:rsidRPr="00F552E4">
        <w:fldChar w:fldCharType="begin"/>
      </w:r>
      <w:r w:rsidR="00F552E4" w:rsidRPr="00F552E4">
        <w:instrText xml:space="preserve"> ADDIN ZOTERO_ITEM CSL_CITATION {"citationID":"PHBUarny","properties":{"formattedCitation":"(The White House, n.d.)","plainCitation":"(The White House, n.d.)","noteIndex":0},"citationItems":[{"id":17,"uris":["http://zotero.org/users/local/P52WLuzr/items/KYA2UQTZ"],"itemData":{"id":17,"type":"webpage","abstract":"Why a Constitution? The need for the Constitution grew out of problems with the Articles of Confederation, which established a “firm league of friendship”","title":"The Constitution","URL":"https://www.whitehouse.gov/about-the-white-house/our-government/the-constitution/","author":[{"family":"The White House","given":""}],"accessed":{"date-parts":[["2024",8,16]]}}}],"schema":"https://github.com/citation-style-language/schema/raw/master/csl-citation.json"} </w:instrText>
      </w:r>
      <w:r w:rsidR="00F552E4" w:rsidRPr="00F552E4">
        <w:fldChar w:fldCharType="separate"/>
      </w:r>
      <w:r w:rsidR="00F552E4" w:rsidRPr="00F552E4">
        <w:rPr>
          <w:rFonts w:ascii="Aptos" w:hAnsi="Aptos"/>
        </w:rPr>
        <w:t>(The White House, n.d.)</w:t>
      </w:r>
      <w:r w:rsidR="00F552E4" w:rsidRPr="00F552E4">
        <w:fldChar w:fldCharType="end"/>
      </w:r>
      <w:r w:rsidR="000415C3" w:rsidRPr="00F552E4">
        <w:t>.</w:t>
      </w:r>
      <w:r w:rsidR="002C06BE">
        <w:t xml:space="preserve"> Canada </w:t>
      </w:r>
      <w:r w:rsidR="00301786">
        <w:t xml:space="preserve">has the Amending Formula and </w:t>
      </w:r>
      <w:r w:rsidR="00A472DD" w:rsidRPr="00F552E4">
        <w:lastRenderedPageBreak/>
        <w:t>typically uses The General Procedure which states that the change needs to be approved by the House of Commons, the Senate, and a minimum number of provincial legislatures. At least 7 provinces must approve the change, representing 50% of the population; this is called the 7/50 rule.</w:t>
      </w:r>
      <w:r w:rsidR="00CA4489" w:rsidRPr="00F552E4">
        <w:t xml:space="preserve"> However,</w:t>
      </w:r>
      <w:r w:rsidR="00073E50" w:rsidRPr="00F552E4">
        <w:t xml:space="preserve"> for matters of increased importance</w:t>
      </w:r>
      <w:r w:rsidR="00B01907" w:rsidRPr="00F552E4">
        <w:t xml:space="preserve"> The Unanimity Procedure is used. Section 41 describes the types of changes that need to be agreed upon by the federal government and all the provincial governments</w:t>
      </w:r>
      <w:r w:rsidR="00F552E4" w:rsidRPr="00F552E4">
        <w:t xml:space="preserve"> </w:t>
      </w:r>
      <w:r w:rsidR="00F552E4" w:rsidRPr="00F552E4">
        <w:fldChar w:fldCharType="begin"/>
      </w:r>
      <w:r w:rsidR="00F552E4" w:rsidRPr="00F552E4">
        <w:instrText xml:space="preserve"> ADDIN ZOTERO_ITEM CSL_CITATION {"citationID":"scAm7V3t","properties":{"formattedCitation":"(Centre for Constitutional Studies, n.d.)","plainCitation":"(Centre for Constitutional Studies, n.d.)","noteIndex":0},"citationItems":[{"id":26,"uris":["http://zotero.org/users/local/P52WLuzr/items/UR9HPLKJ"],"itemData":{"id":26,"type":"webpage","title":"Key Term: Amending Formula","URL":"https://www.constitutionalstudies.ca/ccs-term/amending-formula/?print=print-search","author":[{"family":"Centre for Constitutional Studies","given":""}],"accessed":{"date-parts":[["2024",8,17]]}}}],"schema":"https://github.com/citation-style-language/schema/raw/master/csl-citation.json"} </w:instrText>
      </w:r>
      <w:r w:rsidR="00F552E4" w:rsidRPr="00F552E4">
        <w:fldChar w:fldCharType="separate"/>
      </w:r>
      <w:r w:rsidR="00F552E4" w:rsidRPr="00F552E4">
        <w:rPr>
          <w:rFonts w:ascii="Aptos" w:hAnsi="Aptos"/>
        </w:rPr>
        <w:t>(Centre for Constitutional Studies, n.d.)</w:t>
      </w:r>
      <w:r w:rsidR="00F552E4" w:rsidRPr="00F552E4">
        <w:fldChar w:fldCharType="end"/>
      </w:r>
      <w:r w:rsidR="00B01907" w:rsidRPr="00F552E4">
        <w:t>.</w:t>
      </w:r>
      <w:r w:rsidR="00B01907">
        <w:t xml:space="preserve">  The United Kingdom </w:t>
      </w:r>
      <w:r w:rsidR="00301786">
        <w:t xml:space="preserve">differs </w:t>
      </w:r>
      <w:r w:rsidR="00301786" w:rsidRPr="00F941F1">
        <w:t>in that it has no codified constitution. Instead, Acts of the UK Parliament, Conventions, Common law, and Authoritative works all contribute as sources of the constitution. Like any other legislation, a constitutional statute can be repealed or amended by a simple majority of votes in Parliament</w:t>
      </w:r>
      <w:r w:rsidR="00F552E4" w:rsidRPr="00F941F1">
        <w:t xml:space="preserve"> </w:t>
      </w:r>
      <w:r w:rsidR="00F941F1" w:rsidRPr="00F941F1">
        <w:fldChar w:fldCharType="begin"/>
      </w:r>
      <w:r w:rsidR="00F941F1" w:rsidRPr="00F941F1">
        <w:instrText xml:space="preserve"> ADDIN ZOTERO_ITEM CSL_CITATION {"citationID":"dVfPewHr","properties":{"formattedCitation":"(The Constitution Society, n.d.)","plainCitation":"(The Constitution Society, n.d.)","noteIndex":0},"citationItems":[{"id":28,"uris":["http://zotero.org/users/local/P52WLuzr/items/4DUV33WK"],"itemData":{"id":28,"type":"webpage","abstract":"A detailed explanation of the development of the UK's constitution: written by experts but easy to understand.","title":"The UK constitution","URL":"https://consoc.org.uk/the-constitution-explained/the-uk-constitution/","author":[{"family":"The Constitution Society","given":""}],"accessed":{"date-parts":[["2024",8,18]]}}}],"schema":"https://github.com/citation-style-language/schema/raw/master/csl-citation.json"} </w:instrText>
      </w:r>
      <w:r w:rsidR="00F941F1" w:rsidRPr="00F941F1">
        <w:fldChar w:fldCharType="separate"/>
      </w:r>
      <w:r w:rsidR="00F941F1" w:rsidRPr="00F941F1">
        <w:rPr>
          <w:rFonts w:ascii="Aptos" w:hAnsi="Aptos"/>
        </w:rPr>
        <w:t>(The Constitution Society, n.d.)</w:t>
      </w:r>
      <w:r w:rsidR="00F941F1" w:rsidRPr="00F941F1">
        <w:fldChar w:fldCharType="end"/>
      </w:r>
      <w:r w:rsidR="00301786" w:rsidRPr="00F941F1">
        <w:t>. In</w:t>
      </w:r>
      <w:r w:rsidR="00301786">
        <w:t xml:space="preserve"> terms of constitutional rigidity Australia is situated between Canada and the United States. Since a constitution describes the fundamental values of a nation it is important that a balance is struck between rigidity and flexibility. I believe that the Australian constitution has found this balance</w:t>
      </w:r>
      <w:r w:rsidR="00ED2E20">
        <w:t xml:space="preserve">, upholding </w:t>
      </w:r>
      <w:r w:rsidR="008910C7">
        <w:t>Australia’s fundamental</w:t>
      </w:r>
      <w:r w:rsidR="00ED2E20">
        <w:t xml:space="preserve"> values while allowing the will of the nation to be expressed through an instrument of direct democracy, the referendum.</w:t>
      </w:r>
    </w:p>
    <w:p w14:paraId="348E583F" w14:textId="21336873" w:rsidR="00D248DD" w:rsidRDefault="00172CA9">
      <w:r>
        <w:t>That is not to say that our constitutional amendment process is perfect</w:t>
      </w:r>
      <w:r w:rsidRPr="00F941F1">
        <w:t>.</w:t>
      </w:r>
      <w:r w:rsidR="00436B07" w:rsidRPr="00F941F1">
        <w:t xml:space="preserve"> The work of Richard Miles (2000) offers insight into why amendments fail in Australia</w:t>
      </w:r>
      <w:r w:rsidR="00F62E80" w:rsidRPr="00F941F1">
        <w:t xml:space="preserve">. He states that referendum failure is often a reflection of the kind of proposals that are put to vote. Since the political party in power has control over the initiation of referendums the campaigns are always subject to partisan politics at a federal level, </w:t>
      </w:r>
      <w:r w:rsidR="00FF4E52" w:rsidRPr="00F941F1">
        <w:t>with the goal of gaining</w:t>
      </w:r>
      <w:r w:rsidR="00F62E80" w:rsidRPr="00F941F1">
        <w:t xml:space="preserve"> political advantage.</w:t>
      </w:r>
      <w:r w:rsidR="00FF4E52" w:rsidRPr="00F941F1">
        <w:t xml:space="preserve"> In addition, this leads to proposals that </w:t>
      </w:r>
      <w:r w:rsidR="006135E8" w:rsidRPr="00F941F1">
        <w:t xml:space="preserve">tend to </w:t>
      </w:r>
      <w:r w:rsidR="00FF4E52" w:rsidRPr="00F941F1">
        <w:t xml:space="preserve">concentrate political power; </w:t>
      </w:r>
      <w:r w:rsidR="006135E8" w:rsidRPr="00F941F1">
        <w:t>which</w:t>
      </w:r>
      <w:r w:rsidR="00FF4E52" w:rsidRPr="00F941F1">
        <w:t xml:space="preserve"> are far more likely to fail at referendum than dispersive proposals. Miles states that the number of successful amendments is an irrelevant measure of the validity of the amendment process, and that in terms of the types of changes made we compare well to other countries. From </w:t>
      </w:r>
      <w:r w:rsidR="002F0C7D" w:rsidRPr="00F941F1">
        <w:t>this perspective we have produced constitutional amendment results that are comparable with the United States, New Zealand, and Canada.</w:t>
      </w:r>
      <w:r w:rsidR="00FF4E52" w:rsidRPr="00F941F1">
        <w:t xml:space="preserve"> </w:t>
      </w:r>
      <w:r w:rsidR="006135E8" w:rsidRPr="00F941F1">
        <w:t>He states that the referendum serves as an adequate measure to protect the Australian people from proposals that are unsound or unclear</w:t>
      </w:r>
      <w:r w:rsidR="00F941F1" w:rsidRPr="00F941F1">
        <w:t xml:space="preserve"> </w:t>
      </w:r>
      <w:r w:rsidR="00F941F1" w:rsidRPr="00F941F1">
        <w:fldChar w:fldCharType="begin"/>
      </w:r>
      <w:r w:rsidR="00F941F1" w:rsidRPr="00F941F1">
        <w:instrText xml:space="preserve"> ADDIN ZOTERO_ITEM CSL_CITATION {"citationID":"NAwi47MY","properties":{"formattedCitation":"(Miles, 2000)","plainCitation":"(Miles, 2000)","noteIndex":0},"citationItems":[{"id":30,"uris":["http://zotero.org/users/local/P52WLuzr/items/63ICNVV7"],"itemData":{"id":30,"type":"article-journal","container-title":"Alternative Law Journal","DOI":"10.1177/1037969X0002500201","ISSN":"1037-969X","issue":"2","language":"en","note":"publisher: SAGE Publications Ltd","page":"53-57","source":"SAGE Journals","title":"Matters of the Heart and the Heart of the Matter: The Constitutional Referendum in Australian Politics","title-short":"Matters of the Heart and the Heart of the Matter","volume":"25","author":[{"family":"Miles","given":"Richard"}],"issued":{"date-parts":[["2000",4,1]]}}}],"schema":"https://github.com/citation-style-language/schema/raw/master/csl-citation.json"} </w:instrText>
      </w:r>
      <w:r w:rsidR="00F941F1" w:rsidRPr="00F941F1">
        <w:fldChar w:fldCharType="separate"/>
      </w:r>
      <w:r w:rsidR="00F941F1" w:rsidRPr="00F941F1">
        <w:rPr>
          <w:rFonts w:ascii="Aptos" w:hAnsi="Aptos"/>
        </w:rPr>
        <w:t>(Miles, 2000)</w:t>
      </w:r>
      <w:r w:rsidR="00F941F1" w:rsidRPr="00F941F1">
        <w:fldChar w:fldCharType="end"/>
      </w:r>
      <w:r w:rsidR="006135E8" w:rsidRPr="00F941F1">
        <w:t>.</w:t>
      </w:r>
      <w:r w:rsidR="006135E8">
        <w:t xml:space="preserve"> These reasons I believe demonstrate why the view that Australia’s constitution is too hard to change</w:t>
      </w:r>
      <w:r w:rsidR="00C8430B">
        <w:t>,</w:t>
      </w:r>
      <w:r w:rsidR="00492992">
        <w:t xml:space="preserve"> </w:t>
      </w:r>
      <w:r w:rsidR="00C8430B">
        <w:t>as</w:t>
      </w:r>
      <w:r w:rsidR="00287599">
        <w:t xml:space="preserve"> viewed </w:t>
      </w:r>
      <w:r w:rsidR="00C8430B">
        <w:t>by</w:t>
      </w:r>
      <w:r w:rsidR="00287599">
        <w:t xml:space="preserve"> a</w:t>
      </w:r>
      <w:r w:rsidR="006135E8">
        <w:t xml:space="preserve"> majority of proposals </w:t>
      </w:r>
      <w:r w:rsidR="00287599">
        <w:t>being defeated</w:t>
      </w:r>
      <w:r w:rsidR="00492992">
        <w:t>,</w:t>
      </w:r>
      <w:r w:rsidR="006135E8">
        <w:t xml:space="preserve"> is </w:t>
      </w:r>
      <w:r w:rsidR="00287599">
        <w:t>flawed.</w:t>
      </w:r>
    </w:p>
    <w:p w14:paraId="5BCF866A" w14:textId="39FCF941" w:rsidR="008B4C82" w:rsidRDefault="00224ACA">
      <w:r>
        <w:t>In opposition of the notion that Australia’s Constitution is too difficult to change the following themes have been explored. It was argued that a constitution should be rigid to provide stability and uphold the values of the nations people. Different constitutional mechanisms</w:t>
      </w:r>
      <w:r w:rsidR="004F4807">
        <w:t xml:space="preserve"> were examined that showed Australia has a comparatively moderate amendment procedure; allowing the will of the Australian people to be expressed through direct democracy. Finally, why amendments fail was discussed. With the view that partisan politics at a federal level creates easily defeated amendment proposals. However, our constitutional amendment results are still comparable with similar nations. </w:t>
      </w:r>
      <w:r w:rsidR="00BB0C50">
        <w:t>We need to stop viewing proposal defeat as amendment procedure failure and relinquish the use of simple statistics in defence of it.</w:t>
      </w:r>
    </w:p>
    <w:p w14:paraId="38F2F9CC" w14:textId="77777777" w:rsidR="008B4C82" w:rsidRDefault="008B4C82">
      <w:r>
        <w:br w:type="page"/>
      </w:r>
    </w:p>
    <w:p w14:paraId="0B517EA3" w14:textId="5DDD47E9" w:rsidR="007E6C84" w:rsidRDefault="00D248DD" w:rsidP="00D248DD">
      <w:pPr>
        <w:pStyle w:val="Heading1"/>
      </w:pPr>
      <w:r>
        <w:lastRenderedPageBreak/>
        <w:t>Reference List</w:t>
      </w:r>
    </w:p>
    <w:p w14:paraId="0E9FE5A1" w14:textId="77777777" w:rsidR="0038314E" w:rsidRPr="0038314E" w:rsidRDefault="004136E5" w:rsidP="0038314E">
      <w:pPr>
        <w:pStyle w:val="Bibliography"/>
        <w:rPr>
          <w:rFonts w:ascii="Aptos" w:hAnsi="Aptos"/>
        </w:rPr>
      </w:pPr>
      <w:r>
        <w:fldChar w:fldCharType="begin"/>
      </w:r>
      <w:r w:rsidR="0038314E">
        <w:instrText xml:space="preserve"> ADDIN ZOTERO_BIBL {"uncited":[],"omitted":[],"custom":[]} CSL_BIBLIOGRAPHY </w:instrText>
      </w:r>
      <w:r>
        <w:fldChar w:fldCharType="separate"/>
      </w:r>
      <w:r w:rsidR="0038314E" w:rsidRPr="0038314E">
        <w:rPr>
          <w:rFonts w:ascii="Aptos" w:hAnsi="Aptos"/>
        </w:rPr>
        <w:t xml:space="preserve">Australian Electoral Commission. (2023, November 7). </w:t>
      </w:r>
      <w:r w:rsidR="0038314E" w:rsidRPr="0038314E">
        <w:rPr>
          <w:rFonts w:ascii="Aptos" w:hAnsi="Aptos"/>
          <w:i/>
          <w:iCs/>
        </w:rPr>
        <w:t>Referendum Dates and Results</w:t>
      </w:r>
      <w:r w:rsidR="0038314E" w:rsidRPr="0038314E">
        <w:rPr>
          <w:rFonts w:ascii="Aptos" w:hAnsi="Aptos"/>
        </w:rPr>
        <w:t>. https://www.aec.gov.au/Elections/referendums/Referendum_Dates_and_Results.htm</w:t>
      </w:r>
    </w:p>
    <w:p w14:paraId="27390F62" w14:textId="77777777" w:rsidR="0038314E" w:rsidRPr="0038314E" w:rsidRDefault="0038314E" w:rsidP="0038314E">
      <w:pPr>
        <w:pStyle w:val="Bibliography"/>
        <w:rPr>
          <w:rFonts w:ascii="Aptos" w:hAnsi="Aptos"/>
        </w:rPr>
      </w:pPr>
      <w:r w:rsidRPr="0038314E">
        <w:rPr>
          <w:rFonts w:ascii="Aptos" w:hAnsi="Aptos"/>
        </w:rPr>
        <w:t>Australia’s Constitution (2022). https://www.aph.gov.au/-/media/05_About_Parliament/52_Sen/523_PPP/2023_Australian_Constitution.pdf</w:t>
      </w:r>
    </w:p>
    <w:p w14:paraId="530FD76D" w14:textId="77777777" w:rsidR="0038314E" w:rsidRPr="0038314E" w:rsidRDefault="0038314E" w:rsidP="0038314E">
      <w:pPr>
        <w:pStyle w:val="Bibliography"/>
        <w:rPr>
          <w:rFonts w:ascii="Aptos" w:hAnsi="Aptos"/>
        </w:rPr>
      </w:pPr>
      <w:r w:rsidRPr="0038314E">
        <w:rPr>
          <w:rFonts w:ascii="Aptos" w:hAnsi="Aptos"/>
        </w:rPr>
        <w:t xml:space="preserve">Bryce, J. (1901). </w:t>
      </w:r>
      <w:r w:rsidRPr="0038314E">
        <w:rPr>
          <w:rFonts w:ascii="Aptos" w:hAnsi="Aptos"/>
          <w:i/>
          <w:iCs/>
        </w:rPr>
        <w:t>Studies in History and Jurisprudence</w:t>
      </w:r>
      <w:r w:rsidRPr="0038314E">
        <w:rPr>
          <w:rFonts w:ascii="Aptos" w:hAnsi="Aptos"/>
        </w:rPr>
        <w:t xml:space="preserve"> (Vol. 1). Oxford University Press. https://oll.libertyfund.org/titles/bryce-studies-in-history-and-jurisprudence-vol-1</w:t>
      </w:r>
    </w:p>
    <w:p w14:paraId="21C84C9D" w14:textId="77777777" w:rsidR="0038314E" w:rsidRPr="0038314E" w:rsidRDefault="0038314E" w:rsidP="0038314E">
      <w:pPr>
        <w:pStyle w:val="Bibliography"/>
        <w:rPr>
          <w:rFonts w:ascii="Aptos" w:hAnsi="Aptos"/>
        </w:rPr>
      </w:pPr>
      <w:r w:rsidRPr="0038314E">
        <w:rPr>
          <w:rFonts w:ascii="Aptos" w:hAnsi="Aptos"/>
        </w:rPr>
        <w:t xml:space="preserve">Centre for Constitutional Studies. (n.d.). </w:t>
      </w:r>
      <w:r w:rsidRPr="0038314E">
        <w:rPr>
          <w:rFonts w:ascii="Aptos" w:hAnsi="Aptos"/>
          <w:i/>
          <w:iCs/>
        </w:rPr>
        <w:t>Key Term: Amending Formula</w:t>
      </w:r>
      <w:r w:rsidRPr="0038314E">
        <w:rPr>
          <w:rFonts w:ascii="Aptos" w:hAnsi="Aptos"/>
        </w:rPr>
        <w:t>. Retrieved August 17, 2024, from https://www.constitutionalstudies.ca/ccs-term/amending-formula/?print=print-search</w:t>
      </w:r>
    </w:p>
    <w:p w14:paraId="1C2FD89D" w14:textId="77777777" w:rsidR="0038314E" w:rsidRPr="0038314E" w:rsidRDefault="0038314E" w:rsidP="0038314E">
      <w:pPr>
        <w:pStyle w:val="Bibliography"/>
        <w:rPr>
          <w:rFonts w:ascii="Aptos" w:hAnsi="Aptos"/>
        </w:rPr>
      </w:pPr>
      <w:r w:rsidRPr="0038314E">
        <w:rPr>
          <w:rFonts w:ascii="Aptos" w:hAnsi="Aptos"/>
        </w:rPr>
        <w:t xml:space="preserve">Miles, R. (2000). Matters of the Heart and the Heart of the Matter: The Constitutional Referendum in Australian Politics. </w:t>
      </w:r>
      <w:r w:rsidRPr="0038314E">
        <w:rPr>
          <w:rFonts w:ascii="Aptos" w:hAnsi="Aptos"/>
          <w:i/>
          <w:iCs/>
        </w:rPr>
        <w:t>Alternative Law Journal</w:t>
      </w:r>
      <w:r w:rsidRPr="0038314E">
        <w:rPr>
          <w:rFonts w:ascii="Aptos" w:hAnsi="Aptos"/>
        </w:rPr>
        <w:t xml:space="preserve">, </w:t>
      </w:r>
      <w:r w:rsidRPr="0038314E">
        <w:rPr>
          <w:rFonts w:ascii="Aptos" w:hAnsi="Aptos"/>
          <w:i/>
          <w:iCs/>
        </w:rPr>
        <w:t>25</w:t>
      </w:r>
      <w:r w:rsidRPr="0038314E">
        <w:rPr>
          <w:rFonts w:ascii="Aptos" w:hAnsi="Aptos"/>
        </w:rPr>
        <w:t>(2), 53–57. https://doi.org/10.1177/1037969X0002500201</w:t>
      </w:r>
    </w:p>
    <w:p w14:paraId="7295ADA3" w14:textId="77777777" w:rsidR="0038314E" w:rsidRPr="0038314E" w:rsidRDefault="0038314E" w:rsidP="0038314E">
      <w:pPr>
        <w:pStyle w:val="Bibliography"/>
        <w:rPr>
          <w:rFonts w:ascii="Aptos" w:hAnsi="Aptos"/>
        </w:rPr>
      </w:pPr>
      <w:r w:rsidRPr="0038314E">
        <w:rPr>
          <w:rFonts w:ascii="Aptos" w:hAnsi="Aptos"/>
        </w:rPr>
        <w:t xml:space="preserve">Parliamentary Education Office. (2024, July 19). </w:t>
      </w:r>
      <w:r w:rsidRPr="0038314E">
        <w:rPr>
          <w:rFonts w:ascii="Aptos" w:hAnsi="Aptos"/>
          <w:i/>
          <w:iCs/>
        </w:rPr>
        <w:t>Australian Constitution</w:t>
      </w:r>
      <w:r w:rsidRPr="0038314E">
        <w:rPr>
          <w:rFonts w:ascii="Aptos" w:hAnsi="Aptos"/>
        </w:rPr>
        <w:t>. https://peo.gov.au/understand-our-parliament/how-parliament-works/the-australian-constitution/australian-constitution</w:t>
      </w:r>
    </w:p>
    <w:p w14:paraId="733345AA" w14:textId="77777777" w:rsidR="0038314E" w:rsidRPr="0038314E" w:rsidRDefault="0038314E" w:rsidP="0038314E">
      <w:pPr>
        <w:pStyle w:val="Bibliography"/>
        <w:rPr>
          <w:rFonts w:ascii="Aptos" w:hAnsi="Aptos"/>
        </w:rPr>
      </w:pPr>
      <w:r w:rsidRPr="0038314E">
        <w:rPr>
          <w:rFonts w:ascii="Aptos" w:hAnsi="Aptos"/>
        </w:rPr>
        <w:t xml:space="preserve">Pasquino, P. (2015). Flexible and Rigid Constitutions: A Post-Kelsenian Typology of Constitutional Systems. In C. López-Guerra &amp; J. Maskivker (Eds.), </w:t>
      </w:r>
      <w:r w:rsidRPr="0038314E">
        <w:rPr>
          <w:rFonts w:ascii="Aptos" w:hAnsi="Aptos"/>
          <w:i/>
          <w:iCs/>
        </w:rPr>
        <w:t>Rationality, Democracy, and Justice</w:t>
      </w:r>
      <w:r w:rsidRPr="0038314E">
        <w:rPr>
          <w:rFonts w:ascii="Aptos" w:hAnsi="Aptos"/>
        </w:rPr>
        <w:t xml:space="preserve"> (1st ed., pp. 85–96). Cambridge University Press. https://doi.org/10.1017/CBO9781107588165.009</w:t>
      </w:r>
    </w:p>
    <w:p w14:paraId="110489EA" w14:textId="77777777" w:rsidR="0038314E" w:rsidRPr="0038314E" w:rsidRDefault="0038314E" w:rsidP="0038314E">
      <w:pPr>
        <w:pStyle w:val="Bibliography"/>
        <w:rPr>
          <w:rFonts w:ascii="Aptos" w:hAnsi="Aptos"/>
        </w:rPr>
      </w:pPr>
      <w:r w:rsidRPr="0038314E">
        <w:rPr>
          <w:rFonts w:ascii="Aptos" w:hAnsi="Aptos"/>
        </w:rPr>
        <w:t xml:space="preserve">The Constitution Society. (n.d.). </w:t>
      </w:r>
      <w:r w:rsidRPr="0038314E">
        <w:rPr>
          <w:rFonts w:ascii="Aptos" w:hAnsi="Aptos"/>
          <w:i/>
          <w:iCs/>
        </w:rPr>
        <w:t>The UK constitution</w:t>
      </w:r>
      <w:r w:rsidRPr="0038314E">
        <w:rPr>
          <w:rFonts w:ascii="Aptos" w:hAnsi="Aptos"/>
        </w:rPr>
        <w:t>. Retrieved August 18, 2024, from https://consoc.org.uk/the-constitution-explained/the-uk-constitution/</w:t>
      </w:r>
    </w:p>
    <w:p w14:paraId="762B92EC" w14:textId="77777777" w:rsidR="0038314E" w:rsidRPr="0038314E" w:rsidRDefault="0038314E" w:rsidP="0038314E">
      <w:pPr>
        <w:pStyle w:val="Bibliography"/>
        <w:rPr>
          <w:rFonts w:ascii="Aptos" w:hAnsi="Aptos"/>
        </w:rPr>
      </w:pPr>
      <w:r w:rsidRPr="0038314E">
        <w:rPr>
          <w:rFonts w:ascii="Aptos" w:hAnsi="Aptos"/>
        </w:rPr>
        <w:t xml:space="preserve">The White House. (n.d.). </w:t>
      </w:r>
      <w:r w:rsidRPr="0038314E">
        <w:rPr>
          <w:rFonts w:ascii="Aptos" w:hAnsi="Aptos"/>
          <w:i/>
          <w:iCs/>
        </w:rPr>
        <w:t>The Constitution</w:t>
      </w:r>
      <w:r w:rsidRPr="0038314E">
        <w:rPr>
          <w:rFonts w:ascii="Aptos" w:hAnsi="Aptos"/>
        </w:rPr>
        <w:t>. Retrieved August 16, 2024, from https://www.whitehouse.gov/about-the-white-house/our-government/the-constitution/</w:t>
      </w:r>
    </w:p>
    <w:p w14:paraId="42E58246" w14:textId="2A0C6A81" w:rsidR="004136E5" w:rsidRPr="004136E5" w:rsidRDefault="004136E5" w:rsidP="0038314E">
      <w:pPr>
        <w:tabs>
          <w:tab w:val="left" w:pos="5424"/>
        </w:tabs>
      </w:pPr>
      <w:r>
        <w:fldChar w:fldCharType="end"/>
      </w:r>
      <w:r w:rsidR="0038314E">
        <w:tab/>
      </w:r>
    </w:p>
    <w:sectPr w:rsidR="004136E5" w:rsidRPr="004136E5" w:rsidSect="00D248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DD"/>
    <w:rsid w:val="000226ED"/>
    <w:rsid w:val="000415C3"/>
    <w:rsid w:val="00073E50"/>
    <w:rsid w:val="00095DF1"/>
    <w:rsid w:val="000C2C57"/>
    <w:rsid w:val="00172CA9"/>
    <w:rsid w:val="001E43EC"/>
    <w:rsid w:val="001E72E0"/>
    <w:rsid w:val="00224ACA"/>
    <w:rsid w:val="00242B20"/>
    <w:rsid w:val="00287599"/>
    <w:rsid w:val="002C06BE"/>
    <w:rsid w:val="002F0C7D"/>
    <w:rsid w:val="002F36B2"/>
    <w:rsid w:val="00301786"/>
    <w:rsid w:val="0038314E"/>
    <w:rsid w:val="004136E5"/>
    <w:rsid w:val="004232A6"/>
    <w:rsid w:val="00432A8E"/>
    <w:rsid w:val="00436B07"/>
    <w:rsid w:val="004837E6"/>
    <w:rsid w:val="00492992"/>
    <w:rsid w:val="004B713B"/>
    <w:rsid w:val="004C29EB"/>
    <w:rsid w:val="004C7736"/>
    <w:rsid w:val="004F4807"/>
    <w:rsid w:val="0056310C"/>
    <w:rsid w:val="00592463"/>
    <w:rsid w:val="005B217E"/>
    <w:rsid w:val="006135E8"/>
    <w:rsid w:val="00615986"/>
    <w:rsid w:val="00720AFD"/>
    <w:rsid w:val="0075422E"/>
    <w:rsid w:val="00761022"/>
    <w:rsid w:val="00787F5E"/>
    <w:rsid w:val="007E6C84"/>
    <w:rsid w:val="0085678D"/>
    <w:rsid w:val="008910C7"/>
    <w:rsid w:val="008B4C82"/>
    <w:rsid w:val="008B5CDD"/>
    <w:rsid w:val="00920CFD"/>
    <w:rsid w:val="00950F56"/>
    <w:rsid w:val="009E6B13"/>
    <w:rsid w:val="009F4D65"/>
    <w:rsid w:val="00A472DD"/>
    <w:rsid w:val="00A85B99"/>
    <w:rsid w:val="00AE51EE"/>
    <w:rsid w:val="00AE5DEC"/>
    <w:rsid w:val="00AF0901"/>
    <w:rsid w:val="00B01907"/>
    <w:rsid w:val="00B024AA"/>
    <w:rsid w:val="00B17B3B"/>
    <w:rsid w:val="00B32F4F"/>
    <w:rsid w:val="00BB0C50"/>
    <w:rsid w:val="00BD349B"/>
    <w:rsid w:val="00BE1A17"/>
    <w:rsid w:val="00BE25C4"/>
    <w:rsid w:val="00BE3A17"/>
    <w:rsid w:val="00C05556"/>
    <w:rsid w:val="00C8430B"/>
    <w:rsid w:val="00CA4489"/>
    <w:rsid w:val="00CB689E"/>
    <w:rsid w:val="00CD1510"/>
    <w:rsid w:val="00CE050C"/>
    <w:rsid w:val="00D248DD"/>
    <w:rsid w:val="00D82387"/>
    <w:rsid w:val="00DA2C5B"/>
    <w:rsid w:val="00E360B6"/>
    <w:rsid w:val="00ED2E20"/>
    <w:rsid w:val="00F03301"/>
    <w:rsid w:val="00F15736"/>
    <w:rsid w:val="00F552E4"/>
    <w:rsid w:val="00F62E80"/>
    <w:rsid w:val="00F77E91"/>
    <w:rsid w:val="00F941F1"/>
    <w:rsid w:val="00FB4776"/>
    <w:rsid w:val="00FF4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1826"/>
  <w15:chartTrackingRefBased/>
  <w15:docId w15:val="{3757DEF2-D1F6-41F2-B150-BA74760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DD"/>
    <w:rPr>
      <w:rFonts w:eastAsiaTheme="majorEastAsia" w:cstheme="majorBidi"/>
      <w:color w:val="272727" w:themeColor="text1" w:themeTint="D8"/>
    </w:rPr>
  </w:style>
  <w:style w:type="paragraph" w:styleId="Title">
    <w:name w:val="Title"/>
    <w:basedOn w:val="Normal"/>
    <w:next w:val="Normal"/>
    <w:link w:val="TitleChar"/>
    <w:uiPriority w:val="10"/>
    <w:qFormat/>
    <w:rsid w:val="00D24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DD"/>
    <w:pPr>
      <w:spacing w:before="160"/>
      <w:jc w:val="center"/>
    </w:pPr>
    <w:rPr>
      <w:i/>
      <w:iCs/>
      <w:color w:val="404040" w:themeColor="text1" w:themeTint="BF"/>
    </w:rPr>
  </w:style>
  <w:style w:type="character" w:customStyle="1" w:styleId="QuoteChar">
    <w:name w:val="Quote Char"/>
    <w:basedOn w:val="DefaultParagraphFont"/>
    <w:link w:val="Quote"/>
    <w:uiPriority w:val="29"/>
    <w:rsid w:val="00D248DD"/>
    <w:rPr>
      <w:i/>
      <w:iCs/>
      <w:color w:val="404040" w:themeColor="text1" w:themeTint="BF"/>
    </w:rPr>
  </w:style>
  <w:style w:type="paragraph" w:styleId="ListParagraph">
    <w:name w:val="List Paragraph"/>
    <w:basedOn w:val="Normal"/>
    <w:uiPriority w:val="34"/>
    <w:qFormat/>
    <w:rsid w:val="00D248DD"/>
    <w:pPr>
      <w:ind w:left="720"/>
      <w:contextualSpacing/>
    </w:pPr>
  </w:style>
  <w:style w:type="character" w:styleId="IntenseEmphasis">
    <w:name w:val="Intense Emphasis"/>
    <w:basedOn w:val="DefaultParagraphFont"/>
    <w:uiPriority w:val="21"/>
    <w:qFormat/>
    <w:rsid w:val="00D248DD"/>
    <w:rPr>
      <w:i/>
      <w:iCs/>
      <w:color w:val="0F4761" w:themeColor="accent1" w:themeShade="BF"/>
    </w:rPr>
  </w:style>
  <w:style w:type="paragraph" w:styleId="IntenseQuote">
    <w:name w:val="Intense Quote"/>
    <w:basedOn w:val="Normal"/>
    <w:next w:val="Normal"/>
    <w:link w:val="IntenseQuoteChar"/>
    <w:uiPriority w:val="30"/>
    <w:qFormat/>
    <w:rsid w:val="00D24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8DD"/>
    <w:rPr>
      <w:i/>
      <w:iCs/>
      <w:color w:val="0F4761" w:themeColor="accent1" w:themeShade="BF"/>
    </w:rPr>
  </w:style>
  <w:style w:type="character" w:styleId="IntenseReference">
    <w:name w:val="Intense Reference"/>
    <w:basedOn w:val="DefaultParagraphFont"/>
    <w:uiPriority w:val="32"/>
    <w:qFormat/>
    <w:rsid w:val="00D248DD"/>
    <w:rPr>
      <w:b/>
      <w:bCs/>
      <w:smallCaps/>
      <w:color w:val="0F4761" w:themeColor="accent1" w:themeShade="BF"/>
      <w:spacing w:val="5"/>
    </w:rPr>
  </w:style>
  <w:style w:type="paragraph" w:styleId="NoSpacing">
    <w:name w:val="No Spacing"/>
    <w:link w:val="NoSpacingChar"/>
    <w:uiPriority w:val="1"/>
    <w:qFormat/>
    <w:rsid w:val="00D248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248DD"/>
    <w:rPr>
      <w:rFonts w:eastAsiaTheme="minorEastAsia"/>
      <w:kern w:val="0"/>
      <w:lang w:val="en-US"/>
      <w14:ligatures w14:val="none"/>
    </w:rPr>
  </w:style>
  <w:style w:type="paragraph" w:styleId="Bibliography">
    <w:name w:val="Bibliography"/>
    <w:basedOn w:val="Normal"/>
    <w:next w:val="Normal"/>
    <w:uiPriority w:val="37"/>
    <w:unhideWhenUsed/>
    <w:rsid w:val="004136E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A9FB65156445D681A6B33AD16F2120"/>
        <w:category>
          <w:name w:val="General"/>
          <w:gallery w:val="placeholder"/>
        </w:category>
        <w:types>
          <w:type w:val="bbPlcHdr"/>
        </w:types>
        <w:behaviors>
          <w:behavior w:val="content"/>
        </w:behaviors>
        <w:guid w:val="{15F8372F-290F-4B66-869B-2E4B60B0C658}"/>
      </w:docPartPr>
      <w:docPartBody>
        <w:p w:rsidR="00517C0B" w:rsidRDefault="009A1955" w:rsidP="009A1955">
          <w:pPr>
            <w:pStyle w:val="72A9FB65156445D681A6B33AD16F2120"/>
          </w:pPr>
          <w:r>
            <w:rPr>
              <w:rFonts w:asciiTheme="majorHAnsi" w:eastAsiaTheme="majorEastAsia" w:hAnsiTheme="majorHAnsi" w:cstheme="majorBidi"/>
              <w:caps/>
              <w:color w:val="156082" w:themeColor="accent1"/>
              <w:sz w:val="80"/>
              <w:szCs w:val="80"/>
            </w:rPr>
            <w:t>[Document title]</w:t>
          </w:r>
        </w:p>
      </w:docPartBody>
    </w:docPart>
    <w:docPart>
      <w:docPartPr>
        <w:name w:val="A7C562DBA76B4662A8B3BD6C5339F23A"/>
        <w:category>
          <w:name w:val="General"/>
          <w:gallery w:val="placeholder"/>
        </w:category>
        <w:types>
          <w:type w:val="bbPlcHdr"/>
        </w:types>
        <w:behaviors>
          <w:behavior w:val="content"/>
        </w:behaviors>
        <w:guid w:val="{9231AE93-8316-4648-93A6-FB815C61C8DD}"/>
      </w:docPartPr>
      <w:docPartBody>
        <w:p w:rsidR="00517C0B" w:rsidRDefault="009A1955" w:rsidP="009A1955">
          <w:pPr>
            <w:pStyle w:val="A7C562DBA76B4662A8B3BD6C5339F23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55"/>
    <w:rsid w:val="004B713B"/>
    <w:rsid w:val="004C29EB"/>
    <w:rsid w:val="004C3D9F"/>
    <w:rsid w:val="00517C0B"/>
    <w:rsid w:val="00624E26"/>
    <w:rsid w:val="00720AFD"/>
    <w:rsid w:val="009A1955"/>
    <w:rsid w:val="009E6B13"/>
    <w:rsid w:val="00CA0348"/>
    <w:rsid w:val="00F51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9FB65156445D681A6B33AD16F2120">
    <w:name w:val="72A9FB65156445D681A6B33AD16F2120"/>
    <w:rsid w:val="009A1955"/>
  </w:style>
  <w:style w:type="paragraph" w:customStyle="1" w:styleId="A7C562DBA76B4662A8B3BD6C5339F23A">
    <w:name w:val="A7C562DBA76B4662A8B3BD6C5339F23A"/>
    <w:rsid w:val="009A1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2024-08-14T00:00:00</PublishDate>
  <Abstract/>
  <CompanyAddress>St Lucia, QLD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7576</TotalTime>
  <Pages>4</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The Australian Constitution, An Enduring Yet</vt:lpstr>
    </vt:vector>
  </TitlesOfParts>
  <Company>The University of Queensland</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Australian Constitution, In Defence of National Values</dc:title>
  <dc:subject>Jared Tucker – S46267454                                                                                                          POLS1101 Minor Essay</dc:subject>
  <dc:creator>Jared Tucker</dc:creator>
  <cp:keywords/>
  <dc:description/>
  <cp:lastModifiedBy>Jared Tucker</cp:lastModifiedBy>
  <cp:revision>48</cp:revision>
  <dcterms:created xsi:type="dcterms:W3CDTF">2024-08-13T22:32:00Z</dcterms:created>
  <dcterms:modified xsi:type="dcterms:W3CDTF">2024-08-23T01:13:00Z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id="zrpg3krm"/&gt;&lt;style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