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FC48" w14:textId="6B0555E8" w:rsidR="007D4B01" w:rsidRPr="008A185B" w:rsidRDefault="00195181">
      <w:pPr>
        <w:rPr>
          <w:rFonts w:ascii="Arial" w:hAnsi="Arial" w:cs="Arial"/>
        </w:rPr>
      </w:pPr>
      <w:r w:rsidRPr="008A185B">
        <w:rPr>
          <w:rFonts w:ascii="Arial" w:hAnsi="Arial" w:cs="Arial"/>
        </w:rPr>
        <w:t>Justificación</w:t>
      </w:r>
    </w:p>
    <w:p w14:paraId="4377B535" w14:textId="77777777" w:rsidR="00195181" w:rsidRPr="008A185B" w:rsidRDefault="00195181">
      <w:pPr>
        <w:rPr>
          <w:rFonts w:ascii="Arial" w:hAnsi="Arial" w:cs="Arial"/>
        </w:rPr>
      </w:pPr>
    </w:p>
    <w:p w14:paraId="4146E0E8" w14:textId="77777777" w:rsidR="00195181" w:rsidRPr="008A185B" w:rsidRDefault="00195181">
      <w:pPr>
        <w:rPr>
          <w:rFonts w:ascii="Arial" w:hAnsi="Arial" w:cs="Arial"/>
        </w:rPr>
      </w:pPr>
      <w:r w:rsidRPr="008A185B">
        <w:rPr>
          <w:rFonts w:ascii="Arial" w:hAnsi="Arial" w:cs="Arial"/>
        </w:rPr>
        <w:t xml:space="preserve">Este proyecto se alinea estratégicamente con la agenda nacional de México para posicionarse como un participante clave en la industria global de semiconductores. El denominado “plan maestro de semiconductores 2024-2030” el </w:t>
      </w:r>
      <w:proofErr w:type="gramStart"/>
      <w:r w:rsidRPr="008A185B">
        <w:rPr>
          <w:rFonts w:ascii="Arial" w:hAnsi="Arial" w:cs="Arial"/>
        </w:rPr>
        <w:t>cuál  busca</w:t>
      </w:r>
      <w:proofErr w:type="gramEnd"/>
      <w:r w:rsidRPr="008A185B">
        <w:rPr>
          <w:rFonts w:ascii="Arial" w:hAnsi="Arial" w:cs="Arial"/>
        </w:rPr>
        <w:t xml:space="preserve"> duplicar exportaciones y numero de empleos en la industria de semiconductores para así atraer inversiones por más de 10 mil millones de dólares con enfoque particular en ATP (ensamble, pruebas y empaquetado). </w:t>
      </w:r>
    </w:p>
    <w:p w14:paraId="4EF18420" w14:textId="11C2DC60" w:rsidR="00195181" w:rsidRPr="008A185B" w:rsidRDefault="00195181">
      <w:pPr>
        <w:rPr>
          <w:rFonts w:ascii="Arial" w:hAnsi="Arial" w:cs="Arial"/>
        </w:rPr>
      </w:pPr>
      <w:r w:rsidRPr="008A185B">
        <w:rPr>
          <w:rFonts w:ascii="Arial" w:hAnsi="Arial" w:cs="Arial"/>
        </w:rPr>
        <w:t xml:space="preserve">Para alcanzar esto el gobierno de México ha </w:t>
      </w:r>
      <w:proofErr w:type="gramStart"/>
      <w:r w:rsidRPr="008A185B">
        <w:rPr>
          <w:rFonts w:ascii="Arial" w:hAnsi="Arial" w:cs="Arial"/>
        </w:rPr>
        <w:t>lanzado  iniciativas</w:t>
      </w:r>
      <w:proofErr w:type="gramEnd"/>
      <w:r w:rsidRPr="008A185B">
        <w:rPr>
          <w:rFonts w:ascii="Arial" w:hAnsi="Arial" w:cs="Arial"/>
        </w:rPr>
        <w:t xml:space="preserve"> clave como la creación de programas académicos enfocados en esta industria como las recientes carreras en Ingenia en Semiconductores y Materia semiconductores del Tecnológico Nacional de México y el establecimiento del Centro Nacional de Diseño de semiconductores “</w:t>
      </w:r>
      <w:proofErr w:type="spellStart"/>
      <w:r w:rsidRPr="008A185B">
        <w:rPr>
          <w:rFonts w:ascii="Arial" w:hAnsi="Arial" w:cs="Arial"/>
        </w:rPr>
        <w:t>kutsari</w:t>
      </w:r>
      <w:proofErr w:type="spellEnd"/>
      <w:r w:rsidRPr="008A185B">
        <w:rPr>
          <w:rFonts w:ascii="Arial" w:hAnsi="Arial" w:cs="Arial"/>
        </w:rPr>
        <w:t>”</w:t>
      </w:r>
      <w:r w:rsidR="008A185B" w:rsidRPr="008A185B">
        <w:rPr>
          <w:rFonts w:ascii="Arial" w:hAnsi="Arial" w:cs="Arial"/>
        </w:rPr>
        <w:t xml:space="preserve"> que busca fortalecer la cadena de valor de semiconductores.  </w:t>
      </w:r>
      <w:r w:rsidR="008A185B" w:rsidRPr="008A185B">
        <w:rPr>
          <w:rFonts w:ascii="Arial" w:hAnsi="Arial" w:cs="Arial"/>
          <w:i/>
          <w:iCs/>
        </w:rPr>
        <w:t>Centro de diseño “</w:t>
      </w:r>
      <w:proofErr w:type="spellStart"/>
      <w:r w:rsidR="008A185B" w:rsidRPr="008A185B">
        <w:rPr>
          <w:rFonts w:ascii="Arial" w:hAnsi="Arial" w:cs="Arial"/>
          <w:i/>
          <w:iCs/>
        </w:rPr>
        <w:t>Kutsari</w:t>
      </w:r>
      <w:proofErr w:type="spellEnd"/>
      <w:r w:rsidR="008A185B" w:rsidRPr="008A185B">
        <w:rPr>
          <w:rFonts w:ascii="Arial" w:hAnsi="Arial" w:cs="Arial"/>
          <w:i/>
          <w:iCs/>
        </w:rPr>
        <w:t>” fortalecerá la cadena de valor de semiconductores en el país:</w:t>
      </w:r>
      <w:r w:rsidR="008A185B" w:rsidRPr="008A185B">
        <w:rPr>
          <w:rFonts w:ascii="Arial" w:hAnsi="Arial" w:cs="Arial"/>
        </w:rPr>
        <w:t> (2025, febrero 6).</w:t>
      </w:r>
    </w:p>
    <w:p w14:paraId="1F949978" w14:textId="77777777" w:rsidR="008A185B" w:rsidRPr="008A185B" w:rsidRDefault="008A185B">
      <w:pPr>
        <w:rPr>
          <w:rFonts w:ascii="Arial" w:hAnsi="Arial" w:cs="Arial"/>
        </w:rPr>
      </w:pPr>
    </w:p>
    <w:p w14:paraId="0EDD94B6" w14:textId="5BE55D5B" w:rsidR="008A185B" w:rsidRDefault="008A185B">
      <w:pPr>
        <w:rPr>
          <w:rFonts w:ascii="Arial" w:hAnsi="Arial" w:cs="Arial"/>
        </w:rPr>
      </w:pPr>
      <w:r w:rsidRPr="008A185B">
        <w:rPr>
          <w:rFonts w:ascii="Arial" w:hAnsi="Arial" w:cs="Arial"/>
        </w:rPr>
        <w:t xml:space="preserve">Adicionalmente </w:t>
      </w:r>
      <w:r w:rsidRPr="008A185B">
        <w:rPr>
          <w:rFonts w:ascii="Arial" w:hAnsi="Arial" w:cs="Arial"/>
        </w:rPr>
        <w:t>La información pública reciente confirma que Querétaro está atrayendo inversiones y desarrollando un ecosistema enfocado precisamente en el diseño, empaquetado, ensamble y pruebas (ATP). El ejemplo más claro es el establecimiento de QSM Semiconductores, la única empresa mexicana con un modelo de manufactura integrada (IDM), que ya opera un Centro de Diseño de Circuitos Integrados (CEDI) y un Centro de Ingeniería en el estado. Además, esta empresa está finalizando una nueva planta de manufactura en Querétaro, proyectada para iniciar operaciones en 2025.</w:t>
      </w:r>
    </w:p>
    <w:p w14:paraId="5512A156" w14:textId="77777777" w:rsidR="008A185B" w:rsidRDefault="008A185B">
      <w:pPr>
        <w:rPr>
          <w:rFonts w:ascii="Arial" w:hAnsi="Arial" w:cs="Arial"/>
        </w:rPr>
      </w:pPr>
    </w:p>
    <w:p w14:paraId="1F54515E" w14:textId="77777777" w:rsidR="008A185B" w:rsidRPr="008A185B" w:rsidRDefault="008A185B" w:rsidP="008A185B">
      <w:pPr>
        <w:rPr>
          <w:rFonts w:ascii="Arial" w:hAnsi="Arial" w:cs="Arial"/>
          <w:sz w:val="24"/>
          <w:szCs w:val="24"/>
        </w:rPr>
      </w:pPr>
      <w:r w:rsidRPr="008A185B">
        <w:rPr>
          <w:rFonts w:ascii="Arial" w:hAnsi="Arial" w:cs="Arial"/>
          <w:sz w:val="24"/>
          <w:szCs w:val="24"/>
        </w:rPr>
        <w:t>Este proyecto atiende directamente el corazón de esta estrategia (tanto nacional como estatal) de tres maneras:</w:t>
      </w:r>
    </w:p>
    <w:p w14:paraId="00C24B75" w14:textId="77777777" w:rsidR="008A185B" w:rsidRPr="008A185B" w:rsidRDefault="008A185B" w:rsidP="008A185B">
      <w:pPr>
        <w:numPr>
          <w:ilvl w:val="0"/>
          <w:numId w:val="2"/>
        </w:numPr>
        <w:rPr>
          <w:rFonts w:ascii="Arial" w:hAnsi="Arial" w:cs="Arial"/>
          <w:sz w:val="24"/>
          <w:szCs w:val="24"/>
        </w:rPr>
      </w:pPr>
      <w:r w:rsidRPr="008A185B">
        <w:rPr>
          <w:rFonts w:ascii="Arial" w:hAnsi="Arial" w:cs="Arial"/>
          <w:sz w:val="24"/>
          <w:szCs w:val="24"/>
        </w:rPr>
        <w:t xml:space="preserve">Enfoque en el Diseño y la Optimización: El plan maestro nacional y la estrategia estatal de Querétaro identifican el diseño como un área prioritaria. El objetivo general de este proyecto es, precisamente, aplicar ciencia de datos para analizar simulaciones y optimizar el desempeño de los semiconductores. Esta metodología contribuye directamente a la capacidad de innovación y diseño </w:t>
      </w:r>
      <w:r w:rsidRPr="008A185B">
        <w:rPr>
          <w:rFonts w:ascii="Arial" w:hAnsi="Arial" w:cs="Arial"/>
          <w:i/>
          <w:iCs/>
          <w:sz w:val="24"/>
          <w:szCs w:val="24"/>
        </w:rPr>
        <w:t>in situ</w:t>
      </w:r>
      <w:r w:rsidRPr="008A185B">
        <w:rPr>
          <w:rFonts w:ascii="Arial" w:hAnsi="Arial" w:cs="Arial"/>
          <w:sz w:val="24"/>
          <w:szCs w:val="24"/>
        </w:rPr>
        <w:t xml:space="preserve"> que centros como "</w:t>
      </w:r>
      <w:proofErr w:type="spellStart"/>
      <w:r w:rsidRPr="008A185B">
        <w:rPr>
          <w:rFonts w:ascii="Arial" w:hAnsi="Arial" w:cs="Arial"/>
          <w:sz w:val="24"/>
          <w:szCs w:val="24"/>
        </w:rPr>
        <w:t>Kutsari</w:t>
      </w:r>
      <w:proofErr w:type="spellEnd"/>
      <w:r w:rsidRPr="008A185B">
        <w:rPr>
          <w:rFonts w:ascii="Arial" w:hAnsi="Arial" w:cs="Arial"/>
          <w:sz w:val="24"/>
          <w:szCs w:val="24"/>
        </w:rPr>
        <w:t>" y el CEDI de QSM en Querétaro buscan fomentar.</w:t>
      </w:r>
    </w:p>
    <w:p w14:paraId="38D585D8" w14:textId="77777777" w:rsidR="008A185B" w:rsidRPr="008A185B" w:rsidRDefault="008A185B" w:rsidP="008A185B">
      <w:pPr>
        <w:numPr>
          <w:ilvl w:val="0"/>
          <w:numId w:val="2"/>
        </w:numPr>
        <w:rPr>
          <w:rFonts w:ascii="Arial" w:hAnsi="Arial" w:cs="Arial"/>
          <w:sz w:val="24"/>
          <w:szCs w:val="24"/>
        </w:rPr>
      </w:pPr>
      <w:r w:rsidRPr="008A185B">
        <w:rPr>
          <w:rFonts w:ascii="Arial" w:hAnsi="Arial" w:cs="Arial"/>
          <w:sz w:val="24"/>
          <w:szCs w:val="24"/>
        </w:rPr>
        <w:t>Eficiencia y Reducción de Costos: La principal limitación en el desarrollo de ML para semiconductores es el alto costo de la fabricación física para obtener datos. El proyecto aborda esta barrera al proponer el uso de la simulación TCAD, no solo para validar modelos, sino como una herramienta de generación de bases de datos robustas. Esta eficiencia es crucial para que empresas emergentes en Querétaro y México puedan innovar y competir sin incurrir en costos prohibitivos.</w:t>
      </w:r>
    </w:p>
    <w:p w14:paraId="727C8E1A" w14:textId="77777777" w:rsidR="008A185B" w:rsidRPr="008A185B" w:rsidRDefault="008A185B" w:rsidP="008A185B">
      <w:pPr>
        <w:numPr>
          <w:ilvl w:val="0"/>
          <w:numId w:val="2"/>
        </w:numPr>
        <w:rPr>
          <w:rFonts w:ascii="Arial" w:hAnsi="Arial" w:cs="Arial"/>
          <w:sz w:val="24"/>
          <w:szCs w:val="24"/>
        </w:rPr>
      </w:pPr>
      <w:r w:rsidRPr="008A185B">
        <w:rPr>
          <w:rFonts w:ascii="Arial" w:hAnsi="Arial" w:cs="Arial"/>
          <w:sz w:val="24"/>
          <w:szCs w:val="24"/>
        </w:rPr>
        <w:t xml:space="preserve">Desarrollo de Talento Especializado: La implementación exitosa de los planes en Querétaro y el país depende de la formación de capital humano avanzado. Este proyecto, al fusionar dos áreas de alta demanda (la simulación TCAD y el </w:t>
      </w:r>
      <w:r w:rsidRPr="008A185B">
        <w:rPr>
          <w:rFonts w:ascii="Arial" w:hAnsi="Arial" w:cs="Arial"/>
          <w:sz w:val="24"/>
          <w:szCs w:val="24"/>
        </w:rPr>
        <w:lastRenderedPageBreak/>
        <w:t xml:space="preserve">Machine </w:t>
      </w:r>
      <w:proofErr w:type="spellStart"/>
      <w:r w:rsidRPr="008A185B">
        <w:rPr>
          <w:rFonts w:ascii="Arial" w:hAnsi="Arial" w:cs="Arial"/>
          <w:sz w:val="24"/>
          <w:szCs w:val="24"/>
        </w:rPr>
        <w:t>Learning</w:t>
      </w:r>
      <w:proofErr w:type="spellEnd"/>
      <w:r w:rsidRPr="008A185B">
        <w:rPr>
          <w:rFonts w:ascii="Arial" w:hAnsi="Arial" w:cs="Arial"/>
          <w:sz w:val="24"/>
          <w:szCs w:val="24"/>
        </w:rPr>
        <w:t>), representa el tipo de investigación aplicada y conocimiento especializado que este nuevo y sofisticado ecosistema industrial requiere.</w:t>
      </w:r>
    </w:p>
    <w:p w14:paraId="2F64708F" w14:textId="77777777" w:rsidR="008A185B" w:rsidRPr="008A185B" w:rsidRDefault="008A185B" w:rsidP="008A185B">
      <w:pPr>
        <w:rPr>
          <w:rFonts w:ascii="Arial" w:hAnsi="Arial" w:cs="Arial"/>
          <w:sz w:val="24"/>
          <w:szCs w:val="24"/>
        </w:rPr>
      </w:pPr>
      <w:r w:rsidRPr="008A185B">
        <w:rPr>
          <w:rFonts w:ascii="Arial" w:hAnsi="Arial" w:cs="Arial"/>
          <w:sz w:val="24"/>
          <w:szCs w:val="24"/>
        </w:rPr>
        <w:t>En resumen, esta investigación no es solo un ejercicio técnico; es una respuesta directa a la brecha identificada en la literatura y una contribución metodológica alineada con los objetivos estratégicos de México y la vocación industrial de Querétaro para transitar hacia una economía del conocimiento en el sector de alta tecnología.</w:t>
      </w:r>
    </w:p>
    <w:p w14:paraId="710368A7" w14:textId="77777777" w:rsidR="008A185B" w:rsidRPr="008A185B" w:rsidRDefault="008A185B">
      <w:pPr>
        <w:rPr>
          <w:rFonts w:ascii="Arial" w:hAnsi="Arial" w:cs="Arial"/>
        </w:rPr>
      </w:pPr>
    </w:p>
    <w:sectPr w:rsidR="008A185B" w:rsidRPr="008A185B">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EEDC6" w14:textId="77777777" w:rsidR="008A185B" w:rsidRDefault="008A185B" w:rsidP="008A185B">
      <w:pPr>
        <w:spacing w:after="0" w:line="240" w:lineRule="auto"/>
      </w:pPr>
      <w:r>
        <w:separator/>
      </w:r>
    </w:p>
  </w:endnote>
  <w:endnote w:type="continuationSeparator" w:id="0">
    <w:p w14:paraId="028A807C" w14:textId="77777777" w:rsidR="008A185B" w:rsidRDefault="008A185B" w:rsidP="008A1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F97B" w14:textId="6B3D63E5" w:rsidR="008A185B" w:rsidRDefault="008A185B">
    <w:pPr>
      <w:pStyle w:val="Footer"/>
    </w:pPr>
    <w:r>
      <w:rPr>
        <w:noProof/>
      </w:rPr>
      <mc:AlternateContent>
        <mc:Choice Requires="wps">
          <w:drawing>
            <wp:anchor distT="0" distB="0" distL="0" distR="0" simplePos="0" relativeHeight="251659264" behindDoc="0" locked="0" layoutInCell="1" allowOverlap="1" wp14:anchorId="2D2E4061" wp14:editId="1FD8A79C">
              <wp:simplePos x="635" y="635"/>
              <wp:positionH relativeFrom="page">
                <wp:align>center</wp:align>
              </wp:positionH>
              <wp:positionV relativeFrom="page">
                <wp:align>bottom</wp:align>
              </wp:positionV>
              <wp:extent cx="322580" cy="324485"/>
              <wp:effectExtent l="0" t="0" r="1270" b="0"/>
              <wp:wrapNone/>
              <wp:docPr id="75405211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24485"/>
                      </a:xfrm>
                      <a:prstGeom prst="rect">
                        <a:avLst/>
                      </a:prstGeom>
                      <a:noFill/>
                      <a:ln>
                        <a:noFill/>
                      </a:ln>
                    </wps:spPr>
                    <wps:txbx>
                      <w:txbxContent>
                        <w:p w14:paraId="66FD07E0" w14:textId="142407AD" w:rsidR="008A185B" w:rsidRPr="008A185B" w:rsidRDefault="008A185B" w:rsidP="008A185B">
                          <w:pPr>
                            <w:spacing w:after="0"/>
                            <w:rPr>
                              <w:rFonts w:ascii="Calibri" w:eastAsia="Calibri" w:hAnsi="Calibri" w:cs="Calibri"/>
                              <w:noProof/>
                              <w:color w:val="000000"/>
                              <w:sz w:val="16"/>
                              <w:szCs w:val="16"/>
                            </w:rPr>
                          </w:pPr>
                          <w:r w:rsidRPr="008A185B">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2E4061" id="_x0000_t202" coordsize="21600,21600" o:spt="202" path="m,l,21600r21600,l21600,xe">
              <v:stroke joinstyle="miter"/>
              <v:path gradientshapeok="t" o:connecttype="rect"/>
            </v:shapetype>
            <v:shape id="Text Box 2" o:spid="_x0000_s1026" type="#_x0000_t202" alt="Internal" style="position:absolute;margin-left:0;margin-top:0;width:25.4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" filled="f" stroked="f">
              <v:fill o:detectmouseclick="t"/>
              <v:textbox style="mso-fit-shape-to-text:t" inset="0,0,0,15pt">
                <w:txbxContent>
                  <w:p w14:paraId="66FD07E0" w14:textId="142407AD" w:rsidR="008A185B" w:rsidRPr="008A185B" w:rsidRDefault="008A185B" w:rsidP="008A185B">
                    <w:pPr>
                      <w:spacing w:after="0"/>
                      <w:rPr>
                        <w:rFonts w:ascii="Calibri" w:eastAsia="Calibri" w:hAnsi="Calibri" w:cs="Calibri"/>
                        <w:noProof/>
                        <w:color w:val="000000"/>
                        <w:sz w:val="16"/>
                        <w:szCs w:val="16"/>
                      </w:rPr>
                    </w:pPr>
                    <w:r w:rsidRPr="008A185B">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F1DE" w14:textId="5F132BE8" w:rsidR="008A185B" w:rsidRDefault="008A185B">
    <w:pPr>
      <w:pStyle w:val="Footer"/>
    </w:pPr>
    <w:r>
      <w:rPr>
        <w:noProof/>
      </w:rPr>
      <mc:AlternateContent>
        <mc:Choice Requires="wps">
          <w:drawing>
            <wp:anchor distT="0" distB="0" distL="0" distR="0" simplePos="0" relativeHeight="251660288" behindDoc="0" locked="0" layoutInCell="1" allowOverlap="1" wp14:anchorId="7D88504C" wp14:editId="492803F2">
              <wp:simplePos x="914400" y="9439275"/>
              <wp:positionH relativeFrom="page">
                <wp:align>center</wp:align>
              </wp:positionH>
              <wp:positionV relativeFrom="page">
                <wp:align>bottom</wp:align>
              </wp:positionV>
              <wp:extent cx="322580" cy="324485"/>
              <wp:effectExtent l="0" t="0" r="1270" b="0"/>
              <wp:wrapNone/>
              <wp:docPr id="46406691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24485"/>
                      </a:xfrm>
                      <a:prstGeom prst="rect">
                        <a:avLst/>
                      </a:prstGeom>
                      <a:noFill/>
                      <a:ln>
                        <a:noFill/>
                      </a:ln>
                    </wps:spPr>
                    <wps:txbx>
                      <w:txbxContent>
                        <w:p w14:paraId="5A7998EE" w14:textId="05ECC033" w:rsidR="008A185B" w:rsidRPr="008A185B" w:rsidRDefault="008A185B" w:rsidP="008A185B">
                          <w:pPr>
                            <w:spacing w:after="0"/>
                            <w:rPr>
                              <w:rFonts w:ascii="Calibri" w:eastAsia="Calibri" w:hAnsi="Calibri" w:cs="Calibri"/>
                              <w:noProof/>
                              <w:color w:val="000000"/>
                              <w:sz w:val="16"/>
                              <w:szCs w:val="16"/>
                            </w:rPr>
                          </w:pPr>
                          <w:r w:rsidRPr="008A185B">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88504C" id="_x0000_t202" coordsize="21600,21600" o:spt="202" path="m,l,21600r21600,l21600,xe">
              <v:stroke joinstyle="miter"/>
              <v:path gradientshapeok="t" o:connecttype="rect"/>
            </v:shapetype>
            <v:shape id="Text Box 3" o:spid="_x0000_s1027" type="#_x0000_t202" alt="Internal" style="position:absolute;margin-left:0;margin-top:0;width:25.4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" filled="f" stroked="f">
              <v:fill o:detectmouseclick="t"/>
              <v:textbox style="mso-fit-shape-to-text:t" inset="0,0,0,15pt">
                <w:txbxContent>
                  <w:p w14:paraId="5A7998EE" w14:textId="05ECC033" w:rsidR="008A185B" w:rsidRPr="008A185B" w:rsidRDefault="008A185B" w:rsidP="008A185B">
                    <w:pPr>
                      <w:spacing w:after="0"/>
                      <w:rPr>
                        <w:rFonts w:ascii="Calibri" w:eastAsia="Calibri" w:hAnsi="Calibri" w:cs="Calibri"/>
                        <w:noProof/>
                        <w:color w:val="000000"/>
                        <w:sz w:val="16"/>
                        <w:szCs w:val="16"/>
                      </w:rPr>
                    </w:pPr>
                    <w:r w:rsidRPr="008A185B">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DD27" w14:textId="6AD19702" w:rsidR="008A185B" w:rsidRDefault="008A185B">
    <w:pPr>
      <w:pStyle w:val="Footer"/>
    </w:pPr>
    <w:r>
      <w:rPr>
        <w:noProof/>
      </w:rPr>
      <mc:AlternateContent>
        <mc:Choice Requires="wps">
          <w:drawing>
            <wp:anchor distT="0" distB="0" distL="0" distR="0" simplePos="0" relativeHeight="251658240" behindDoc="0" locked="0" layoutInCell="1" allowOverlap="1" wp14:anchorId="059B0923" wp14:editId="580DB001">
              <wp:simplePos x="635" y="635"/>
              <wp:positionH relativeFrom="page">
                <wp:align>center</wp:align>
              </wp:positionH>
              <wp:positionV relativeFrom="page">
                <wp:align>bottom</wp:align>
              </wp:positionV>
              <wp:extent cx="322580" cy="324485"/>
              <wp:effectExtent l="0" t="0" r="1270" b="0"/>
              <wp:wrapNone/>
              <wp:docPr id="21529615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24485"/>
                      </a:xfrm>
                      <a:prstGeom prst="rect">
                        <a:avLst/>
                      </a:prstGeom>
                      <a:noFill/>
                      <a:ln>
                        <a:noFill/>
                      </a:ln>
                    </wps:spPr>
                    <wps:txbx>
                      <w:txbxContent>
                        <w:p w14:paraId="6F0C2FE9" w14:textId="4196E558" w:rsidR="008A185B" w:rsidRPr="008A185B" w:rsidRDefault="008A185B" w:rsidP="008A185B">
                          <w:pPr>
                            <w:spacing w:after="0"/>
                            <w:rPr>
                              <w:rFonts w:ascii="Calibri" w:eastAsia="Calibri" w:hAnsi="Calibri" w:cs="Calibri"/>
                              <w:noProof/>
                              <w:color w:val="000000"/>
                              <w:sz w:val="16"/>
                              <w:szCs w:val="16"/>
                            </w:rPr>
                          </w:pPr>
                          <w:r w:rsidRPr="008A185B">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9B0923" id="_x0000_t202" coordsize="21600,21600" o:spt="202" path="m,l,21600r21600,l21600,xe">
              <v:stroke joinstyle="miter"/>
              <v:path gradientshapeok="t" o:connecttype="rect"/>
            </v:shapetype>
            <v:shape id="Text Box 1" o:spid="_x0000_s1028" type="#_x0000_t202" alt="Internal" style="position:absolute;margin-left:0;margin-top:0;width:25.4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" filled="f" stroked="f">
              <v:fill o:detectmouseclick="t"/>
              <v:textbox style="mso-fit-shape-to-text:t" inset="0,0,0,15pt">
                <w:txbxContent>
                  <w:p w14:paraId="6F0C2FE9" w14:textId="4196E558" w:rsidR="008A185B" w:rsidRPr="008A185B" w:rsidRDefault="008A185B" w:rsidP="008A185B">
                    <w:pPr>
                      <w:spacing w:after="0"/>
                      <w:rPr>
                        <w:rFonts w:ascii="Calibri" w:eastAsia="Calibri" w:hAnsi="Calibri" w:cs="Calibri"/>
                        <w:noProof/>
                        <w:color w:val="000000"/>
                        <w:sz w:val="16"/>
                        <w:szCs w:val="16"/>
                      </w:rPr>
                    </w:pPr>
                    <w:r w:rsidRPr="008A185B">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1B7DB" w14:textId="77777777" w:rsidR="008A185B" w:rsidRDefault="008A185B" w:rsidP="008A185B">
      <w:pPr>
        <w:spacing w:after="0" w:line="240" w:lineRule="auto"/>
      </w:pPr>
      <w:r>
        <w:separator/>
      </w:r>
    </w:p>
  </w:footnote>
  <w:footnote w:type="continuationSeparator" w:id="0">
    <w:p w14:paraId="5442F623" w14:textId="77777777" w:rsidR="008A185B" w:rsidRDefault="008A185B" w:rsidP="008A1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360E7"/>
    <w:multiLevelType w:val="multilevel"/>
    <w:tmpl w:val="82B6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C65872"/>
    <w:multiLevelType w:val="multilevel"/>
    <w:tmpl w:val="BFF2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896979">
    <w:abstractNumId w:val="1"/>
  </w:num>
  <w:num w:numId="2" w16cid:durableId="180978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81"/>
    <w:rsid w:val="00195181"/>
    <w:rsid w:val="007D4B01"/>
    <w:rsid w:val="008A185B"/>
    <w:rsid w:val="00BB17FE"/>
    <w:rsid w:val="00C7370C"/>
    <w:rsid w:val="00D27F4C"/>
    <w:rsid w:val="00D777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A472"/>
  <w15:chartTrackingRefBased/>
  <w15:docId w15:val="{2C9657D1-6AEA-4AFE-97AA-97FE074A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181"/>
    <w:rPr>
      <w:rFonts w:eastAsiaTheme="majorEastAsia" w:cstheme="majorBidi"/>
      <w:color w:val="272727" w:themeColor="text1" w:themeTint="D8"/>
    </w:rPr>
  </w:style>
  <w:style w:type="paragraph" w:styleId="Title">
    <w:name w:val="Title"/>
    <w:basedOn w:val="Normal"/>
    <w:next w:val="Normal"/>
    <w:link w:val="TitleChar"/>
    <w:uiPriority w:val="10"/>
    <w:qFormat/>
    <w:rsid w:val="00195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181"/>
    <w:pPr>
      <w:spacing w:before="160"/>
      <w:jc w:val="center"/>
    </w:pPr>
    <w:rPr>
      <w:i/>
      <w:iCs/>
      <w:color w:val="404040" w:themeColor="text1" w:themeTint="BF"/>
    </w:rPr>
  </w:style>
  <w:style w:type="character" w:customStyle="1" w:styleId="QuoteChar">
    <w:name w:val="Quote Char"/>
    <w:basedOn w:val="DefaultParagraphFont"/>
    <w:link w:val="Quote"/>
    <w:uiPriority w:val="29"/>
    <w:rsid w:val="00195181"/>
    <w:rPr>
      <w:i/>
      <w:iCs/>
      <w:color w:val="404040" w:themeColor="text1" w:themeTint="BF"/>
    </w:rPr>
  </w:style>
  <w:style w:type="paragraph" w:styleId="ListParagraph">
    <w:name w:val="List Paragraph"/>
    <w:basedOn w:val="Normal"/>
    <w:uiPriority w:val="34"/>
    <w:qFormat/>
    <w:rsid w:val="00195181"/>
    <w:pPr>
      <w:ind w:left="720"/>
      <w:contextualSpacing/>
    </w:pPr>
  </w:style>
  <w:style w:type="character" w:styleId="IntenseEmphasis">
    <w:name w:val="Intense Emphasis"/>
    <w:basedOn w:val="DefaultParagraphFont"/>
    <w:uiPriority w:val="21"/>
    <w:qFormat/>
    <w:rsid w:val="00195181"/>
    <w:rPr>
      <w:i/>
      <w:iCs/>
      <w:color w:val="0F4761" w:themeColor="accent1" w:themeShade="BF"/>
    </w:rPr>
  </w:style>
  <w:style w:type="paragraph" w:styleId="IntenseQuote">
    <w:name w:val="Intense Quote"/>
    <w:basedOn w:val="Normal"/>
    <w:next w:val="Normal"/>
    <w:link w:val="IntenseQuoteChar"/>
    <w:uiPriority w:val="30"/>
    <w:qFormat/>
    <w:rsid w:val="00195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181"/>
    <w:rPr>
      <w:i/>
      <w:iCs/>
      <w:color w:val="0F4761" w:themeColor="accent1" w:themeShade="BF"/>
    </w:rPr>
  </w:style>
  <w:style w:type="character" w:styleId="IntenseReference">
    <w:name w:val="Intense Reference"/>
    <w:basedOn w:val="DefaultParagraphFont"/>
    <w:uiPriority w:val="32"/>
    <w:qFormat/>
    <w:rsid w:val="00195181"/>
    <w:rPr>
      <w:b/>
      <w:bCs/>
      <w:smallCaps/>
      <w:color w:val="0F4761" w:themeColor="accent1" w:themeShade="BF"/>
      <w:spacing w:val="5"/>
    </w:rPr>
  </w:style>
  <w:style w:type="paragraph" w:styleId="Footer">
    <w:name w:val="footer"/>
    <w:basedOn w:val="Normal"/>
    <w:link w:val="FooterChar"/>
    <w:uiPriority w:val="99"/>
    <w:unhideWhenUsed/>
    <w:rsid w:val="008A1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304992">
      <w:bodyDiv w:val="1"/>
      <w:marLeft w:val="0"/>
      <w:marRight w:val="0"/>
      <w:marTop w:val="0"/>
      <w:marBottom w:val="0"/>
      <w:divBdr>
        <w:top w:val="none" w:sz="0" w:space="0" w:color="auto"/>
        <w:left w:val="none" w:sz="0" w:space="0" w:color="auto"/>
        <w:bottom w:val="none" w:sz="0" w:space="0" w:color="auto"/>
        <w:right w:val="none" w:sz="0" w:space="0" w:color="auto"/>
      </w:divBdr>
    </w:div>
    <w:div w:id="279264855">
      <w:bodyDiv w:val="1"/>
      <w:marLeft w:val="0"/>
      <w:marRight w:val="0"/>
      <w:marTop w:val="0"/>
      <w:marBottom w:val="0"/>
      <w:divBdr>
        <w:top w:val="none" w:sz="0" w:space="0" w:color="auto"/>
        <w:left w:val="none" w:sz="0" w:space="0" w:color="auto"/>
        <w:bottom w:val="none" w:sz="0" w:space="0" w:color="auto"/>
        <w:right w:val="none" w:sz="0" w:space="0" w:color="auto"/>
      </w:divBdr>
    </w:div>
    <w:div w:id="737094779">
      <w:bodyDiv w:val="1"/>
      <w:marLeft w:val="0"/>
      <w:marRight w:val="0"/>
      <w:marTop w:val="0"/>
      <w:marBottom w:val="0"/>
      <w:divBdr>
        <w:top w:val="none" w:sz="0" w:space="0" w:color="auto"/>
        <w:left w:val="none" w:sz="0" w:space="0" w:color="auto"/>
        <w:bottom w:val="none" w:sz="0" w:space="0" w:color="auto"/>
        <w:right w:val="none" w:sz="0" w:space="0" w:color="auto"/>
      </w:divBdr>
    </w:div>
    <w:div w:id="179386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Cardenas Ontiveros, JOSE ROBERTO</dc:creator>
  <cp:keywords/>
  <dc:description/>
  <cp:lastModifiedBy>Cardenas Ontiveros, JOSE ROBERTO</cp:lastModifiedBy>
  <cp:revision>1</cp:revision>
  <dcterms:created xsi:type="dcterms:W3CDTF">2025-11-09T16:22:00Z</dcterms:created>
  <dcterms:modified xsi:type="dcterms:W3CDTF">2025-11-09T17:24:00Z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cd5289b,2cf1ec16,1ba91962</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