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Cálculo da Simuladora INSS de Obra</w:t>
      </w:r>
    </w:p>
    <w:p>
      <w:r>
        <w:rPr>
          <w:b/>
        </w:rPr>
        <w:t>Base legal:</w:t>
      </w:r>
      <w:r>
        <w:t xml:space="preserve"> IN RFB nº 2.021/2021 · </w:t>
      </w:r>
      <w:r>
        <w:rPr>
          <w:b/>
        </w:rPr>
        <w:t>VAU:</w:t>
      </w:r>
      <w:r>
        <w:t xml:space="preserve"> Jun/2026 · </w:t>
      </w:r>
      <w:r>
        <w:rPr>
          <w:b/>
        </w:rPr>
        <w:t>Mínimo:</w:t>
      </w:r>
      <w:r>
        <w:t xml:space="preserve"> 100 m²</w:t>
      </w:r>
    </w:p>
    <w:p>
      <w:pPr>
        <w:pStyle w:val="Heading2"/>
      </w:pPr>
      <w:r>
        <w:t>Resumo em português simples</w:t>
      </w:r>
    </w:p>
    <w:p>
      <w:r>
        <w:t xml:space="preserve">A Receita Federal presume que toda construção gastou uma certa quantia em mão de obra, mesmo sem nota fiscal — e cobra INSS em cima dessa quantia presumida (o "custo de obra padrão", tabela </w:t>
      </w:r>
      <w:r>
        <w:rPr>
          <w:b/>
        </w:rPr>
        <w:t>CUB/VAU</w:t>
      </w:r>
      <w:r>
        <w:t>). O simulador reproduz essa conta:</w:t>
      </w:r>
    </w:p>
    <w:p>
      <w:pPr>
        <w:pStyle w:val="ListNumber"/>
      </w:pPr>
      <w:r>
        <w:rPr>
          <w:b/>
        </w:rPr>
        <w:t>Quanto vale sua obra "no papel"</w:t>
      </w:r>
      <w:r>
        <w:t xml:space="preserve"> — pega a área construída (m²) e multiplica pelo preço oficial do m² (VAU), que muda por estado e por tipo de construção (casa, prédio, comércio, galpão, popular).</w:t>
      </w:r>
    </w:p>
    <w:p>
      <w:pPr>
        <w:pStyle w:val="ListNumber"/>
      </w:pPr>
      <w:r>
        <w:rPr>
          <w:b/>
        </w:rPr>
        <w:t>Desconta o que já é material/projeto</w:t>
      </w:r>
      <w:r>
        <w:t xml:space="preserve"> — desse valor, só uma fatia é considerada "mão de obra" (89% a 98%, dependendo do tipo).</w:t>
      </w:r>
    </w:p>
    <w:p>
      <w:pPr>
        <w:pStyle w:val="ListNumber"/>
      </w:pPr>
      <w:r>
        <w:rPr>
          <w:b/>
        </w:rPr>
        <w:t>Aplica o fator social (só pessoa física)</w:t>
      </w:r>
      <w:r>
        <w:t xml:space="preserve"> — quanto maior a área, maior a fatia presumida de mão de obra contratada (de 20% até 90%). Empresa (PJ) não tem esse desconto, entra sempre com 100%.</w:t>
      </w:r>
    </w:p>
    <w:p>
      <w:pPr>
        <w:pStyle w:val="ListNumber"/>
      </w:pPr>
      <w:r>
        <w:rPr>
          <w:b/>
        </w:rPr>
        <w:t>Aplica a alíquota da mão de obra</w:t>
      </w:r>
      <w:r>
        <w:t xml:space="preserve"> — 20% se é alvenaria, 15% se é madeira/mista.</w:t>
      </w:r>
    </w:p>
    <w:p>
      <w:pPr>
        <w:pStyle w:val="ListNumber"/>
      </w:pPr>
      <w:r>
        <w:rPr>
          <w:b/>
        </w:rPr>
        <w:t>Isso dá a "remuneração presumida" (RMT)</w:t>
      </w:r>
      <w:r>
        <w:t xml:space="preserve"> — o salário presumido de todos os trabalhadores da obra somado.</w:t>
      </w:r>
    </w:p>
    <w:p>
      <w:pPr>
        <w:pStyle w:val="ListNumber"/>
      </w:pPr>
      <w:r>
        <w:rPr>
          <w:b/>
        </w:rPr>
        <w:t>Aplica a alíquota do INSS</w:t>
      </w:r>
      <w:r>
        <w:t xml:space="preserve"> — 36,8% em cima da RMT (31% se PJ do Simples Nacional). Esse é o </w:t>
      </w:r>
      <w:r>
        <w:rPr>
          <w:b/>
        </w:rPr>
        <w:t>V0</w:t>
      </w:r>
      <w:r>
        <w:t>, o valor que a Receita cobraria se fosse fazer uma auditoria hoje, sem nenhum planejamento tributário.</w:t>
      </w:r>
    </w:p>
    <w:p>
      <w:pPr>
        <w:pStyle w:val="ListNumber"/>
      </w:pPr>
      <w:r>
        <w:rPr>
          <w:b/>
        </w:rPr>
        <w:t>Se a obra já tem alguns anos, desconta a decadência</w:t>
      </w:r>
      <w:r>
        <w:t xml:space="preserve"> — a Receita só pode cobrar até 5 anos depois do direito de cobrar nascer. O simulador calcula mês a mês da obra: cada mês que passou desse prazo é descontado do V0 proporcionalmente. Se a obra toda já passou do prazo, o INSS zera.</w:t>
      </w:r>
    </w:p>
    <w:p>
      <w:pPr>
        <w:pStyle w:val="ListNumber"/>
      </w:pPr>
      <w:r>
        <w:rPr>
          <w:b/>
        </w:rPr>
        <w:t>Com planejamento tributário, o valor cai bastante (V3)</w:t>
      </w:r>
      <w:r>
        <w:t xml:space="preserve"> — laudos técnicos e retificação da declaração reduzem o V0 pra só 27,17% dele (obras até 350 m²) ou 38,04% (obras maiores). Isso é a diferença entre "pagar o presumido" e "pagar o que documentação comprova".</w:t>
      </w:r>
    </w:p>
    <w:p>
      <w:pPr>
        <w:pStyle w:val="ListNumber"/>
      </w:pPr>
      <w:r>
        <w:rPr>
          <w:b/>
        </w:rPr>
        <w:t>Se a obra já foi iniciada e está em atraso, soma multa e juros</w:t>
      </w:r>
      <w:r>
        <w:t xml:space="preserve"> — 25% de multa, correção pela SELIC acumulada (composta, mês a mês) e R$100 por mês de mora. Isso só aparece se o usuário informou data de início da obra.</w:t>
      </w:r>
    </w:p>
    <w:p>
      <w:r>
        <w:t xml:space="preserve">Resultado final mostrado: </w:t>
      </w:r>
      <w:r>
        <w:rPr>
          <w:b/>
        </w:rPr>
        <w:t>V0</w:t>
      </w:r>
      <w:r>
        <w:t xml:space="preserve"> (sem planejamento) vs </w:t>
      </w:r>
      <w:r>
        <w:rPr>
          <w:b/>
        </w:rPr>
        <w:t>V3</w:t>
      </w:r>
      <w:r>
        <w:t xml:space="preserve"> (com planejamento) vs </w:t>
      </w:r>
      <w:r>
        <w:rPr>
          <w:b/>
        </w:rPr>
        <w:t>economia</w:t>
      </w:r>
      <w:r>
        <w:t xml:space="preserve"> — e, se aplicável, o total com multa/juros de quem já está devendo.</w:t>
      </w:r>
    </w:p>
    <w:p>
      <w:pPr>
        <w:pStyle w:val="Heading2"/>
      </w:pPr>
      <w:r>
        <w:t>INSS sem planejamento (V0)</w:t>
      </w:r>
    </w:p>
    <w:p>
      <w:pPr>
        <w:ind w:left="432"/>
      </w:pPr>
      <w:r>
        <w:rPr>
          <w:rFonts w:ascii="Consolas" w:hAnsi="Consolas"/>
          <w:sz w:val="20"/>
        </w:rPr>
        <w:t>RMT = Área × VAU[estado][dest] × Equivalência[dest] × FatorSocial × Alíquota_MO</w:t>
        <w:br/>
        <w:t>V0  = RMT × Taxa_INSS</w:t>
      </w:r>
    </w:p>
    <w:p>
      <w:r>
        <w:rPr>
          <w:b/>
        </w:rPr>
        <w:t>Equivalência por destinação:</w:t>
      </w:r>
      <w:r>
        <w:t xml:space="preserve"> uni 89% · multi 90% · com 86% · gal 95% · pop/conj 98%</w:t>
      </w:r>
    </w:p>
    <w:p>
      <w:r>
        <w:rPr>
          <w:b/>
        </w:rPr>
        <w:t>Alíquota MO:</w:t>
      </w:r>
      <w:r>
        <w:t xml:space="preserve"> alvenaria 20% · madeira/mista 15%</w:t>
      </w:r>
    </w:p>
    <w:p>
      <w:r>
        <w:rPr>
          <w:b/>
        </w:rPr>
        <w:t>Taxa INSS:</w:t>
      </w:r>
      <w:r>
        <w:t xml:space="preserve"> PF e PJ 36,8% · PJ Simples 31%</w:t>
      </w:r>
    </w:p>
    <w:p>
      <w:r>
        <w:rPr>
          <w:b/>
        </w:rPr>
        <w:t>Fator Social (só PF) — % de mão de obra por faixa de área: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Área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Fator</w:t>
            </w:r>
          </w:p>
        </w:tc>
      </w:tr>
      <w:tr>
        <w:tc>
          <w:tcPr>
            <w:tcW w:type="dxa" w:w="4320"/>
          </w:tcPr>
          <w:p>
            <w:r>
              <w:t>≤ 100 m²</w:t>
            </w:r>
          </w:p>
        </w:tc>
        <w:tc>
          <w:tcPr>
            <w:tcW w:type="dxa" w:w="4320"/>
          </w:tcPr>
          <w:p>
            <w:r>
              <w:t>20%</w:t>
            </w:r>
          </w:p>
        </w:tc>
      </w:tr>
      <w:tr>
        <w:tc>
          <w:tcPr>
            <w:tcW w:type="dxa" w:w="4320"/>
          </w:tcPr>
          <w:p>
            <w:r>
              <w:t>101–200 m²</w:t>
            </w:r>
          </w:p>
        </w:tc>
        <w:tc>
          <w:tcPr>
            <w:tcW w:type="dxa" w:w="4320"/>
          </w:tcPr>
          <w:p>
            <w:r>
              <w:t>40%</w:t>
            </w:r>
          </w:p>
        </w:tc>
      </w:tr>
      <w:tr>
        <w:tc>
          <w:tcPr>
            <w:tcW w:type="dxa" w:w="4320"/>
          </w:tcPr>
          <w:p>
            <w:r>
              <w:t>201–300 m²</w:t>
            </w:r>
          </w:p>
        </w:tc>
        <w:tc>
          <w:tcPr>
            <w:tcW w:type="dxa" w:w="4320"/>
          </w:tcPr>
          <w:p>
            <w:r>
              <w:t>55%</w:t>
            </w:r>
          </w:p>
        </w:tc>
      </w:tr>
      <w:tr>
        <w:tc>
          <w:tcPr>
            <w:tcW w:type="dxa" w:w="4320"/>
          </w:tcPr>
          <w:p>
            <w:r>
              <w:t>301–400 m²</w:t>
            </w:r>
          </w:p>
        </w:tc>
        <w:tc>
          <w:tcPr>
            <w:tcW w:type="dxa" w:w="4320"/>
          </w:tcPr>
          <w:p>
            <w:r>
              <w:t>70%</w:t>
            </w:r>
          </w:p>
        </w:tc>
      </w:tr>
      <w:tr>
        <w:tc>
          <w:tcPr>
            <w:tcW w:type="dxa" w:w="4320"/>
          </w:tcPr>
          <w:p>
            <w:r>
              <w:t>&gt; 400 m²</w:t>
            </w:r>
          </w:p>
        </w:tc>
        <w:tc>
          <w:tcPr>
            <w:tcW w:type="dxa" w:w="4320"/>
          </w:tcPr>
          <w:p>
            <w:r>
              <w:t>90%</w:t>
            </w:r>
          </w:p>
        </w:tc>
      </w:tr>
    </w:tbl>
    <w:p>
      <w:pPr>
        <w:ind w:left="432"/>
      </w:pPr>
      <w:r>
        <w:rPr>
          <w:i/>
        </w:rPr>
        <w:t>PJ: fator fixo 100%</w:t>
      </w:r>
    </w:p>
    <w:p>
      <w:pPr>
        <w:pStyle w:val="Heading2"/>
      </w:pPr>
      <w:r>
        <w:t>Decadência (opcional — se período informado)</w:t>
      </w:r>
    </w:p>
    <w:p>
      <w:r>
        <w:t xml:space="preserve">Calculada </w:t>
      </w:r>
      <w:r>
        <w:rPr>
          <w:b/>
        </w:rPr>
        <w:t>mês a mês</w:t>
      </w:r>
      <w:r>
        <w:t xml:space="preserve"> (por competência), não pela conclusão da obra como um todo. Para cada mês da obra, o prazo decadencial nasce em 1º de janeiro do ano seguinte e dura 5 anos (Art. 173, I, CTN) — ou seja, um mês de competência caduca quando </w:t>
      </w:r>
      <w:r>
        <w:rPr>
          <w:rFonts w:ascii="Consolas" w:hAnsi="Consolas"/>
          <w:sz w:val="20"/>
        </w:rPr>
        <w:t>1º/jan/(ano do mês + 6) ≤ hoje</w:t>
      </w:r>
      <w:r>
        <w:t>.</w:t>
      </w:r>
    </w:p>
    <w:p>
      <w:pPr>
        <w:ind w:left="432"/>
      </w:pPr>
      <w:r>
        <w:rPr>
          <w:rFonts w:ascii="Consolas" w:hAnsi="Consolas"/>
          <w:sz w:val="20"/>
        </w:rPr>
        <w:t>V0 = V0_base × (meses_no_prazo / total_meses)</w:t>
      </w:r>
    </w:p>
    <w:p>
      <w:r>
        <w:t>Decadência total (todos os meses caducados) → INSS = zero.</w:t>
      </w:r>
    </w:p>
    <w:p>
      <w:r>
        <w:t>Decadência parcial → V0 proporcional só aos meses ainda dentro do prazo.</w:t>
      </w:r>
    </w:p>
    <w:p>
      <w:pPr>
        <w:pStyle w:val="Heading2"/>
      </w:pPr>
      <w:r>
        <w:t>INSS com planejamento (V3)</w:t>
      </w:r>
    </w:p>
    <w:p>
      <w:pPr>
        <w:ind w:left="432"/>
      </w:pPr>
      <w:r>
        <w:rPr>
          <w:rFonts w:ascii="Consolas" w:hAnsi="Consolas"/>
          <w:sz w:val="20"/>
        </w:rPr>
        <w:t>V3 = V0 × razão_redução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Área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Razão (exata no código)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Paga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Economiza</w:t>
            </w:r>
          </w:p>
        </w:tc>
      </w:tr>
      <w:tr>
        <w:tc>
          <w:tcPr>
            <w:tcW w:type="dxa" w:w="2160"/>
          </w:tcPr>
          <w:p>
            <w:r>
              <w:t>≤ 350 m²</w:t>
            </w:r>
          </w:p>
        </w:tc>
        <w:tc>
          <w:tcPr>
            <w:tcW w:type="dxa" w:w="2160"/>
          </w:tcPr>
          <w:p>
            <w:r>
              <w:t>27,174%</w:t>
            </w:r>
          </w:p>
        </w:tc>
        <w:tc>
          <w:tcPr>
            <w:tcW w:type="dxa" w:w="2160"/>
          </w:tcPr>
          <w:p>
            <w:r>
              <w:t>~27,2%</w:t>
            </w:r>
          </w:p>
        </w:tc>
        <w:tc>
          <w:tcPr>
            <w:tcW w:type="dxa" w:w="2160"/>
          </w:tcPr>
          <w:p>
            <w:r>
              <w:t>~72,8%</w:t>
            </w:r>
          </w:p>
        </w:tc>
      </w:tr>
      <w:tr>
        <w:tc>
          <w:tcPr>
            <w:tcW w:type="dxa" w:w="2160"/>
          </w:tcPr>
          <w:p>
            <w:r>
              <w:t>&gt; 350 m²</w:t>
            </w:r>
          </w:p>
        </w:tc>
        <w:tc>
          <w:tcPr>
            <w:tcW w:type="dxa" w:w="2160"/>
          </w:tcPr>
          <w:p>
            <w:r>
              <w:t>38,043%</w:t>
            </w:r>
          </w:p>
        </w:tc>
        <w:tc>
          <w:tcPr>
            <w:tcW w:type="dxa" w:w="2160"/>
          </w:tcPr>
          <w:p>
            <w:r>
              <w:t>~38,0%</w:t>
            </w:r>
          </w:p>
        </w:tc>
        <w:tc>
          <w:tcPr>
            <w:tcW w:type="dxa" w:w="2160"/>
          </w:tcPr>
          <w:p>
            <w:r>
              <w:t>~61,9%</w:t>
            </w:r>
          </w:p>
        </w:tc>
      </w:tr>
    </w:tbl>
    <w:p>
      <w:pPr>
        <w:pStyle w:val="Heading2"/>
      </w:pPr>
      <w:r>
        <w:t>Encargos por mora (só se obra já iniciada)</w:t>
      </w:r>
    </w:p>
    <w:p>
      <w:r>
        <w:t>Ativo apenas quando data de início é passada.</w:t>
      </w:r>
    </w:p>
    <w:p>
      <w:pPr>
        <w:ind w:left="432"/>
      </w:pPr>
      <w:r>
        <w:rPr>
          <w:rFonts w:ascii="Consolas" w:hAnsi="Consolas"/>
          <w:sz w:val="20"/>
        </w:rPr>
        <w:t>Multa    = V0 × 25%</w:t>
        <w:br/>
        <w:t>Correção = V0 × 25% × SELIC_acumulada_composta</w:t>
        <w:br/>
        <w:t>Mora     = meses × R$ 100</w:t>
        <w:br/>
        <w:t>Total    = V0 + Multa + Correção + Mora</w:t>
      </w:r>
    </w:p>
    <w:p>
      <w:r>
        <w:t>SELIC: API Banco Central em tempo real · fallback 25% a.a.</w:t>
      </w:r>
    </w:p>
    <w:p>
      <w:pPr>
        <w:pStyle w:val="Heading2"/>
      </w:pPr>
      <w:r>
        <w:t>Pontos para revisão</w:t>
      </w:r>
    </w:p>
    <w:p>
      <w:pPr>
        <w:pStyle w:val="ListBullet"/>
      </w:pPr>
      <w:r>
        <w:t>☐ Faixas do Fator Social (20/40/55/70/90%) — corretas pela IN vigente?</w:t>
      </w:r>
    </w:p>
    <w:p>
      <w:pPr>
        <w:pStyle w:val="ListBullet"/>
      </w:pPr>
      <w:r>
        <w:t>☐ Razão de redução 27,17% / 38,04% — confirmar com laudos reais</w:t>
      </w:r>
    </w:p>
    <w:p>
      <w:pPr>
        <w:pStyle w:val="ListBullet"/>
      </w:pPr>
      <w:r>
        <w:t>☐ Taxa INSS 36,8% — composição exata (empresa + RAT + outros)?</w:t>
      </w:r>
    </w:p>
    <w:p>
      <w:pPr>
        <w:pStyle w:val="ListBullet"/>
      </w:pPr>
      <w:r>
        <w:t>☐ Multa 25% — percentual correto para notificação fiscal?</w:t>
      </w:r>
    </w:p>
    <w:p>
      <w:pPr>
        <w:pStyle w:val="ListBullet"/>
      </w:pPr>
      <w:r>
        <w:t>☐ Mora R$100/mês — tem base legal ou deve usar só SELIC?</w:t>
      </w:r>
    </w:p>
    <w:p>
      <w:pPr>
        <w:pStyle w:val="ListBullet"/>
      </w:pPr>
      <w:r>
        <w:t>☐ Tabela VAU Jun/2026 — está na versão mais recente (SERO/Alpha GT)?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