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98BA" w14:textId="15DDBBA4" w:rsidR="00DF7C06" w:rsidRPr="00AB3AC8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9A464E">
        <w:tc>
          <w:tcPr>
            <w:tcW w:w="10173" w:type="dxa"/>
          </w:tcPr>
          <w:p w14:paraId="1351DE20" w14:textId="77777777" w:rsidR="00DF7C06" w:rsidRPr="00A410A6" w:rsidRDefault="00DF7C06" w:rsidP="009A464E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9A464E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9A464E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9A464E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9A464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9A464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09497216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B88AD1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C1284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Математические и компьютерные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9A464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C54087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6494C1E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4F9E2E7" w14:textId="74861F18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6182A71C" w14:textId="3EE8441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BAC289C" w:rsidR="00DF7C06" w:rsidRPr="00A410A6" w:rsidRDefault="00AB3AC8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Поповкин А. А.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DF7C06" w:rsidRPr="00A410A6" w14:paraId="68F586E9" w14:textId="77777777" w:rsidTr="009A464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9A4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2528FCA7" w:rsidR="00DF7C06" w:rsidRPr="00A410A6" w:rsidRDefault="00DF7C06" w:rsidP="009A4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«отлично»</w:t>
            </w:r>
          </w:p>
          <w:p w14:paraId="35591204" w14:textId="77777777" w:rsidR="00DF7C06" w:rsidRPr="00A410A6" w:rsidRDefault="00DF7C06" w:rsidP="009A464E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9A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237F0E6D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«_____»______________202</w:t>
            </w:r>
            <w:r w:rsidR="00AB3A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9A464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 №  ______</w:t>
            </w:r>
          </w:p>
          <w:p w14:paraId="207CF6D8" w14:textId="7777777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805EFB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«____»__________________202</w:t>
            </w:r>
            <w:r w:rsidR="0073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64CF3BEF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  «</w:t>
            </w:r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0763CFF2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5D6764E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CEC1BB7" w14:textId="3007C142" w:rsidR="00FE4ED3" w:rsidRDefault="00DF7C06" w:rsidP="004A44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B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72ACA88" w14:textId="722C439D" w:rsidR="00FE4ED3" w:rsidRDefault="00FE4ED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50D16B0" w14:textId="77777777" w:rsidR="00DF7C06" w:rsidRDefault="00DF7C06" w:rsidP="004A442C">
      <w:pPr>
        <w:spacing w:after="0" w:line="240" w:lineRule="auto"/>
        <w:jc w:val="center"/>
      </w:pPr>
    </w:p>
    <w:p w14:paraId="44CBECFC" w14:textId="77777777" w:rsidR="000D5CDC" w:rsidRDefault="00F77CDC" w:rsidP="000D5CD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b/>
          <w:bCs/>
          <w:sz w:val="32"/>
          <w:szCs w:val="32"/>
        </w:rPr>
        <w:t>Оглавление</w:t>
      </w:r>
    </w:p>
    <w:sdt>
      <w:sdtPr>
        <w:id w:val="-1035647967"/>
        <w:docPartObj>
          <w:docPartGallery w:val="Table of Contents"/>
          <w:docPartUnique/>
        </w:docPartObj>
      </w:sdtPr>
      <w:sdtContent>
        <w:p w14:paraId="1179EABF" w14:textId="77BDBB6B" w:rsidR="0069746F" w:rsidRPr="000D5CDC" w:rsidRDefault="0069746F" w:rsidP="000D5CDC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D2F6F04" w14:textId="1AA66A34" w:rsidR="0069746F" w:rsidRPr="0069746F" w:rsidRDefault="0069746F" w:rsidP="0069746F">
          <w:pPr>
            <w:pStyle w:val="11"/>
          </w:pPr>
          <w:r>
            <w:t xml:space="preserve">1. </w:t>
          </w:r>
          <w:r w:rsidRPr="0069746F">
            <w:t>Введение</w:t>
          </w:r>
          <w:r w:rsidRPr="0069746F">
            <w:ptab w:relativeTo="margin" w:alignment="right" w:leader="dot"/>
          </w:r>
          <w:r w:rsidRPr="0069746F">
            <w:t>3</w:t>
          </w:r>
        </w:p>
        <w:p w14:paraId="783AAC1C" w14:textId="372EED61" w:rsidR="0069746F" w:rsidRDefault="00F76D71" w:rsidP="0069746F">
          <w:pPr>
            <w:pStyle w:val="11"/>
          </w:pPr>
          <w:r>
            <w:t xml:space="preserve">2. </w:t>
          </w:r>
          <w:r w:rsidR="0069746F" w:rsidRPr="0069746F">
            <w:t>Цель</w:t>
          </w:r>
          <w:r w:rsidR="0069746F" w:rsidRPr="0069746F">
            <w:ptab w:relativeTo="margin" w:alignment="right" w:leader="dot"/>
          </w:r>
          <w:r w:rsidR="0069746F">
            <w:t>3</w:t>
          </w:r>
        </w:p>
        <w:p w14:paraId="0E84FEFB" w14:textId="0B5EFDC4" w:rsidR="0069746F" w:rsidRDefault="00F76D71" w:rsidP="0069746F">
          <w:pPr>
            <w:pStyle w:val="11"/>
          </w:pPr>
          <w:r>
            <w:t xml:space="preserve">3. </w:t>
          </w:r>
          <w:r w:rsidR="0069746F">
            <w:t>Основная часть</w:t>
          </w:r>
          <w:r w:rsidR="0069746F" w:rsidRPr="0069746F">
            <w:ptab w:relativeTo="margin" w:alignment="right" w:leader="dot"/>
          </w:r>
          <w:r w:rsidR="0069746F">
            <w:t>4</w:t>
          </w:r>
        </w:p>
        <w:p w14:paraId="21EDA358" w14:textId="61A88F61" w:rsidR="0069746F" w:rsidRDefault="00F76D71" w:rsidP="0069746F">
          <w:pPr>
            <w:pStyle w:val="11"/>
          </w:pPr>
          <w:r>
            <w:t xml:space="preserve">4. </w:t>
          </w:r>
          <w:r w:rsidR="0069746F">
            <w:t>Заключение</w:t>
          </w:r>
          <w:r w:rsidR="0069746F" w:rsidRPr="0069746F">
            <w:ptab w:relativeTo="margin" w:alignment="right" w:leader="dot"/>
          </w:r>
          <w:r w:rsidR="0069746F">
            <w:t>8</w:t>
          </w:r>
        </w:p>
        <w:p w14:paraId="7F56BFBC" w14:textId="32F745FC" w:rsidR="0069746F" w:rsidRDefault="00F76D71" w:rsidP="0069746F">
          <w:pPr>
            <w:pStyle w:val="11"/>
          </w:pPr>
          <w:r>
            <w:t xml:space="preserve">5. </w:t>
          </w:r>
          <w:r w:rsidR="0069746F">
            <w:t>Список литературы</w:t>
          </w:r>
          <w:r w:rsidR="0069746F" w:rsidRPr="0069746F">
            <w:ptab w:relativeTo="margin" w:alignment="right" w:leader="dot"/>
          </w:r>
          <w:r w:rsidR="0069746F">
            <w:t>8</w:t>
          </w:r>
        </w:p>
        <w:p w14:paraId="2FABDBBC" w14:textId="218C6439" w:rsidR="0069746F" w:rsidRPr="0069746F" w:rsidRDefault="00000000" w:rsidP="0069746F">
          <w:pPr>
            <w:rPr>
              <w:lang w:eastAsia="ru-RU"/>
            </w:rPr>
          </w:pP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0D5CDC" w:rsidRDefault="00F77CDC" w:rsidP="000D5CDC">
      <w:pPr>
        <w:pStyle w:val="1"/>
      </w:pPr>
      <w:r w:rsidRPr="000D5CDC">
        <w:lastRenderedPageBreak/>
        <w:t>Введение</w:t>
      </w:r>
    </w:p>
    <w:p w14:paraId="1BAEB0D3" w14:textId="7C583A04" w:rsidR="008E1F8A" w:rsidRDefault="008E1F8A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последние годы был произведён быстрый рост в сфере медицины. Стало больше препаратов, появились новые машины и в целом произошёл прогресс в выдаче медицинской помощи населению. Однако некоторые ситуации остаются до сих пор неизученными, и тут уже в дело вступают математические модели. </w:t>
      </w:r>
      <w:r w:rsidR="00BE08E9">
        <w:rPr>
          <w:rFonts w:ascii="Times New Roman" w:hAnsi="Times New Roman" w:cs="Times New Roman"/>
          <w:sz w:val="28"/>
          <w:szCs w:val="28"/>
        </w:rPr>
        <w:t>Без риска для жизни человека</w:t>
      </w:r>
      <w:r>
        <w:rPr>
          <w:rFonts w:ascii="Times New Roman" w:hAnsi="Times New Roman" w:cs="Times New Roman"/>
          <w:sz w:val="28"/>
          <w:szCs w:val="28"/>
        </w:rPr>
        <w:t xml:space="preserve"> они </w:t>
      </w:r>
      <w:r w:rsidR="00BE08E9">
        <w:rPr>
          <w:rFonts w:ascii="Times New Roman" w:hAnsi="Times New Roman" w:cs="Times New Roman"/>
          <w:sz w:val="28"/>
          <w:szCs w:val="28"/>
        </w:rPr>
        <w:t xml:space="preserve">позволяют предсказать с высокой точностью, какое воздействие на организм оказывает даже небольшое изменение различных физических показателей. </w:t>
      </w:r>
      <w:r w:rsidR="00BE08E9" w:rsidRPr="00BE08E9">
        <w:rPr>
          <w:rFonts w:ascii="Times New Roman" w:hAnsi="Times New Roman" w:cs="Times New Roman"/>
          <w:sz w:val="28"/>
          <w:szCs w:val="28"/>
        </w:rPr>
        <w:t>Поскольку ученые медицинской сферы не обладают необходимой квалификацией для создания математической модели необходимо сотрудничество со специалистами в области моделирования.</w:t>
      </w:r>
    </w:p>
    <w:p w14:paraId="7B8878EF" w14:textId="50CC6ADD" w:rsidR="00BE08E9" w:rsidRDefault="00BE08E9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самых важных процессов в человеческом организме является процесс переноса кислорода клетками крови в органы. Поэтому меня и моих сокурсников заинтересовала тема математического моделирования движения крови в сосудистой сети человека.</w:t>
      </w:r>
      <w:r w:rsidRPr="00BE08E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BE08E9">
        <w:rPr>
          <w:rFonts w:ascii="Times New Roman" w:hAnsi="Times New Roman" w:cs="Times New Roman"/>
          <w:sz w:val="28"/>
          <w:szCs w:val="28"/>
        </w:rPr>
        <w:t>потока крови в сосудистой сети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0CE76154" w14:textId="77777777" w:rsidR="00BE08E9" w:rsidRDefault="00BE08E9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направлена на изучение движения крови в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</w:t>
      </w:r>
    </w:p>
    <w:p w14:paraId="3CDD603D" w14:textId="16C66589" w:rsidR="00BE08E9" w:rsidRPr="008B3AEC" w:rsidRDefault="00BE08E9" w:rsidP="008B3AE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исследования была проделана общая часть работы – моделирование движения крови в микрососудах, а также была выполнена </w:t>
      </w:r>
      <w:r w:rsidRPr="00085A41">
        <w:rPr>
          <w:rFonts w:ascii="Times New Roman" w:hAnsi="Times New Roman" w:cs="Times New Roman"/>
          <w:sz w:val="28"/>
          <w:szCs w:val="28"/>
        </w:rPr>
        <w:t xml:space="preserve">индивидуальная </w:t>
      </w:r>
      <w:r>
        <w:rPr>
          <w:rFonts w:ascii="Times New Roman" w:hAnsi="Times New Roman" w:cs="Times New Roman"/>
          <w:sz w:val="28"/>
          <w:szCs w:val="28"/>
        </w:rPr>
        <w:t>часть – изучение влияния изменения конкретных параметров на движение крови.</w:t>
      </w:r>
    </w:p>
    <w:p w14:paraId="4D02317B" w14:textId="538CAF36" w:rsidR="00FC068F" w:rsidRPr="0069746F" w:rsidRDefault="00FC068F" w:rsidP="000D5CDC">
      <w:pPr>
        <w:pStyle w:val="1"/>
      </w:pPr>
      <w:r w:rsidRPr="0069746F">
        <w:t>Цель</w:t>
      </w:r>
    </w:p>
    <w:p w14:paraId="0B9363B1" w14:textId="77777777" w:rsidR="008B3AEC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проекта является моделирование движения крови в пакете </w:t>
      </w:r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 xml:space="preserve"> с помощью метода конечных элементов.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20C6C" w:rsidRPr="00DE5822">
        <w:rPr>
          <w:rFonts w:ascii="Times New Roman" w:hAnsi="Times New Roman" w:cs="Times New Roman"/>
          <w:sz w:val="28"/>
          <w:szCs w:val="28"/>
        </w:rPr>
        <w:t>Метод конечных элементов – это численный метод решения дифференциальных уравнений с частными производными. Данный м</w:t>
      </w:r>
      <w:r w:rsidR="00767E57" w:rsidRPr="00DE5822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</w:t>
      </w:r>
    </w:p>
    <w:p w14:paraId="7716FF57" w14:textId="5C8C4080" w:rsidR="00B65F5F" w:rsidRPr="00085A41" w:rsidRDefault="00767E57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>Т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важной частью проекта стало </w:t>
      </w:r>
      <w:r w:rsidR="00FC068F"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коэффициента деформации эритроцитов на скорость потока крови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Кроме того,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</w:t>
      </w:r>
      <w:r w:rsidR="00B65F5F" w:rsidRPr="00085A41">
        <w:rPr>
          <w:rFonts w:ascii="Times New Roman" w:hAnsi="Times New Roman" w:cs="Times New Roman"/>
          <w:sz w:val="28"/>
          <w:szCs w:val="28"/>
        </w:rPr>
        <w:lastRenderedPageBreak/>
        <w:t xml:space="preserve">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4097C" w14:textId="04B4B370" w:rsidR="000D5CDC" w:rsidRPr="00281FDD" w:rsidRDefault="00E2571A" w:rsidP="00281FDD">
      <w:pPr>
        <w:pStyle w:val="1"/>
      </w:pPr>
      <w:r w:rsidRPr="0069746F">
        <w:t>Основная часть</w:t>
      </w:r>
    </w:p>
    <w:p w14:paraId="50F88954" w14:textId="262CEB85" w:rsidR="00E2571A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рассматривать движение крови в микрососудах с диаметром капилляра 4-8 мкм, длиной 50-150 мкм. Объем эритроцита 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Такие параметры были выбраны, поскольку при диаметре меньше 8 мкм поток крови можно будет представить как последовательность эритроцитов, движущихся друг за другом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, что позволяет приблизить модель к естественному движению крови.</w:t>
      </w:r>
    </w:p>
    <w:p w14:paraId="6AC7196C" w14:textId="42EC7AAF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1-2)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гематокрита.</w:t>
      </w:r>
    </w:p>
    <w:p w14:paraId="18C57D06" w14:textId="01A37D8F" w:rsid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E168323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Человеческая кровь при гематокрите 0,2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54E95C2B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Человеческая кровь при гематокрите 0,4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571CF" w14:textId="4C667AC4" w:rsidR="00E2571A" w:rsidRDefault="00E2571A" w:rsidP="00B65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Гематокрит – </w:t>
      </w:r>
      <w:r w:rsidRPr="00824328">
        <w:rPr>
          <w:rFonts w:ascii="Times New Roman" w:hAnsi="Times New Roman" w:cs="Times New Roman"/>
          <w:sz w:val="28"/>
          <w:szCs w:val="28"/>
        </w:rPr>
        <w:t>отношение объема эритроцитов к объему плазмы крови.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182EE" w14:textId="5A89DC19" w:rsidR="00281FDD" w:rsidRDefault="00281FDD" w:rsidP="00281FD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0789862"/>
      <w:r w:rsidRPr="00386F55">
        <w:rPr>
          <w:rFonts w:ascii="Times New Roman" w:hAnsi="Times New Roman" w:cs="Times New Roman"/>
          <w:sz w:val="28"/>
          <w:szCs w:val="28"/>
        </w:rPr>
        <w:t>Так как поток крови будет представлен как последовательность эритроцитов (</w:t>
      </w:r>
      <w:r w:rsidRPr="00386F55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386F55">
        <w:rPr>
          <w:rFonts w:ascii="Times New Roman" w:hAnsi="Times New Roman" w:cs="Times New Roman"/>
          <w:sz w:val="28"/>
          <w:szCs w:val="28"/>
        </w:rPr>
        <w:t xml:space="preserve">), движущихся друг за другом с потоком плазмы, капилляр можно изобразить следующим образом (см. 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6F55">
        <w:rPr>
          <w:rFonts w:ascii="Times New Roman" w:hAnsi="Times New Roman" w:cs="Times New Roman"/>
          <w:sz w:val="28"/>
          <w:szCs w:val="28"/>
        </w:rPr>
        <w:t xml:space="preserve">). 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эритроцитов, при деформации объем эритроцита не изменяется.</w:t>
      </w:r>
      <w:r>
        <w:rPr>
          <w:rFonts w:ascii="Times New Roman" w:hAnsi="Times New Roman" w:cs="Times New Roman"/>
          <w:sz w:val="28"/>
          <w:szCs w:val="28"/>
        </w:rPr>
        <w:t xml:space="preserve"> Дугу отклонения описываем параболой, которая однозначно 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386F55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386F55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– длина сосуда.</w:t>
      </w:r>
      <w:bookmarkEnd w:id="0"/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0D352078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множествах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a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6E12FFD9" w:rsidR="005E135B" w:rsidRDefault="00281FDD" w:rsidP="00281FD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>Для решения задачи будем использовать уравнение Стокса с переменной вязкостью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г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6A114C" w:rsidRPr="006A114C">
        <w:rPr>
          <w:sz w:val="28"/>
          <w:szCs w:val="28"/>
        </w:rPr>
        <w:t xml:space="preserve"> – </w:t>
      </w:r>
      <w:r w:rsidR="006A114C" w:rsidRPr="006A114C">
        <w:rPr>
          <w:rFonts w:ascii="Times New Roman" w:hAnsi="Times New Roman" w:cs="Times New Roman"/>
          <w:sz w:val="28"/>
          <w:szCs w:val="28"/>
        </w:rPr>
        <w:t>вектор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p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переменная вязкость.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72F21A28" w14:textId="4A9ECCF9" w:rsidR="000B73A1" w:rsidRDefault="00AB3796" w:rsidP="006A114C">
      <w:pPr>
        <w:spacing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>деформации и оператор дивергенции в цилиндрических координатах 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7926"/>
        <w:gridCol w:w="1181"/>
      </w:tblGrid>
      <w:tr w:rsidR="000B73A1" w:rsidRPr="007C1C51" w14:paraId="53ED3490" w14:textId="77777777" w:rsidTr="000B73A1">
        <w:trPr>
          <w:trHeight w:val="1289"/>
        </w:trPr>
        <w:tc>
          <w:tcPr>
            <w:tcW w:w="248" w:type="dxa"/>
          </w:tcPr>
          <w:p w14:paraId="4CE2789A" w14:textId="77777777" w:rsidR="000B73A1" w:rsidRPr="007C1C51" w:rsidRDefault="000B73A1" w:rsidP="00E52F2A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7926" w:type="dxa"/>
            <w:vAlign w:val="center"/>
          </w:tcPr>
          <w:p w14:paraId="46DB1432" w14:textId="62E6CDAC" w:rsidR="000B73A1" w:rsidRPr="000B73A1" w:rsidRDefault="007927B1" w:rsidP="00E52F2A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</m:oMath>
            <w:r w:rsidR="000B73A1">
              <w:rPr>
                <w:rFonts w:ascii="Times New Roman" w:hAnsi="Times New Roman"/>
                <w:sz w:val="28"/>
                <w:szCs w:val="28"/>
              </w:rPr>
              <w:t>(3)</w:t>
            </w:r>
          </w:p>
          <w:p w14:paraId="41A3CB68" w14:textId="77777777" w:rsidR="000B73A1" w:rsidRPr="000B73A1" w:rsidRDefault="000B73A1" w:rsidP="00E52F2A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43BF0711" w:rsidR="00920C6C" w:rsidRPr="003A1A06" w:rsidRDefault="00C6472E" w:rsidP="00920C6C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  <w:tc>
          <w:tcPr>
            <w:tcW w:w="1181" w:type="dxa"/>
            <w:vAlign w:val="center"/>
          </w:tcPr>
          <w:p w14:paraId="63FF4B00" w14:textId="5EC0E97F" w:rsidR="000B73A1" w:rsidRPr="007C1C51" w:rsidRDefault="000B73A1" w:rsidP="00E52F2A">
            <w:pPr>
              <w:spacing w:after="60"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E99BD96" w14:textId="77777777" w:rsidR="007927B1" w:rsidRDefault="007927B1" w:rsidP="00920C6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BD79A9" w14:textId="77777777" w:rsidR="006A114C" w:rsidRDefault="006A114C" w:rsidP="000B73A1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Если происходит попадание в область эритроцита, то значение переменной вязкости равно 0.1</w:t>
      </w:r>
      <w:r>
        <w:rPr>
          <w:rFonts w:ascii="Times New Roman" w:hAnsi="Times New Roman" w:cs="Times New Roman"/>
          <w:sz w:val="28"/>
          <w:szCs w:val="28"/>
        </w:rPr>
        <w:t xml:space="preserve"> Па * с</w:t>
      </w:r>
      <w:r w:rsidRPr="006A114C">
        <w:rPr>
          <w:rFonts w:ascii="Times New Roman" w:hAnsi="Times New Roman" w:cs="Times New Roman"/>
          <w:sz w:val="28"/>
          <w:szCs w:val="28"/>
        </w:rPr>
        <w:t>, если в область плазмы, то 0.001</w:t>
      </w:r>
      <w:r>
        <w:rPr>
          <w:rFonts w:ascii="Times New Roman" w:hAnsi="Times New Roman" w:cs="Times New Roman"/>
          <w:sz w:val="28"/>
          <w:szCs w:val="28"/>
        </w:rPr>
        <w:t xml:space="preserve"> Па * с</w:t>
      </w:r>
      <w:r w:rsidRPr="006A11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AC028" w14:textId="6FCE2DBC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методом конечных элементов выведем слабую формулировку задачи. Домножим уравнения (1) на тестовые функции,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D26D43C" w14:textId="77777777" w:rsidR="006A114C" w:rsidRPr="00796253" w:rsidRDefault="00000000" w:rsidP="006A114C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2D0EBE4" w14:textId="1463CB7F" w:rsidR="00920C6C" w:rsidRPr="006A114C" w:rsidRDefault="006A114C" w:rsidP="006A11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FB2CBD7" w14:textId="528FEB8E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2D0C6B1B" w14:textId="4A5FA8B7" w:rsidR="00AB3796" w:rsidRDefault="00AB3796" w:rsidP="00C6472E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Продольная компонента скорости выглядит следующим образом:</w:t>
      </w:r>
    </w:p>
    <w:p w14:paraId="52D85AFB" w14:textId="6F6E4B87" w:rsidR="009855E9" w:rsidRDefault="009855E9" w:rsidP="009855E9">
      <w:pPr>
        <w:spacing w:before="240" w:after="6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47C44" wp14:editId="6AC8115E">
            <wp:extent cx="6588000" cy="2581200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06" t="15331"/>
                    <a:stretch/>
                  </pic:blipFill>
                  <pic:spPr bwMode="auto">
                    <a:xfrm>
                      <a:off x="0" y="0"/>
                      <a:ext cx="6588000" cy="25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31902" w14:textId="3475C1A1" w:rsidR="005E135B" w:rsidRPr="007927B1" w:rsidRDefault="000B73A1" w:rsidP="00C6472E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Зависимость скорости потока от коэффициента деформации</w:t>
      </w:r>
      <w:r w:rsidR="001F3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(формула указана на рисунке)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линейной плотности эритроцитов представлена на рисунке </w:t>
      </w:r>
      <w:r w:rsidR="009855E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1A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Линейная плотность эритроцитов – отношение </w:t>
      </w:r>
      <w:r w:rsidR="005E540D">
        <w:rPr>
          <w:rFonts w:ascii="Times New Roman" w:hAnsi="Times New Roman" w:cs="Times New Roman"/>
          <w:color w:val="000000" w:themeColor="text1"/>
          <w:sz w:val="28"/>
          <w:szCs w:val="28"/>
        </w:rPr>
        <w:t>объема эритроцитов к плазме</w:t>
      </w:r>
      <w:r w:rsidR="00DE5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DE58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DE5822"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E5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1AF28" w14:textId="4F9AC0DF" w:rsidR="000B73A1" w:rsidRPr="000B73A1" w:rsidRDefault="000B73A1" w:rsidP="006A114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Из результатов вычислительных экспериментов видно, что деформация эритроцитов незначительно влияет на скорость потока. Это дает основание использовать цилиндрическую форму эритроцитов при описании модельной области.</w:t>
      </w:r>
      <w:r w:rsidR="006A114C">
        <w:rPr>
          <w:noProof/>
        </w:rPr>
        <w:drawing>
          <wp:inline distT="0" distB="0" distL="0" distR="0" wp14:anchorId="39E5EDE9" wp14:editId="1F1956B9">
            <wp:extent cx="5940425" cy="3716020"/>
            <wp:effectExtent l="0" t="0" r="3175" b="17780"/>
            <wp:docPr id="20668953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06567EB" w14:textId="1D5068E2" w:rsidR="001F3D54" w:rsidRPr="001F3D54" w:rsidRDefault="000B73A1" w:rsidP="001F3D54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55E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</w:p>
    <w:p w14:paraId="5ECFBC95" w14:textId="2492020D" w:rsidR="00C6472E" w:rsidRDefault="006A114C" w:rsidP="00C6472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Из результатов вычислительных экспериментов видно, что деформация эритроцитов незначительно влияет на скорость потока и даёт ошибку, находящуюся в пределах погрешности измерений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6472E">
        <w:rPr>
          <w:rFonts w:ascii="Times New Roman" w:hAnsi="Times New Roman" w:cs="Times New Roman"/>
          <w:sz w:val="28"/>
          <w:szCs w:val="28"/>
        </w:rPr>
        <w:t>3%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6472E">
        <w:rPr>
          <w:rFonts w:ascii="Times New Roman" w:hAnsi="Times New Roman" w:cs="Times New Roman"/>
          <w:sz w:val="28"/>
          <w:szCs w:val="28"/>
        </w:rPr>
        <w:t xml:space="preserve">поэтому можно </w:t>
      </w:r>
      <w:r w:rsidR="00C6472E">
        <w:rPr>
          <w:rFonts w:ascii="Times New Roman" w:hAnsi="Times New Roman" w:cs="Times New Roman"/>
          <w:sz w:val="28"/>
          <w:szCs w:val="28"/>
        </w:rPr>
        <w:lastRenderedPageBreak/>
        <w:t xml:space="preserve">сделать вывод о стабильности и </w:t>
      </w:r>
      <w:r w:rsidR="007927B1" w:rsidRPr="003A1A06">
        <w:rPr>
          <w:rFonts w:ascii="Times New Roman" w:hAnsi="Times New Roman" w:cs="Times New Roman"/>
          <w:sz w:val="28"/>
          <w:szCs w:val="28"/>
        </w:rPr>
        <w:t>адекватности</w:t>
      </w:r>
      <w:r w:rsidR="00C6472E" w:rsidRPr="003A1A06">
        <w:rPr>
          <w:rFonts w:ascii="Times New Roman" w:hAnsi="Times New Roman" w:cs="Times New Roman"/>
          <w:sz w:val="28"/>
          <w:szCs w:val="28"/>
        </w:rPr>
        <w:t xml:space="preserve"> </w:t>
      </w:r>
      <w:r w:rsidR="00C6472E">
        <w:rPr>
          <w:rFonts w:ascii="Times New Roman" w:hAnsi="Times New Roman" w:cs="Times New Roman"/>
          <w:sz w:val="28"/>
          <w:szCs w:val="28"/>
        </w:rPr>
        <w:t>модели.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35EBEE8" wp14:editId="2717A470">
            <wp:extent cx="5940425" cy="2827020"/>
            <wp:effectExtent l="0" t="0" r="3175" b="11430"/>
            <wp:docPr id="15851825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923CDD" w14:textId="46FF16C9" w:rsidR="009855E9" w:rsidRDefault="00C6472E" w:rsidP="00C6472E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9855E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4319F596" w14:textId="137EED15" w:rsidR="009855E9" w:rsidRDefault="009855E9" w:rsidP="009855E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FD0AEA" w14:textId="77777777" w:rsidR="0069746F" w:rsidRDefault="0069746F" w:rsidP="000D5CDC">
      <w:pPr>
        <w:pStyle w:val="1"/>
      </w:pPr>
      <w:r w:rsidRPr="0069746F">
        <w:t>Заключение</w:t>
      </w:r>
    </w:p>
    <w:p w14:paraId="0C264E0C" w14:textId="1FCFD996" w:rsidR="006A114C" w:rsidRDefault="006A114C" w:rsidP="006A11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микрососуде;</w:t>
      </w:r>
    </w:p>
    <w:p w14:paraId="76660815" w14:textId="73A7EC6F" w:rsidR="00824328" w:rsidRPr="006A114C" w:rsidRDefault="006A114C" w:rsidP="00555B1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Осуществлена программная реализация алгоритма в пакете FreeFEM++;</w:t>
      </w:r>
    </w:p>
    <w:p w14:paraId="3502DDE9" w14:textId="77777777" w:rsidR="0069746F" w:rsidRPr="0069746F" w:rsidRDefault="0069746F" w:rsidP="0069746F">
      <w:pPr>
        <w:pStyle w:val="a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0D5CDC">
      <w:pPr>
        <w:pStyle w:val="1"/>
      </w:pPr>
      <w:r w:rsidRPr="009855E9">
        <w:t>Список литературы</w:t>
      </w:r>
    </w:p>
    <w:p w14:paraId="35DFE0D9" w14:textId="58140FF4" w:rsidR="009855E9" w:rsidRPr="009B3BF1" w:rsidRDefault="009855E9" w:rsidP="009B3BF1">
      <w:pPr>
        <w:pStyle w:val="21"/>
        <w:numPr>
          <w:ilvl w:val="0"/>
          <w:numId w:val="1"/>
        </w:numPr>
        <w:pBdr>
          <w:bottom w:val="none" w:sz="0" w:space="0" w:color="auto"/>
        </w:pBdr>
        <w:spacing w:before="120" w:line="276" w:lineRule="auto"/>
        <w:rPr>
          <w:sz w:val="28"/>
          <w:szCs w:val="28"/>
          <w:lang w:val="en-US"/>
        </w:rPr>
      </w:pPr>
      <w:r w:rsidRPr="009855E9">
        <w:rPr>
          <w:sz w:val="28"/>
          <w:szCs w:val="28"/>
          <w:lang w:val="en-US"/>
        </w:rPr>
        <w:t xml:space="preserve">Kovtanyuk A. Modeling of the cerebral blood circulation in a capillary network accounting for the influence of the endothelial surface layer / A. Kovtanyuk, V. Turova, I. Sidorenko, A. Chebotarev, R. Lampea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16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51AC2" w14:textId="77777777" w:rsidR="006E102D" w:rsidRDefault="006E102D" w:rsidP="00FE4ED3">
      <w:pPr>
        <w:spacing w:after="0" w:line="240" w:lineRule="auto"/>
      </w:pPr>
      <w:r>
        <w:separator/>
      </w:r>
    </w:p>
    <w:p w14:paraId="2E707C83" w14:textId="77777777" w:rsidR="006E102D" w:rsidRDefault="006E102D"/>
  </w:endnote>
  <w:endnote w:type="continuationSeparator" w:id="0">
    <w:p w14:paraId="4DFDD926" w14:textId="77777777" w:rsidR="006E102D" w:rsidRDefault="006E102D" w:rsidP="00FE4ED3">
      <w:pPr>
        <w:spacing w:after="0" w:line="240" w:lineRule="auto"/>
      </w:pPr>
      <w:r>
        <w:continuationSeparator/>
      </w:r>
    </w:p>
    <w:p w14:paraId="1E8070AE" w14:textId="77777777" w:rsidR="006E102D" w:rsidRDefault="006E10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6B8BCE1C" w:rsidR="00F77CDC" w:rsidRDefault="00F77CD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7B1">
          <w:rPr>
            <w:noProof/>
          </w:rPr>
          <w:t>2</w:t>
        </w:r>
        <w:r>
          <w:fldChar w:fldCharType="end"/>
        </w:r>
      </w:p>
    </w:sdtContent>
  </w:sdt>
  <w:p w14:paraId="00DA8392" w14:textId="77777777" w:rsidR="00F77CDC" w:rsidRDefault="00F77CDC">
    <w:pPr>
      <w:pStyle w:val="a6"/>
    </w:pPr>
  </w:p>
  <w:p w14:paraId="59F5B3B5" w14:textId="77777777" w:rsidR="00797B51" w:rsidRDefault="00797B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F0264" w14:textId="77777777" w:rsidR="006E102D" w:rsidRDefault="006E102D" w:rsidP="00FE4ED3">
      <w:pPr>
        <w:spacing w:after="0" w:line="240" w:lineRule="auto"/>
      </w:pPr>
      <w:r>
        <w:separator/>
      </w:r>
    </w:p>
    <w:p w14:paraId="7FAB9449" w14:textId="77777777" w:rsidR="006E102D" w:rsidRDefault="006E102D"/>
  </w:footnote>
  <w:footnote w:type="continuationSeparator" w:id="0">
    <w:p w14:paraId="552E3DB2" w14:textId="77777777" w:rsidR="006E102D" w:rsidRDefault="006E102D" w:rsidP="00FE4ED3">
      <w:pPr>
        <w:spacing w:after="0" w:line="240" w:lineRule="auto"/>
      </w:pPr>
      <w:r>
        <w:continuationSeparator/>
      </w:r>
    </w:p>
    <w:p w14:paraId="6A01BF89" w14:textId="77777777" w:rsidR="006E102D" w:rsidRDefault="006E10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1198"/>
    <w:multiLevelType w:val="hybridMultilevel"/>
    <w:tmpl w:val="6F241654"/>
    <w:lvl w:ilvl="0" w:tplc="1414B84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8503021">
    <w:abstractNumId w:val="0"/>
  </w:num>
  <w:num w:numId="2" w16cid:durableId="1817382236">
    <w:abstractNumId w:val="1"/>
  </w:num>
  <w:num w:numId="3" w16cid:durableId="1832526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06"/>
    <w:rsid w:val="000729AB"/>
    <w:rsid w:val="00085A41"/>
    <w:rsid w:val="000B73A1"/>
    <w:rsid w:val="000D5CDC"/>
    <w:rsid w:val="0016590B"/>
    <w:rsid w:val="001E64E7"/>
    <w:rsid w:val="001F3D54"/>
    <w:rsid w:val="00281FDD"/>
    <w:rsid w:val="00367537"/>
    <w:rsid w:val="003939F3"/>
    <w:rsid w:val="00394359"/>
    <w:rsid w:val="00395433"/>
    <w:rsid w:val="003A1A06"/>
    <w:rsid w:val="003B7478"/>
    <w:rsid w:val="004278FF"/>
    <w:rsid w:val="00442D9E"/>
    <w:rsid w:val="00443A64"/>
    <w:rsid w:val="00457A0E"/>
    <w:rsid w:val="00485AA8"/>
    <w:rsid w:val="004A442C"/>
    <w:rsid w:val="004D36D2"/>
    <w:rsid w:val="00540474"/>
    <w:rsid w:val="00555B11"/>
    <w:rsid w:val="005E135B"/>
    <w:rsid w:val="005E540D"/>
    <w:rsid w:val="00637DE7"/>
    <w:rsid w:val="0069746F"/>
    <w:rsid w:val="006A114C"/>
    <w:rsid w:val="006E102D"/>
    <w:rsid w:val="007066AB"/>
    <w:rsid w:val="00707A42"/>
    <w:rsid w:val="00734A2B"/>
    <w:rsid w:val="00767E57"/>
    <w:rsid w:val="007927B1"/>
    <w:rsid w:val="00797B51"/>
    <w:rsid w:val="007F09BA"/>
    <w:rsid w:val="00824328"/>
    <w:rsid w:val="008B3AEC"/>
    <w:rsid w:val="008E1F8A"/>
    <w:rsid w:val="008F55CF"/>
    <w:rsid w:val="00902CE5"/>
    <w:rsid w:val="00920C6C"/>
    <w:rsid w:val="009855E9"/>
    <w:rsid w:val="009914A7"/>
    <w:rsid w:val="009B27E5"/>
    <w:rsid w:val="009B3BF1"/>
    <w:rsid w:val="009F6048"/>
    <w:rsid w:val="00A02847"/>
    <w:rsid w:val="00A065A4"/>
    <w:rsid w:val="00A8016F"/>
    <w:rsid w:val="00A91191"/>
    <w:rsid w:val="00AB1B11"/>
    <w:rsid w:val="00AB3796"/>
    <w:rsid w:val="00AB3AC8"/>
    <w:rsid w:val="00AB529E"/>
    <w:rsid w:val="00B05803"/>
    <w:rsid w:val="00B30ACC"/>
    <w:rsid w:val="00B65F5F"/>
    <w:rsid w:val="00BE08E9"/>
    <w:rsid w:val="00C12847"/>
    <w:rsid w:val="00C15D48"/>
    <w:rsid w:val="00C52E55"/>
    <w:rsid w:val="00C6472E"/>
    <w:rsid w:val="00C76ABD"/>
    <w:rsid w:val="00CA1DD5"/>
    <w:rsid w:val="00CE3A51"/>
    <w:rsid w:val="00D92042"/>
    <w:rsid w:val="00DA4888"/>
    <w:rsid w:val="00DC15CA"/>
    <w:rsid w:val="00DE5822"/>
    <w:rsid w:val="00DF7C06"/>
    <w:rsid w:val="00E2571A"/>
    <w:rsid w:val="00E541D4"/>
    <w:rsid w:val="00E5546D"/>
    <w:rsid w:val="00EC2843"/>
    <w:rsid w:val="00EF557B"/>
    <w:rsid w:val="00F0600F"/>
    <w:rsid w:val="00F57E9D"/>
    <w:rsid w:val="00F616FC"/>
    <w:rsid w:val="00F76D71"/>
    <w:rsid w:val="00F77CDC"/>
    <w:rsid w:val="00FB4818"/>
    <w:rsid w:val="00FC068F"/>
    <w:rsid w:val="00FD1C44"/>
    <w:rsid w:val="00FE4ED3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49AC8422-151C-4D19-A59F-A6F6DAF6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16F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Blood_Science\f_docs\dia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Blood_Science\f_docs\diagra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ED-4C98-BD7C-713F3586F81A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ED-4C98-BD7C-713F3586F81A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ED-4C98-BD7C-713F3586F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040336"/>
        <c:axId val="444031216"/>
      </c:lineChart>
      <c:catAx>
        <c:axId val="44404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31216"/>
        <c:crosses val="autoZero"/>
        <c:auto val="1"/>
        <c:lblAlgn val="ctr"/>
        <c:lblOffset val="100"/>
        <c:tickMarkSkip val="1"/>
        <c:noMultiLvlLbl val="0"/>
      </c:catAx>
      <c:valAx>
        <c:axId val="444031216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 (мм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  <a:endParaRPr lang="ru-RU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40336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78-426D-B1B5-B0E671914EDC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78-426D-B1B5-B0E671914EDC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78-426D-B1B5-B0E671914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571904"/>
        <c:axId val="604559904"/>
      </c:lineChart>
      <c:catAx>
        <c:axId val="604571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4559904"/>
        <c:crosses val="autoZero"/>
        <c:auto val="1"/>
        <c:lblAlgn val="ctr"/>
        <c:lblOffset val="100"/>
        <c:noMultiLvlLbl val="0"/>
      </c:catAx>
      <c:valAx>
        <c:axId val="6045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(</a:t>
                </a:r>
                <a:r>
                  <a:rPr lang="en-US" b="1"/>
                  <a:t>%)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457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131C0-E047-4E7F-8A08-44C0F5B1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Артемий Поповкин</cp:lastModifiedBy>
  <cp:revision>10</cp:revision>
  <cp:lastPrinted>2023-06-27T12:06:00Z</cp:lastPrinted>
  <dcterms:created xsi:type="dcterms:W3CDTF">2023-07-12T10:14:00Z</dcterms:created>
  <dcterms:modified xsi:type="dcterms:W3CDTF">2024-05-14T11:00:00Z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