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задача-1"/>
    <w:p>
      <w:pPr>
        <w:pStyle w:val="Heading2"/>
      </w:pPr>
      <w:r>
        <w:t xml:space="preserve">Задача 1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p"/>
                    <m:scr m:val="sans-serif"/>
                  </m:rPr>
                  <m:t>a</m:t>
                </m:r>
              </m:e>
              <m:sub>
                <m:r>
                  <m:rPr>
                    <m:sty m:val="p"/>
                    <m:scr m:val="sans-serif"/>
                  </m:rPr>
                  <m:t>1</m:t>
                </m:r>
              </m:sub>
            </m:sSub>
            <m:r>
              <m:rPr>
                <m:sty m:val="p"/>
                <m:scr m:val="sans-serif"/>
              </m:rPr>
              <m:t>,</m:t>
            </m:r>
            <m:sSub>
              <m:e>
                <m:r>
                  <m:rPr>
                    <m:sty m:val="p"/>
                    <m:scr m:val="sans-serif"/>
                  </m:rPr>
                  <m:t>a</m:t>
                </m:r>
              </m:e>
              <m:sub>
                <m:r>
                  <m:rPr>
                    <m:sty m:val="p"/>
                    <m:scr m:val="sans-serif"/>
                  </m:rPr>
                  <m:t>2</m:t>
                </m:r>
              </m:sub>
            </m:sSub>
            <m:r>
              <m:rPr>
                <m:sty m:val="p"/>
                <m:scr m:val="sans-serif"/>
              </m:rPr>
              <m:t>,</m:t>
            </m:r>
            <m:sSub>
              <m:e>
                <m:r>
                  <m:rPr>
                    <m:sty m:val="p"/>
                    <m:scr m:val="sans-serif"/>
                  </m:rPr>
                  <m:t>a</m:t>
                </m:r>
              </m:e>
              <m:sub>
                <m:r>
                  <m:rPr>
                    <m:sty m:val="p"/>
                    <m:scr m:val="sans-serif"/>
                  </m:rPr>
                  <m:t>3</m:t>
                </m:r>
              </m:sub>
            </m:sSub>
          </m:e>
        </m:d>
        <m:r>
          <m:rPr>
            <m:sty m:val="p"/>
            <m:scr m:val="sans-serif"/>
          </m:rPr>
          <m:t>,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p"/>
                    <m:scr m:val="sans-serif"/>
                  </m:rPr>
                  <m:t>b</m:t>
                </m:r>
              </m:e>
              <m:sub>
                <m:r>
                  <m:rPr>
                    <m:sty m:val="p"/>
                    <m:scr m:val="sans-serif"/>
                  </m:rPr>
                  <m:t>1</m:t>
                </m:r>
              </m:sub>
            </m:sSub>
            <m:r>
              <m:rPr>
                <m:sty m:val="p"/>
                <m:scr m:val="sans-serif"/>
              </m:rPr>
              <m:t>,</m:t>
            </m:r>
            <m:sSub>
              <m:e>
                <m:r>
                  <m:rPr>
                    <m:sty m:val="p"/>
                    <m:scr m:val="sans-serif"/>
                  </m:rPr>
                  <m:t>b</m:t>
                </m:r>
              </m:e>
              <m:sub>
                <m:r>
                  <m:rPr>
                    <m:sty m:val="p"/>
                    <m:scr m:val="sans-serif"/>
                  </m:rPr>
                  <m:t>2</m:t>
                </m:r>
              </m:sub>
            </m:sSub>
            <m:r>
              <m:rPr>
                <m:sty m:val="p"/>
                <m:scr m:val="sans-serif"/>
              </m:rPr>
              <m:t>,</m:t>
            </m:r>
            <m:sSub>
              <m:e>
                <m:r>
                  <m:rPr>
                    <m:sty m:val="p"/>
                    <m:scr m:val="sans-serif"/>
                  </m:rPr>
                  <m:t>b</m:t>
                </m:r>
              </m:e>
              <m:sub>
                <m:r>
                  <m:rPr>
                    <m:sty m:val="p"/>
                    <m:scr m:val="sans-serif"/>
                  </m:rPr>
                  <m:t>3</m:t>
                </m:r>
              </m:sub>
            </m:sSub>
          </m:e>
        </m:d>
      </m:oMath>
      <w:r>
        <w:t xml:space="preserve"> </w:t>
      </w:r>
      <w:r>
        <w:t xml:space="preserve">- базисы</w:t>
      </w:r>
      <w:r>
        <w:t xml:space="preserve"> </w:t>
      </w:r>
      <w:r>
        <w:t xml:space="preserve">1. Матрица перехода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rPr>
                          <m:sty m:val="p"/>
                          <m:scr m:val="sans-serif"/>
                        </m:rPr>
                        <m:t>b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=</m:t>
                  </m:r>
                  <m:sSubSup>
                    <m:e>
                      <m:r>
                        <m:rPr>
                          <m:sty m:val="p"/>
                          <m:scr m:val="sans-serif"/>
                        </m:rPr>
                        <m:t>c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  <m:sup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p>
                  </m:sSubSup>
                  <m:sSub>
                    <m:e>
                      <m:r>
                        <m:rPr>
                          <m:sty m:val="p"/>
                          <m:scr m:val="sans-serif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+</m:t>
                  </m:r>
                  <m:sSubSup>
                    <m:e>
                      <m:r>
                        <m:rPr>
                          <m:sty m:val="p"/>
                          <m:scr m:val="sans-serif"/>
                        </m:rPr>
                        <m:t>c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  <m:sup>
                      <m:r>
                        <m:rPr>
                          <m:sty m:val="p"/>
                          <m:scr m:val="sans-serif"/>
                        </m:rPr>
                        <m:t>2</m:t>
                      </m:r>
                    </m:sup>
                  </m:sSubSup>
                  <m:sSub>
                    <m:e>
                      <m:r>
                        <m:rPr>
                          <m:sty m:val="p"/>
                          <m:scr m:val="sans-serif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2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+</m:t>
                  </m:r>
                  <m:sSubSup>
                    <m:e>
                      <m:r>
                        <m:rPr>
                          <m:sty m:val="p"/>
                          <m:scr m:val="sans-serif"/>
                        </m:rPr>
                        <m:t>c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  <m:sup>
                      <m:r>
                        <m:rPr>
                          <m:sty m:val="p"/>
                          <m:scr m:val="sans-serif"/>
                        </m:rPr>
                        <m:t>3</m:t>
                      </m:r>
                    </m:sup>
                  </m:sSubSup>
                  <m:sSub>
                    <m:e>
                      <m:r>
                        <m:rPr>
                          <m:sty m:val="p"/>
                          <m:scr m:val="sans-serif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3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m:oMath>
        <m:r>
          <m:t>C</m:t>
        </m:r>
        <m:r>
          <m:rPr>
            <m:sty m:val="p"/>
          </m:rPr>
          <m:t>=</m:t>
        </m:r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sSubSup>
                <m:e>
                  <m:r>
                    <m:t>c</m:t>
                  </m:r>
                </m:e>
                <m:sub>
                  <m:r>
                    <m:t>1</m:t>
                  </m:r>
                </m:sub>
                <m:sup>
                  <m:r>
                    <m:t>1</m:t>
                  </m:r>
                </m:sup>
              </m:sSubSup>
            </m:e>
            <m:e>
              <m:sSubSup>
                <m:e>
                  <m:r>
                    <m:t>c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  <m:e>
              <m:r>
                <m:rPr>
                  <m:sty m:val="p"/>
                </m:rPr>
                <m:t>…</m:t>
              </m:r>
            </m:e>
          </m:mr>
          <m:mr>
            <m:e>
              <m:r>
                <m:rPr>
                  <m:sty m:val="p"/>
                </m:rPr>
                <m:t>…</m:t>
              </m:r>
            </m:e>
          </m:mr>
        </m:m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sSup>
          <m:e>
            <m:r>
              <m:t>C</m:t>
            </m:r>
          </m:e>
          <m:sup>
            <m:r>
              <m:t>T</m:t>
            </m:r>
          </m:sup>
        </m:sSup>
        <m:r>
          <m:t> </m:t>
        </m:r>
        <m:sSup>
          <m:e>
            <m:r>
              <m:t>C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  <w:r>
        <w:t xml:space="preserve"> </w:t>
      </w:r>
      <w:r>
        <w:t xml:space="preserve">2. Матрица смены координат при переходе от одного базиса к другому</w:t>
      </w:r>
      <w:r>
        <w:t xml:space="preserve"> </w:t>
      </w:r>
      <m:oMath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A</m:t>
            </m:r>
          </m:sub>
        </m:sSub>
      </m:oMath>
    </w:p>
    <w:bookmarkEnd w:id="20"/>
    <w:bookmarkStart w:id="21" w:name="задача-2"/>
    <w:p>
      <w:pPr>
        <w:pStyle w:val="Heading2"/>
      </w:pPr>
      <w:r>
        <w:t xml:space="preserve">Задача 2</w:t>
      </w:r>
    </w:p>
    <w:p>
      <w:pPr>
        <w:pStyle w:val="FirstParagraph"/>
      </w:pPr>
      <w:r>
        <w:t xml:space="preserve">Найти расстояние между ближайшими точками кривых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</m:oMath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</m:den>
        </m:f>
      </m:oMath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e>
        </m:d>
      </m:oMath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tg = y’ = 2</w:t>
      </w:r>
    </w:p>
    <w:p>
      <w:pPr>
        <w:pStyle w:val="BodyText"/>
      </w:pPr>
      <m:oMath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</m:oMath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2024-09-20T03:37:02Z</dcterms:created>
  <dcterms:modified xsi:type="dcterms:W3CDTF">2024-09-20T03:37:02Z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