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FA076F" w14:textId="77777777" w:rsidR="00A806F1" w:rsidRDefault="00A806F1">
      <w:pPr>
        <w:pBdr>
          <w:top w:val="nil"/>
          <w:left w:val="nil"/>
          <w:bottom w:val="nil"/>
          <w:right w:val="nil"/>
          <w:between w:val="nil"/>
        </w:pBdr>
        <w:rPr>
          <w:color w:val="000000"/>
        </w:rPr>
      </w:pPr>
    </w:p>
    <w:p w14:paraId="03FBF782" w14:textId="77777777" w:rsidR="00A806F1" w:rsidRDefault="00A806F1">
      <w:pPr>
        <w:pBdr>
          <w:top w:val="nil"/>
          <w:left w:val="nil"/>
          <w:bottom w:val="nil"/>
          <w:right w:val="nil"/>
          <w:between w:val="nil"/>
        </w:pBdr>
        <w:rPr>
          <w:color w:val="000000"/>
        </w:rPr>
      </w:pPr>
    </w:p>
    <w:p w14:paraId="7452E2F5" w14:textId="77777777" w:rsidR="00A806F1" w:rsidRDefault="00A806F1">
      <w:pPr>
        <w:pBdr>
          <w:top w:val="nil"/>
          <w:left w:val="nil"/>
          <w:bottom w:val="nil"/>
          <w:right w:val="nil"/>
          <w:between w:val="nil"/>
        </w:pBdr>
        <w:rPr>
          <w:color w:val="000000"/>
        </w:rPr>
      </w:pPr>
    </w:p>
    <w:p w14:paraId="2AD9BBB4" w14:textId="77777777" w:rsidR="00A806F1" w:rsidRDefault="00A806F1">
      <w:pPr>
        <w:pBdr>
          <w:top w:val="nil"/>
          <w:left w:val="nil"/>
          <w:bottom w:val="nil"/>
          <w:right w:val="nil"/>
          <w:between w:val="nil"/>
        </w:pBdr>
        <w:rPr>
          <w:color w:val="000000"/>
        </w:rPr>
      </w:pPr>
    </w:p>
    <w:p w14:paraId="219C72E2" w14:textId="77777777" w:rsidR="00862CCD" w:rsidRDefault="00862CCD">
      <w:pPr>
        <w:pBdr>
          <w:top w:val="nil"/>
          <w:left w:val="nil"/>
          <w:bottom w:val="nil"/>
          <w:right w:val="nil"/>
          <w:between w:val="nil"/>
        </w:pBdr>
        <w:rPr>
          <w:color w:val="000000"/>
        </w:rPr>
      </w:pPr>
    </w:p>
    <w:p w14:paraId="09F004F2" w14:textId="77777777" w:rsidR="00862CCD" w:rsidRDefault="00862CCD">
      <w:pPr>
        <w:pBdr>
          <w:top w:val="nil"/>
          <w:left w:val="nil"/>
          <w:bottom w:val="nil"/>
          <w:right w:val="nil"/>
          <w:between w:val="nil"/>
        </w:pBdr>
        <w:rPr>
          <w:color w:val="000000"/>
        </w:rPr>
      </w:pPr>
    </w:p>
    <w:p w14:paraId="57FA7E45" w14:textId="77777777" w:rsidR="00862CCD" w:rsidRDefault="00862CCD">
      <w:pPr>
        <w:pBdr>
          <w:top w:val="nil"/>
          <w:left w:val="nil"/>
          <w:bottom w:val="nil"/>
          <w:right w:val="nil"/>
          <w:between w:val="nil"/>
        </w:pBdr>
        <w:rPr>
          <w:color w:val="000000"/>
        </w:rPr>
      </w:pPr>
    </w:p>
    <w:p w14:paraId="48E839DE" w14:textId="77777777" w:rsidR="00A806F1" w:rsidRPr="00FB367C" w:rsidRDefault="00A806F1" w:rsidP="00FB367C">
      <w:pPr>
        <w:pBdr>
          <w:top w:val="nil"/>
          <w:left w:val="nil"/>
          <w:bottom w:val="nil"/>
          <w:right w:val="nil"/>
          <w:between w:val="nil"/>
        </w:pBdr>
        <w:jc w:val="center"/>
        <w:rPr>
          <w:color w:val="000000"/>
          <w:sz w:val="32"/>
        </w:rPr>
      </w:pPr>
    </w:p>
    <w:p w14:paraId="19C039FC" w14:textId="77777777" w:rsidR="00FB367C" w:rsidRDefault="00FB367C" w:rsidP="00FB367C">
      <w:pPr>
        <w:spacing w:after="0" w:line="240" w:lineRule="auto"/>
        <w:jc w:val="center"/>
        <w:rPr>
          <w:rFonts w:ascii="Arial" w:eastAsia="Times New Roman" w:hAnsi="Arial" w:cs="Arial"/>
          <w:b/>
          <w:bCs/>
          <w:color w:val="000000"/>
          <w:sz w:val="24"/>
          <w:szCs w:val="20"/>
          <w:lang w:val="en-US"/>
        </w:rPr>
      </w:pPr>
      <w:r w:rsidRPr="00FB367C">
        <w:rPr>
          <w:rFonts w:ascii="Arial" w:eastAsia="Times New Roman" w:hAnsi="Arial" w:cs="Arial"/>
          <w:b/>
          <w:bCs/>
          <w:color w:val="000000"/>
          <w:sz w:val="24"/>
          <w:szCs w:val="20"/>
          <w:lang w:val="en-US"/>
        </w:rPr>
        <w:t xml:space="preserve">Policy Statement on the </w:t>
      </w:r>
    </w:p>
    <w:p w14:paraId="04C52244" w14:textId="273CFB1B" w:rsidR="00FB367C" w:rsidRPr="00047263" w:rsidRDefault="00FB367C" w:rsidP="00FB367C">
      <w:pPr>
        <w:spacing w:after="0" w:line="240" w:lineRule="auto"/>
        <w:jc w:val="center"/>
        <w:rPr>
          <w:rFonts w:ascii="Times New Roman" w:eastAsia="Times New Roman" w:hAnsi="Times New Roman" w:cs="Times New Roman"/>
          <w:color w:val="FF0000"/>
          <w:sz w:val="36"/>
          <w:szCs w:val="24"/>
          <w:lang w:val="en-US"/>
        </w:rPr>
      </w:pPr>
      <w:bookmarkStart w:id="0" w:name="_GoBack"/>
      <w:r w:rsidRPr="00047263">
        <w:rPr>
          <w:rFonts w:ascii="Arial" w:eastAsia="Times New Roman" w:hAnsi="Arial" w:cs="Arial"/>
          <w:b/>
          <w:bCs/>
          <w:color w:val="FF0000"/>
          <w:sz w:val="24"/>
          <w:szCs w:val="20"/>
          <w:lang w:val="en-US"/>
        </w:rPr>
        <w:t>National Seniors Strategy and Medical Education</w:t>
      </w:r>
      <w:r w:rsidR="00850770" w:rsidRPr="00047263">
        <w:rPr>
          <w:rFonts w:ascii="Arial" w:eastAsia="Times New Roman" w:hAnsi="Arial" w:cs="Arial"/>
          <w:b/>
          <w:bCs/>
          <w:color w:val="FF0000"/>
          <w:sz w:val="24"/>
          <w:szCs w:val="20"/>
          <w:lang w:val="en-US"/>
        </w:rPr>
        <w:t xml:space="preserve"> Related to Care of the Elderly</w:t>
      </w:r>
    </w:p>
    <w:bookmarkEnd w:id="0"/>
    <w:p w14:paraId="0A28BAD0" w14:textId="77777777" w:rsidR="00A806F1" w:rsidRDefault="00A806F1">
      <w:pPr>
        <w:pBdr>
          <w:top w:val="nil"/>
          <w:left w:val="nil"/>
          <w:bottom w:val="nil"/>
          <w:right w:val="nil"/>
          <w:between w:val="nil"/>
        </w:pBdr>
        <w:jc w:val="center"/>
        <w:rPr>
          <w:color w:val="000000"/>
        </w:rPr>
      </w:pPr>
    </w:p>
    <w:p w14:paraId="0A59D744" w14:textId="77777777" w:rsidR="00862CCD" w:rsidRPr="00862CCD" w:rsidRDefault="00862CCD" w:rsidP="00862CCD">
      <w:pPr>
        <w:spacing w:after="0" w:line="240" w:lineRule="auto"/>
        <w:jc w:val="center"/>
        <w:rPr>
          <w:rFonts w:ascii="Times New Roman" w:hAnsi="Times New Roman" w:cs="Times New Roman"/>
          <w:sz w:val="32"/>
          <w:szCs w:val="24"/>
          <w:lang w:val="en-US"/>
        </w:rPr>
      </w:pPr>
      <w:r w:rsidRPr="00862CCD">
        <w:rPr>
          <w:rFonts w:ascii="Arial" w:hAnsi="Arial" w:cs="Arial"/>
          <w:b/>
          <w:bCs/>
          <w:color w:val="000000"/>
          <w:szCs w:val="20"/>
          <w:lang w:val="en-US"/>
        </w:rPr>
        <w:t>Authors:</w:t>
      </w:r>
    </w:p>
    <w:p w14:paraId="33A3FFA1" w14:textId="77777777" w:rsidR="00862CCD" w:rsidRPr="00862CCD" w:rsidRDefault="00862CCD" w:rsidP="00862CCD">
      <w:pPr>
        <w:spacing w:after="0" w:line="240" w:lineRule="auto"/>
        <w:jc w:val="center"/>
        <w:rPr>
          <w:rFonts w:ascii="Times New Roman" w:hAnsi="Times New Roman" w:cs="Times New Roman"/>
          <w:sz w:val="32"/>
          <w:szCs w:val="24"/>
          <w:lang w:val="en-US"/>
        </w:rPr>
      </w:pPr>
      <w:proofErr w:type="spellStart"/>
      <w:r w:rsidRPr="00862CCD">
        <w:rPr>
          <w:rFonts w:ascii="Arial" w:hAnsi="Arial" w:cs="Arial"/>
          <w:color w:val="000000"/>
          <w:szCs w:val="20"/>
          <w:lang w:val="en-US"/>
        </w:rPr>
        <w:t>Kalyani</w:t>
      </w:r>
      <w:proofErr w:type="spellEnd"/>
      <w:r w:rsidRPr="00862CCD">
        <w:rPr>
          <w:rFonts w:ascii="Arial" w:hAnsi="Arial" w:cs="Arial"/>
          <w:color w:val="000000"/>
          <w:szCs w:val="20"/>
          <w:lang w:val="en-US"/>
        </w:rPr>
        <w:t xml:space="preserve"> </w:t>
      </w:r>
      <w:proofErr w:type="spellStart"/>
      <w:r w:rsidRPr="00862CCD">
        <w:rPr>
          <w:rFonts w:ascii="Arial" w:hAnsi="Arial" w:cs="Arial"/>
          <w:color w:val="000000"/>
          <w:szCs w:val="20"/>
          <w:lang w:val="en-US"/>
        </w:rPr>
        <w:t>Sabanayagam</w:t>
      </w:r>
      <w:proofErr w:type="spellEnd"/>
      <w:r w:rsidRPr="00862CCD">
        <w:rPr>
          <w:rFonts w:ascii="Arial" w:hAnsi="Arial" w:cs="Arial"/>
          <w:color w:val="000000"/>
          <w:szCs w:val="20"/>
          <w:lang w:val="en-US"/>
        </w:rPr>
        <w:t xml:space="preserve"> (McMaster University)</w:t>
      </w:r>
    </w:p>
    <w:p w14:paraId="3592989C" w14:textId="77777777" w:rsidR="00862CCD" w:rsidRPr="00862CCD" w:rsidRDefault="00862CCD" w:rsidP="00862CCD">
      <w:pPr>
        <w:spacing w:after="0" w:line="240" w:lineRule="auto"/>
        <w:jc w:val="center"/>
        <w:rPr>
          <w:rFonts w:ascii="Times New Roman" w:hAnsi="Times New Roman" w:cs="Times New Roman"/>
          <w:sz w:val="32"/>
          <w:szCs w:val="24"/>
          <w:lang w:val="en-US"/>
        </w:rPr>
      </w:pPr>
      <w:r w:rsidRPr="00862CCD">
        <w:rPr>
          <w:rFonts w:ascii="Arial" w:hAnsi="Arial" w:cs="Arial"/>
          <w:color w:val="000000"/>
          <w:szCs w:val="20"/>
          <w:lang w:val="en-US"/>
        </w:rPr>
        <w:t>Emily Bolt (Memorial University of Newfoundland)</w:t>
      </w:r>
    </w:p>
    <w:p w14:paraId="53F55956" w14:textId="77777777" w:rsidR="00862CCD" w:rsidRPr="00862CCD" w:rsidRDefault="00862CCD" w:rsidP="00862CCD">
      <w:pPr>
        <w:spacing w:after="0" w:line="240" w:lineRule="auto"/>
        <w:jc w:val="center"/>
        <w:rPr>
          <w:rFonts w:ascii="Times New Roman" w:hAnsi="Times New Roman" w:cs="Times New Roman"/>
          <w:sz w:val="32"/>
          <w:szCs w:val="24"/>
          <w:lang w:val="en-US"/>
        </w:rPr>
      </w:pPr>
      <w:r w:rsidRPr="00862CCD">
        <w:rPr>
          <w:rFonts w:ascii="Arial" w:hAnsi="Arial" w:cs="Arial"/>
          <w:color w:val="000000"/>
          <w:szCs w:val="20"/>
          <w:lang w:val="en-US"/>
        </w:rPr>
        <w:t>Sachin Pasricha (Queen’s University)</w:t>
      </w:r>
    </w:p>
    <w:p w14:paraId="067108B8" w14:textId="77777777" w:rsidR="00862CCD" w:rsidRPr="00862CCD" w:rsidRDefault="00862CCD" w:rsidP="00862CCD">
      <w:pPr>
        <w:spacing w:after="0" w:line="240" w:lineRule="auto"/>
        <w:jc w:val="center"/>
        <w:rPr>
          <w:rFonts w:ascii="Times New Roman" w:hAnsi="Times New Roman" w:cs="Times New Roman"/>
          <w:sz w:val="32"/>
          <w:szCs w:val="24"/>
          <w:lang w:val="en-US"/>
        </w:rPr>
      </w:pPr>
      <w:r w:rsidRPr="00862CCD">
        <w:rPr>
          <w:rFonts w:ascii="Arial" w:hAnsi="Arial" w:cs="Arial"/>
          <w:color w:val="000000"/>
          <w:szCs w:val="20"/>
          <w:lang w:val="en-US"/>
        </w:rPr>
        <w:t>Carolyn MacLeod (Memorial University of Newfoundland)</w:t>
      </w:r>
    </w:p>
    <w:p w14:paraId="39683178" w14:textId="77777777" w:rsidR="00862CCD" w:rsidRPr="00862CCD" w:rsidRDefault="00862CCD" w:rsidP="00862CCD">
      <w:pPr>
        <w:spacing w:after="0" w:line="240" w:lineRule="auto"/>
        <w:jc w:val="center"/>
        <w:rPr>
          <w:rFonts w:ascii="Times New Roman" w:hAnsi="Times New Roman" w:cs="Times New Roman"/>
          <w:sz w:val="32"/>
          <w:szCs w:val="24"/>
          <w:lang w:val="en-US"/>
        </w:rPr>
      </w:pPr>
      <w:proofErr w:type="spellStart"/>
      <w:r w:rsidRPr="00862CCD">
        <w:rPr>
          <w:rFonts w:ascii="Arial" w:hAnsi="Arial" w:cs="Arial"/>
          <w:color w:val="000000"/>
          <w:szCs w:val="20"/>
          <w:lang w:val="en-US"/>
        </w:rPr>
        <w:t>Syeda</w:t>
      </w:r>
      <w:proofErr w:type="spellEnd"/>
      <w:r w:rsidRPr="00862CCD">
        <w:rPr>
          <w:rFonts w:ascii="Arial" w:hAnsi="Arial" w:cs="Arial"/>
          <w:color w:val="000000"/>
          <w:szCs w:val="20"/>
          <w:lang w:val="en-US"/>
        </w:rPr>
        <w:t xml:space="preserve"> Shanza Hashmi (University of Ottawa)</w:t>
      </w:r>
    </w:p>
    <w:p w14:paraId="6D3E8C07" w14:textId="77777777" w:rsidR="00862CCD" w:rsidRPr="00862CCD" w:rsidRDefault="00862CCD" w:rsidP="00862CCD">
      <w:pPr>
        <w:spacing w:after="0" w:line="240" w:lineRule="auto"/>
        <w:jc w:val="center"/>
        <w:rPr>
          <w:rFonts w:ascii="Times New Roman" w:hAnsi="Times New Roman" w:cs="Times New Roman"/>
          <w:sz w:val="32"/>
          <w:szCs w:val="24"/>
          <w:lang w:val="en-US"/>
        </w:rPr>
      </w:pPr>
      <w:r w:rsidRPr="00862CCD">
        <w:rPr>
          <w:rFonts w:ascii="Arial" w:hAnsi="Arial" w:cs="Arial"/>
          <w:color w:val="000000"/>
          <w:szCs w:val="20"/>
          <w:lang w:val="en-US"/>
        </w:rPr>
        <w:t>Taylor Woo (University of Calgary)</w:t>
      </w:r>
    </w:p>
    <w:p w14:paraId="138ED4AB" w14:textId="77777777" w:rsidR="00862CCD" w:rsidRPr="00862CCD" w:rsidRDefault="00862CCD" w:rsidP="00862CCD">
      <w:pPr>
        <w:spacing w:after="0" w:line="240" w:lineRule="auto"/>
        <w:rPr>
          <w:rFonts w:ascii="Times New Roman" w:eastAsia="Times New Roman" w:hAnsi="Times New Roman" w:cs="Times New Roman"/>
          <w:sz w:val="24"/>
          <w:szCs w:val="24"/>
          <w:lang w:val="en-US"/>
        </w:rPr>
      </w:pPr>
    </w:p>
    <w:p w14:paraId="4BF1BA7F" w14:textId="77777777" w:rsidR="00A806F1" w:rsidRDefault="00A806F1">
      <w:pPr>
        <w:pBdr>
          <w:top w:val="nil"/>
          <w:left w:val="nil"/>
          <w:bottom w:val="nil"/>
          <w:right w:val="nil"/>
          <w:between w:val="nil"/>
        </w:pBdr>
        <w:jc w:val="center"/>
        <w:rPr>
          <w:color w:val="000000"/>
        </w:rPr>
      </w:pPr>
    </w:p>
    <w:p w14:paraId="109FF498" w14:textId="77777777" w:rsidR="00A806F1" w:rsidRDefault="00A806F1">
      <w:pPr>
        <w:pBdr>
          <w:top w:val="nil"/>
          <w:left w:val="nil"/>
          <w:bottom w:val="nil"/>
          <w:right w:val="nil"/>
          <w:between w:val="nil"/>
        </w:pBdr>
        <w:jc w:val="center"/>
        <w:rPr>
          <w:i/>
          <w:color w:val="000000"/>
          <w:sz w:val="24"/>
          <w:szCs w:val="24"/>
        </w:rPr>
      </w:pPr>
      <w:bookmarkStart w:id="1" w:name="_gjdgxs" w:colFirst="0" w:colLast="0"/>
      <w:bookmarkEnd w:id="1"/>
    </w:p>
    <w:p w14:paraId="6F95F9A8" w14:textId="77777777" w:rsidR="00A806F1" w:rsidRDefault="00A806F1" w:rsidP="00862CCD">
      <w:pPr>
        <w:pBdr>
          <w:top w:val="nil"/>
          <w:left w:val="nil"/>
          <w:bottom w:val="nil"/>
          <w:right w:val="nil"/>
          <w:between w:val="nil"/>
        </w:pBdr>
        <w:rPr>
          <w:color w:val="000000"/>
        </w:rPr>
      </w:pPr>
    </w:p>
    <w:p w14:paraId="6797908C" w14:textId="77777777" w:rsidR="00A806F1" w:rsidRDefault="00A806F1">
      <w:pPr>
        <w:pBdr>
          <w:top w:val="nil"/>
          <w:left w:val="nil"/>
          <w:bottom w:val="nil"/>
          <w:right w:val="nil"/>
          <w:between w:val="nil"/>
        </w:pBdr>
        <w:rPr>
          <w:color w:val="000000"/>
        </w:rPr>
      </w:pPr>
    </w:p>
    <w:p w14:paraId="3C914811" w14:textId="77777777" w:rsidR="00A806F1" w:rsidRDefault="00A806F1">
      <w:pPr>
        <w:pBdr>
          <w:top w:val="nil"/>
          <w:left w:val="nil"/>
          <w:bottom w:val="nil"/>
          <w:right w:val="nil"/>
          <w:between w:val="nil"/>
        </w:pBdr>
        <w:rPr>
          <w:color w:val="000000"/>
        </w:rPr>
      </w:pPr>
    </w:p>
    <w:p w14:paraId="2C867BA9" w14:textId="77777777" w:rsidR="00A806F1" w:rsidRDefault="00A806F1">
      <w:pPr>
        <w:pBdr>
          <w:top w:val="nil"/>
          <w:left w:val="nil"/>
          <w:bottom w:val="nil"/>
          <w:right w:val="nil"/>
          <w:between w:val="nil"/>
        </w:pBdr>
        <w:rPr>
          <w:color w:val="000000"/>
        </w:rPr>
      </w:pPr>
    </w:p>
    <w:p w14:paraId="3E42C0CF" w14:textId="77777777" w:rsidR="00A806F1" w:rsidRDefault="007937DA">
      <w:pPr>
        <w:pBdr>
          <w:top w:val="nil"/>
          <w:left w:val="nil"/>
          <w:bottom w:val="nil"/>
          <w:right w:val="nil"/>
          <w:between w:val="nil"/>
        </w:pBdr>
        <w:tabs>
          <w:tab w:val="left" w:pos="7798"/>
        </w:tabs>
        <w:jc w:val="right"/>
        <w:rPr>
          <w:color w:val="000000"/>
        </w:rPr>
      </w:pPr>
      <w:r>
        <w:rPr>
          <w:color w:val="000000"/>
          <w:sz w:val="24"/>
          <w:szCs w:val="24"/>
        </w:rPr>
        <w:tab/>
      </w:r>
      <w:r>
        <w:rPr>
          <w:i/>
          <w:color w:val="000000"/>
          <w:sz w:val="24"/>
          <w:szCs w:val="24"/>
          <w:highlight w:val="yellow"/>
        </w:rPr>
        <w:t>Approved: Date</w:t>
      </w:r>
    </w:p>
    <w:p w14:paraId="21EBAACE" w14:textId="6B132BA3" w:rsidR="00A806F1" w:rsidRDefault="007937DA">
      <w:pPr>
        <w:pBdr>
          <w:top w:val="nil"/>
          <w:left w:val="nil"/>
          <w:bottom w:val="nil"/>
          <w:right w:val="nil"/>
          <w:between w:val="nil"/>
        </w:pBdr>
        <w:jc w:val="right"/>
        <w:rPr>
          <w:color w:val="000000"/>
        </w:rPr>
      </w:pPr>
      <w:r>
        <w:rPr>
          <w:i/>
          <w:color w:val="000000"/>
          <w:sz w:val="24"/>
          <w:szCs w:val="24"/>
        </w:rPr>
        <w:tab/>
      </w:r>
      <w:r>
        <w:rPr>
          <w:i/>
          <w:color w:val="000000"/>
          <w:sz w:val="24"/>
          <w:szCs w:val="24"/>
        </w:rPr>
        <w:tab/>
      </w:r>
      <w:r>
        <w:rPr>
          <w:i/>
          <w:color w:val="000000"/>
          <w:sz w:val="24"/>
          <w:szCs w:val="24"/>
        </w:rPr>
        <w:tab/>
      </w:r>
      <w:r>
        <w:rPr>
          <w:i/>
          <w:color w:val="000000"/>
          <w:sz w:val="24"/>
          <w:szCs w:val="24"/>
        </w:rPr>
        <w:tab/>
      </w:r>
      <w:r>
        <w:rPr>
          <w:i/>
          <w:color w:val="000000"/>
          <w:sz w:val="24"/>
          <w:szCs w:val="24"/>
        </w:rPr>
        <w:tab/>
      </w:r>
      <w:r>
        <w:rPr>
          <w:i/>
          <w:color w:val="000000"/>
          <w:sz w:val="24"/>
          <w:szCs w:val="24"/>
          <w:highlight w:val="yellow"/>
        </w:rPr>
        <w:t>Revised: Date(s)</w:t>
      </w:r>
      <w:r w:rsidR="0017616A">
        <w:rPr>
          <w:i/>
          <w:color w:val="000000"/>
          <w:sz w:val="24"/>
          <w:szCs w:val="24"/>
        </w:rPr>
        <w:t xml:space="preserve"> April 12, 2019</w:t>
      </w:r>
    </w:p>
    <w:p w14:paraId="69046000" w14:textId="77777777" w:rsidR="00A806F1" w:rsidRDefault="007937DA">
      <w:pPr>
        <w:pBdr>
          <w:top w:val="nil"/>
          <w:left w:val="nil"/>
          <w:bottom w:val="nil"/>
          <w:right w:val="nil"/>
          <w:between w:val="nil"/>
        </w:pBdr>
        <w:tabs>
          <w:tab w:val="left" w:pos="7798"/>
        </w:tabs>
        <w:jc w:val="right"/>
        <w:rPr>
          <w:color w:val="000000"/>
        </w:rPr>
      </w:pPr>
      <w:r>
        <w:rPr>
          <w:noProof/>
          <w:lang w:val="en-US"/>
        </w:rPr>
        <w:drawing>
          <wp:anchor distT="0" distB="0" distL="114300" distR="114300" simplePos="0" relativeHeight="251658240" behindDoc="0" locked="0" layoutInCell="1" hidden="0" allowOverlap="1" wp14:anchorId="44CECCA2" wp14:editId="4C8D2C6E">
            <wp:simplePos x="0" y="0"/>
            <wp:positionH relativeFrom="margin">
              <wp:posOffset>1143000</wp:posOffset>
            </wp:positionH>
            <wp:positionV relativeFrom="paragraph">
              <wp:posOffset>174625</wp:posOffset>
            </wp:positionV>
            <wp:extent cx="4690745" cy="94869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6238"/>
                    <a:stretch>
                      <a:fillRect/>
                    </a:stretch>
                  </pic:blipFill>
                  <pic:spPr>
                    <a:xfrm>
                      <a:off x="0" y="0"/>
                      <a:ext cx="4690745" cy="948690"/>
                    </a:xfrm>
                    <a:prstGeom prst="rect">
                      <a:avLst/>
                    </a:prstGeom>
                    <a:ln/>
                  </pic:spPr>
                </pic:pic>
              </a:graphicData>
            </a:graphic>
          </wp:anchor>
        </w:drawing>
      </w:r>
    </w:p>
    <w:p w14:paraId="67E3BE8F" w14:textId="77777777" w:rsidR="00A806F1" w:rsidRDefault="00A806F1">
      <w:pPr>
        <w:pBdr>
          <w:top w:val="nil"/>
          <w:left w:val="nil"/>
          <w:bottom w:val="nil"/>
          <w:right w:val="nil"/>
          <w:between w:val="nil"/>
        </w:pBdr>
        <w:rPr>
          <w:color w:val="000000"/>
        </w:rPr>
      </w:pPr>
    </w:p>
    <w:p w14:paraId="271256A2" w14:textId="77777777" w:rsidR="00A806F1" w:rsidRDefault="00A806F1">
      <w:pPr>
        <w:pBdr>
          <w:top w:val="nil"/>
          <w:left w:val="nil"/>
          <w:bottom w:val="nil"/>
          <w:right w:val="nil"/>
          <w:between w:val="nil"/>
        </w:pBdr>
        <w:rPr>
          <w:color w:val="000000"/>
        </w:rPr>
      </w:pPr>
    </w:p>
    <w:p w14:paraId="059240CC" w14:textId="77777777" w:rsidR="00A806F1" w:rsidRDefault="00A806F1">
      <w:pPr>
        <w:pBdr>
          <w:top w:val="nil"/>
          <w:left w:val="nil"/>
          <w:bottom w:val="nil"/>
          <w:right w:val="nil"/>
          <w:between w:val="nil"/>
        </w:pBdr>
        <w:ind w:firstLine="720"/>
        <w:rPr>
          <w:color w:val="000000"/>
        </w:rPr>
      </w:pPr>
    </w:p>
    <w:p w14:paraId="3CCFF6BB" w14:textId="71D2352D" w:rsidR="00862409" w:rsidRPr="00862409" w:rsidRDefault="007937DA" w:rsidP="00862409">
      <w:r>
        <w:br w:type="page"/>
      </w:r>
    </w:p>
    <w:p w14:paraId="11394113" w14:textId="77777777" w:rsidR="00862409" w:rsidRDefault="00862409" w:rsidP="00862409">
      <w:pPr>
        <w:pBdr>
          <w:top w:val="nil"/>
          <w:left w:val="nil"/>
          <w:bottom w:val="nil"/>
          <w:right w:val="nil"/>
          <w:between w:val="nil"/>
        </w:pBdr>
        <w:spacing w:line="240" w:lineRule="auto"/>
        <w:contextualSpacing/>
        <w:rPr>
          <w:b/>
          <w:color w:val="000000"/>
          <w:sz w:val="28"/>
          <w:szCs w:val="28"/>
        </w:rPr>
      </w:pPr>
      <w:r w:rsidRPr="0081778A">
        <w:rPr>
          <w:b/>
          <w:noProof/>
          <w:color w:val="000000"/>
          <w:sz w:val="28"/>
          <w:szCs w:val="28"/>
          <w:lang w:val="en-US"/>
        </w:rPr>
        <w:lastRenderedPageBreak/>
        <w:drawing>
          <wp:anchor distT="0" distB="0" distL="114300" distR="114300" simplePos="0" relativeHeight="251663360" behindDoc="0" locked="0" layoutInCell="1" hidden="0" allowOverlap="1" wp14:anchorId="1DC17B5E" wp14:editId="22A689B6">
            <wp:simplePos x="0" y="0"/>
            <wp:positionH relativeFrom="column">
              <wp:posOffset>-517250</wp:posOffset>
            </wp:positionH>
            <wp:positionV relativeFrom="paragraph">
              <wp:posOffset>-770890</wp:posOffset>
            </wp:positionV>
            <wp:extent cx="3957955" cy="67310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57955" cy="673100"/>
                    </a:xfrm>
                    <a:prstGeom prst="rect">
                      <a:avLst/>
                    </a:prstGeom>
                    <a:ln/>
                  </pic:spPr>
                </pic:pic>
              </a:graphicData>
            </a:graphic>
          </wp:anchor>
        </w:drawing>
      </w:r>
      <w:r w:rsidRPr="0081778A">
        <w:rPr>
          <w:b/>
          <w:noProof/>
          <w:color w:val="000000"/>
          <w:sz w:val="28"/>
          <w:szCs w:val="28"/>
          <w:lang w:val="en-US"/>
        </w:rPr>
        <mc:AlternateContent>
          <mc:Choice Requires="wpg">
            <w:drawing>
              <wp:anchor distT="0" distB="0" distL="0" distR="0" simplePos="0" relativeHeight="251660288" behindDoc="0" locked="0" layoutInCell="1" hidden="0" allowOverlap="1" wp14:anchorId="69FDC64F" wp14:editId="47ADB192">
                <wp:simplePos x="0" y="0"/>
                <wp:positionH relativeFrom="column">
                  <wp:posOffset>-906145</wp:posOffset>
                </wp:positionH>
                <wp:positionV relativeFrom="paragraph">
                  <wp:posOffset>-958850</wp:posOffset>
                </wp:positionV>
                <wp:extent cx="4800600" cy="1097280"/>
                <wp:effectExtent l="0" t="0" r="0" b="0"/>
                <wp:wrapNone/>
                <wp:docPr id="8" name="Group 8"/>
                <wp:cNvGraphicFramePr/>
                <a:graphic xmlns:a="http://schemas.openxmlformats.org/drawingml/2006/main">
                  <a:graphicData uri="http://schemas.microsoft.com/office/word/2010/wordprocessingGroup">
                    <wpg:wgp>
                      <wpg:cNvGrpSpPr/>
                      <wpg:grpSpPr>
                        <a:xfrm>
                          <a:off x="0" y="0"/>
                          <a:ext cx="4800600" cy="1097280"/>
                          <a:chOff x="2945700" y="3227550"/>
                          <a:chExt cx="4800600" cy="1097446"/>
                        </a:xfrm>
                      </wpg:grpSpPr>
                      <wpg:grpSp>
                        <wpg:cNvPr id="9" name="Group 9"/>
                        <wpg:cNvGrpSpPr/>
                        <wpg:grpSpPr>
                          <a:xfrm>
                            <a:off x="2945700" y="3227550"/>
                            <a:ext cx="4800600" cy="1097446"/>
                            <a:chOff x="560" y="376"/>
                            <a:chExt cx="7560" cy="1325"/>
                          </a:xfrm>
                        </wpg:grpSpPr>
                        <wps:wsp>
                          <wps:cNvPr id="10" name="Rectangle 10"/>
                          <wps:cNvSpPr/>
                          <wps:spPr>
                            <a:xfrm>
                              <a:off x="560" y="376"/>
                              <a:ext cx="7550" cy="1325"/>
                            </a:xfrm>
                            <a:prstGeom prst="rect">
                              <a:avLst/>
                            </a:prstGeom>
                            <a:noFill/>
                            <a:ln>
                              <a:noFill/>
                            </a:ln>
                          </wps:spPr>
                          <wps:txbx>
                            <w:txbxContent>
                              <w:p w14:paraId="2D064E68" w14:textId="77777777" w:rsidR="00691EB8" w:rsidRDefault="00691EB8" w:rsidP="00862409">
                                <w:pPr>
                                  <w:textDirection w:val="btLr"/>
                                </w:pPr>
                              </w:p>
                            </w:txbxContent>
                          </wps:txbx>
                          <wps:bodyPr spcFirstLastPara="1" wrap="square" lIns="91425" tIns="91425" rIns="91425" bIns="91425" anchor="ctr" anchorCtr="0"/>
                        </wps:wsp>
                        <pic:pic xmlns:pic="http://schemas.openxmlformats.org/drawingml/2006/picture">
                          <pic:nvPicPr>
                            <pic:cNvPr id="12" name="Shape 4"/>
                            <pic:cNvPicPr preferRelativeResize="0"/>
                          </pic:nvPicPr>
                          <pic:blipFill rotWithShape="1">
                            <a:blip r:embed="rId10">
                              <a:alphaModFix/>
                            </a:blip>
                            <a:srcRect/>
                            <a:stretch/>
                          </pic:blipFill>
                          <pic:spPr>
                            <a:xfrm>
                              <a:off x="1071" y="376"/>
                              <a:ext cx="809" cy="545"/>
                            </a:xfrm>
                            <a:prstGeom prst="rect">
                              <a:avLst/>
                            </a:prstGeom>
                            <a:noFill/>
                            <a:ln>
                              <a:noFill/>
                            </a:ln>
                          </pic:spPr>
                        </pic:pic>
                        <wps:wsp>
                          <wps:cNvPr id="13" name="Rectangle 13"/>
                          <wps:cNvSpPr/>
                          <wps:spPr>
                            <a:xfrm>
                              <a:off x="560" y="376"/>
                              <a:ext cx="7560" cy="1203"/>
                            </a:xfrm>
                            <a:prstGeom prst="rect">
                              <a:avLst/>
                            </a:prstGeom>
                            <a:solidFill>
                              <a:srgbClr val="B03733"/>
                            </a:solidFill>
                            <a:ln>
                              <a:noFill/>
                            </a:ln>
                          </wps:spPr>
                          <wps:txbx>
                            <w:txbxContent>
                              <w:p w14:paraId="60625799" w14:textId="77777777" w:rsidR="00691EB8" w:rsidRDefault="00691EB8" w:rsidP="00862409">
                                <w:pPr>
                                  <w:spacing w:before="103"/>
                                  <w:ind w:left="2960" w:firstLine="2960"/>
                                  <w:textDirection w:val="btLr"/>
                                </w:pPr>
                              </w:p>
                            </w:txbxContent>
                          </wps:txbx>
                          <wps:bodyPr spcFirstLastPara="1" wrap="square" lIns="0" tIns="0" rIns="0" bIns="0" anchor="t" anchorCtr="0"/>
                        </wps:wsp>
                      </wpg:grpSp>
                    </wpg:wgp>
                  </a:graphicData>
                </a:graphic>
                <wp14:sizeRelV relativeFrom="margin">
                  <wp14:pctHeight>0</wp14:pctHeight>
                </wp14:sizeRelV>
              </wp:anchor>
            </w:drawing>
          </mc:Choice>
          <mc:Fallback>
            <w:pict>
              <v:group id="Group 8" o:spid="_x0000_s1026" style="position:absolute;margin-left:-71.3pt;margin-top:-75.45pt;width:378pt;height:86.4pt;z-index:251660288;mso-wrap-distance-left:0;mso-wrap-distance-right:0;mso-height-relative:margin" coordorigin="2945700,3227550" coordsize="4800600,109744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UD6L92AwAA6AkAAA4AAABkcnMvZTJvRG9jLnhtbLxWyW7bMBC9F+g/ELon&#10;kmU7toXYAZo0QYC0DZIWPdMUJRGlSJakl/TrO0MtcbY2SZeDZQ45Gs6beXzi4dG2lmTNrRNazaPB&#10;fhIRrpjOhSrn0ZfPp3vTiDhPVU6lVnwe3XAXHS3evjncmIynutIy55ZAEOWyjZlHlfcmi2PHKl5T&#10;t68NV7BYaFtTD6Yt49zSDUSvZZwmyUG80TY3VjPuHMyeNIvRIsQvCs78p6Jw3BM5jyA3H542PJf4&#10;jBeHNCstNZVgbRr0FVnUVCjYtA91Qj0lKysehKoFs9rpwu8zXce6KATjAQOgGST30JxZvTIBS5lt&#10;StOXCUp7r06vDss+ri8tEfk8gkYpWkOLwq5kiqXZmDIDjzNrrs2lbSfKxkK028LW+A84yDYU9aYv&#10;Kt96wmByNIU2JVB7BmuDZDZJp23ZWQW9wffS2Wg8QRfwGKbpZDzuPd4/FWU0OsAM4y6JGHPtU+uN&#10;HkOLcnYX5ewVKJ/M9knEba406xGPD1q0k4ACVzqkk7AWijVMx7/ECEfG3bLC/RkrritqeCCbw563&#10;9RpAng0truAsUVVKTmAuUCH49cRwmQOOPMKKB1i7OoU+N7S4j5Rmxjp/xnVNcDCPLOweDhhdXzjf&#10;NL5zwT2VPhVSwjzNpLozAQzBGeBHlyGO/Ha5bUEsdX4DaJ1hpwL2uqDOX1ILKjCIyAaUYR657ytq&#10;eUTkuYIizwYj6Avxu4bdNZa7BlWs0iA4zNuINMaxDwKEIDAV6OHi0AiWwa894jB60MzfSyG85VeY&#10;ZyOn9bNi1NR+W5k9UCNDvVgKKfxNUFaoNial1peCYV/R2OFF2vEi8IaMkBKdC74AfeMFt1dcQtg1&#10;v+JO/ABxCdSJHwReSmGwgcRq/1X4KgTFDmArcbHFBIW7p3yPlKVR1RPNVjVXvvlM2JCHVq4SxkXE&#10;ZrxeclA9e543m1BpKvpB56cCeQGkwV1xd2cZUh8mYewt96xCB4TQZd0gf4L+g2QCREJl6856x/9p&#10;AmqEB308unvO/wH7Md0mwZA5mKiM/0NAhh1RdgRk+LcEBGU0SGWahJj95+DFJXRaCmi+lE3Py+Wx&#10;tGRN4drwLhlOhl30O27PVprwgR10oF8qOICxERsYNEIDg0ZkYNAJjO+Gj8nL7dcxiE64TgSWt1cf&#10;vK/s2sHr9oK2+Ak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CnUdTiAAAADAEA&#10;AA8AAABkcnMvZG93bnJldi54bWxMj8FqwkAQhu+FvsMyhd50s1FDjdmISNuTFKqF4m3NjkkwOxuy&#10;axLfvuup3maYj3++P1uPpmE9dq62JEFMI2BIhdU1lRJ+Dh+TN2DOK9KqsYQSbuhgnT8/ZSrVdqBv&#10;7Pe+ZCGEXKokVN63KeeuqNAoN7UtUridbWeUD2tXct2pIYSbhsdRlHCjagofKtXitsLisr8aCZ+D&#10;GjYz8d7vLuft7XhYfP3uBEr5+jJuVsA8jv4fhrt+UIc8OJ3slbRjjYSJmMdJYO/TIloCC0wiZnNg&#10;JwmxWALPM/5YIv8DAAD//wMAUEsDBAoAAAAAAAAAIQA+m8b3ShAAAEoQAAAUAAAAZHJzL21lZGlh&#10;L2ltYWdlMS5wbmeJUE5HDQoaCgAAAA1JSERSAAAAbAAAAEkIBgAAANgHw0gAAAAGYktHRAD/AP8A&#10;/6C9p5MAAAAJcEhZcwAADsQAAA7EAZUrDhsAAA/qSURBVHic7Z17tFVVvcc/+3AIRY6IkRwQEpKb&#10;BzmYYRopvspKi7K0IHsp1cgiyzQdlaTU8EE5ro6ujyxtZN3rTa+3xLQsExNNSc1AQElIXioqooJC&#10;II/Dtz9+c7bmmnutvdc+Z3McW/d3jDX2mu+51m/OuX7z95i7JAngDcAw4E1APwyvAC8DK4Gt9D5a&#10;gMuBCS58KfC/BctOBv4vCE8Drqpf1149tAKdwHx3n4Uu4D7gCuBXgHqna4zCXrTHORQn2GsWLRih&#10;8ogF0Ac4ArgRG7X9e6Ffef1oRLwd+Abwa+ChnlaWRai/A7PdfR/gRGCIC3/cNXpxTxsugNXAn4F3&#10;ufCNvdDmzsCPSJb11T2tLItgtwDfCsIXAE8H4SPpHYK9gs3sJgJUWgo9niuQZzdgEnAIMB54Evgr&#10;tgw8nZG/BWMMjgH2AwYAzwO3AT8GNrs8M4MyjwPXZNTzKWwQjQP6AncCjxXoc2vQ54OBF4EHgd+4&#10;tkJ82tUP8ADwR+BaYF9gm2vvJlfW4x3YirRPEDcQ+IG7nxvlLwZJByqN70siuPpE6b+L0veVtFDZ&#10;eEbSO6P8u0t6MCd/l6Q9ctq9I6qn3cVlYWUU/nJUdi9Jc3LKvixpUpT/uiD95gplLwnKTM3J43F5&#10;1Eahq8gMOzoKbwzu27GZNAjYANwVpB3u0u8ERmIzCOBKbESDjc4F7n4M9v1cX6BPJWyEH5OTvk9O&#10;PBjTdD/GhXZhs9pzvu/Atje3AGNdfwD+GZT/EDazs3AmcD11YC5yofIZtlzS7911u6RtQdo8SW8M&#10;KP6jIG1mNBquCdLOVzJrXg7iLwzyD1B6NlaaYR+M0s6Vzcw9JHVIeiJKD2fYN4P4X0Z9/k6Q9t9B&#10;/JVRfcslHS1poqTTorQrlawAh0t6NEhb6+IOlzRaNc4uSZkEy8JmSWfKljNfeKDSxJwQVX56kPao&#10;ixsW1TtHUmdO5yoR7Nog/jlJu0Rlz4nKeoKVZC/NY0pU7qNB2gaXP4tgnw7KxHXeHtX5lyDtqZxn&#10;reuSCLALMB24GZN+gC1hYfkbSUtEBgb3o7BlbCuwPSh3JLDIXdcDNwArCvSnI7h/AeMoQzyTU64d&#10;GByEfwhcGIR3C+4HYJKfLKZrfnAv0s89LKftuiBrLb4Y23/1Az4SxO8JfDsI7xuVG+Hi/BW+mF2B&#10;Nuw7dl5Gm+OAi7BvxoSM9Bhx2zF2FCzXTrrP7VH6ELJRSdqT932rC7JmmLAH3op9fNeQdPwD2EwR&#10;5ez6XJLZF6OLhFmZCdyKsfWTMbbeox8mgvpwlX4/g43+WhH3eT72fHl4thtt7FRUWxKFcVTHu/Aw&#10;YH/gUXeF+CZwb8F2H3HXDGzfdjfJctS3QPnHgAPc/UBMeB0uS/vnlFsJbCIRr11C/eWTpTrXl0KR&#10;6RsT4f3u9zlsVnmcRfrbUgKGAh+Lyn8d+6aBDYiHsY2yx6oCffpdcD8Uk+qPcdf7gc/llNtBerN6&#10;KskWw2MwcAL23e4OKhFsCPaZeQ/plaU4VH3jfEiU/psgbX9JW6L0LnftCOLaXf42Sdtd3GOSFshY&#10;5BAfUnUusY+k+crHtih8WlB2iKQXCvT5kKBMzCXur/Q7Wh2k/T1K+0lOH6erG1xikRn2N0xs4zGR&#10;ZGYuxsQ7y4L0FneFI+3t7vdQEqn7ftiyFs62i7DvWzV0AVMoX5Y9rsC4R49+wf0abBaGnF6lPteK&#10;eIZdhInqYnSLOWkF1mLsrUe8BHYBZ5B+gBEkS9cdmE7tUxgBOjCGYAfGot9NsnTeDXwVOA77Hm53&#10;D/M4JrnwkgUwAob9Whr1aynwTuDLwGHAW11fbwAuw5bsvVzeR6KyD2EyxMnYN7SDhB1/AvgLtoXx&#10;uIv0NzIcwGAyTr+NibcBqzBp0UWuj2BSoXl0AyWpt/SRTdQDO3XP0ET90SRYg6FJsAZDk2ANhibB&#10;GgxNgjUYmgRrMDQJ1mBoEqzB0ArsAZwEvAV4I6ZsBNPibsCMHxcA92CqiSZeRZQkHUhaEJqHDcAv&#10;MB1WLEvrbZQwofFwbCC9blDLktgGnIYJUjt3TncK4TpMc7wMOPdV7MergiyCzcbs/T6ISeljm/ah&#10;wJ9IJOG9jUmU2168bpBFsKWY8edtmHpjCqYDC+0b3kR1+/oBmLplYJV8MUoYQSZgxjn9KmcvVN8w&#10;TBtdxPwgRD/MGWMC2d4ze2LGp++itwawyjXOV+ZoO0+M8m2WGX+GefpJOk/SsijvCkkzJL2hgjb1&#10;UEmzVa4NXi+zO7xA0sYorcvFbZT0xai+fSXNkvRikH+LzEz83Rntf0Fmi7hB0gOSjpL0ZFB2oMvX&#10;IukU90wxbqrwfHW5aiFYSWkrVskscH36SEmLMx4ixEJJQ6N6WyRdprR6PoRXuV9cpe5pQZ0nywZU&#10;JYR28Ej6TJC2StJtUX5PsBkV6vyVekCMIldRQ1IwDfAjpC2ShrvfEqZ1HePCczFvDo9Tgf/AlrjL&#10;SRvmTMO00B5zSczR2jBLJ7AleRHG8Hg1/D+B5e7emwSMxjxgvBHNf5Go6HcnsYs8E5hDYpIQGqMO&#10;BfamHO0Yl+xxLcal9sW+rXdmlKkvVHyGZY3yb7n4j0XxsffH6VH6ES5+qGwJ8pglqTUqW4rC64P8&#10;sUcLkm4N0tdk1DcvSF8R1B8/w1aZefoxkj4gW86Pj/JMjOpuyehPXa9aJR3Do/Ba9xs73s2Own+I&#10;woe63yMx5sRjBmbnEaIWG4YS5jXjMSejvtuD+5Hkc5w3YI7wszEGbCvGZIS4Dpux3lYjz+K4bqiV&#10;YB1R2LuAxvuybVE4fmneOe4A6ovhpLnSuB+V+hJjUUbcQ1Gd+wDfA5a4tE8U62b3UQvBOkg/3BYS&#10;C6vda2zXP3Q8YntqNVtrP8K+xMg66mIRZqS6JCPtIMyK+PCMtLqhKMFK2DkXIZNyK4m9fDwaqy1j&#10;D7vf2K6wp8LopaRfdJHldEFOfF7Z6zDm6m2Y6doTQVoLRridhiIvqBOzJzwqiNuGOS14xLLI8VE4&#10;Xvp8/oej+BML9skjNqfeRtoG8UDKN7xhX1aRLxfNIlgJ4wgFLMRcsGLHja4K/e0xstj692FC3r2w&#10;j6n37QrxBeAfQfhnmBhrpAv/EDt9AIwAlwV5/0AisL0XM0R9rwtPxww8/YzdDfvmnBaU30TynToM&#10;mOXuL8WOiTiXxPa+04Xvd+ExpF9w6D4VI4tgHdh25RrMgV0kx1J4xIOwvlAxD0yPpx1rm8VyHqVy&#10;O/sYzyqxs/fXPjIvyjwsi/JflZPvxAJ5Qvw8qjdm67+i8mf8UpU6/6TybUSvs/WbsRnxJWyE5R1V&#10;MAdjSrI2jzuwA0bGUu5ztcrVew3Zo3oE5k7kcUZOG+GzTAM+Sbbv1zPAyeR7uFTCbjnx24GrsWMe&#10;Yi60rihJasWkEMNIuKytmHPeWszuvZZOlDC3mk5MWvA45jSxrkDZ/piTRAf2ctZhdu6xI14r5tAw&#10;1IVfwPZLGzLyjSaRjizGlvIsDrCN9J5sLdknGuyNCcPbsMG8EuMan8/IW3c0besbDE2bjgZDk2AN&#10;hibBGgxNgjUYmgRrMDQJ1mBoEqzBUIuJQJG6vOXQeppWwjsF9SBYCfguZiPhtcddmIRhZY117eLK&#10;9cekK49ierfXCuaTiNkexk5eqAk9JVgfTBI/LSM+PmEtD0dgp+OMxYgVLtObgP8kbfjSyBhDYmf5&#10;Uncq6CnBJpMm1kuYXK+N9MmlWRiGGaNWGmX96f4RQq9J9JRg8RGux2PKzmqq/nZM0zs4I20zRvg9&#10;MGLdlZHndYuecomDorBXt4t8FXsJU3iGxHoJOB1zeRqASeEHYQdpFT0h7nWBeIbtiakOOoE3Y2qD&#10;RdisCY1VhmJa4vgw5JMw4875ZFsdgRmVHheEn8bs0+NTRF+hXPfWBnwUOw2tBVOTLMHUJndQzqDs&#10;hx1vBKZ6mYX5CkxycSswLfUdGf0sYdrvKSRnM652bd1H+nytGEMwzf3B2MB7Ejv/qhJ2df06DjND&#10;2I6pghZj+j9THSkx1vyspOdzNKnzZJppn//dVTSv51TQmt4f5f1wQW3rCJXb3YdYKOmAqMwpQfqL&#10;srN6s0zC/0flRqBXV2hri6SzM8og08hn9XOh0qfMzQ3KDFD6RLgYy2S+B/8m2HkVMntslTROPSNY&#10;H0mbgnyrc/JlXa1KHBs2S1rnrrC+VTKHDF/mE1G/Nigfp0Ttfc/F7wjaWheViQ95PrpC/TFCgiFp&#10;iYvfErQVOn+skzQISWNlxPCYKvMW8ddDQdoDspe+t6RTVX5m4dkufryyX3pHlP+POfnyrumSjpXU&#10;N4gbF9UZerFMUTkucH08XcnZjZKd3Ri2dZBrL3beuDMosziIb1X6Dxeekh13fpjMpPueqB8xwb4m&#10;6QSlTwhvl3noeJyH0ufLb5IdQhlWFJ/LfmiQdlOUtpcqv/ATovw/q5I/7yrJBs14SR+J6rwqyDc5&#10;SgsP50T2Lw/hs+fZxrfJBttRskEWwr/giVH8yVEd+0XpMcHCZ2uXfYKOVXoFmdVK2pp3DeV2EfH/&#10;kIwjfXRsLYgNcEZl5srHIOCLmAHNW3PyVPpXiDlRONy87oo55a8N4o7FmKRJ5G+B3owZsMZm7LGR&#10;7HIqoz9mPvh58k3YR7aSf6BxHkbXmD/E4ijcib2IIkY+e2Lc0oFV8oVelvHWopqRZ0iUMzBbx2rw&#10;7eUNII9KjhL9gd9S/rcpZW21kD5qtYhFTiV2thrWk7aAGgx8pWDZK0iIdQ9mKu3/sK4W691K8Bv+&#10;Q0gT6+PY/rCFfDFZNVFTJYKdT0KshdhWpI+7UoO8hbRteV/KpRSxqXNPLVvj/cj52J6lEkrY3stj&#10;MfZgwmZNPbUOUC7BuQXbX4r8fwqM/wIrFqlVWv7D9pZjVsU73JV6thbsv7A8hmPrtkcJO1PXYw32&#10;onqCS0iPmjbMZ+uXwFRsdI/GNvDfwURUA0g7fYcvbTz5XivdnWHxP0j49lown7YsPEDa3vFSEkFv&#10;H+DsCm2G7YXPNoLoE9QK/AQTwHonu59iJ2mDra3hyJ5Kz/VcW7EP622kRVsnuSvGvRiz8DhJ56e6&#10;sttIztH3CFeI7hJsHmnL4HsxicpIym3pfZmnMM3FWS58MJU1Fp4wwiRDE114EnZA9CZMkxGKD0ue&#10;lRylcglECP/vRjELWitbH17tkv6/Qpsevt2YfffYrvSpBfcEbcTbiK9FffhFlD7Cxe8ic4bPwtIo&#10;HO45B0q6K6fceknXB+H5QbnDlN4T5rX3D78+rsBm2Ocx745OjMVdgs22mWT/Y8MC0i6vtfzf87PY&#10;x/w9biSNxTjWUW5UbcS2Dw+6/Ddja/0MjPnwDuvTsZVgsssX+mutIS0nDNPAXJPCdC+LfAV7HzOx&#10;7+sobDbfiC3TVwdlwhnwEiZjPQv7Y7iDsGVxAfZXJ4Ox9wo2Iz3uc+1d6MoMwt7PBe73VJdv478A&#10;qDRqZaaWiAEAAAAASUVORK5CYIJQSwECLQAUAAYACAAAACEASrBnCwgBAAATAgAAEwAAAAAAAAAA&#10;AAAAAAAAAAAAW0NvbnRlbnRfVHlwZXNdLnhtbFBLAQItABQABgAIAAAAIQAjsmrh1wAAAJQBAAAL&#10;AAAAAAAAAAAAAAAAADkBAABfcmVscy8ucmVsc1BLAQItABQABgAIAAAAIQCVA+i/dgMAAOgJAAAO&#10;AAAAAAAAAAAAAAAAADkCAABkcnMvZTJvRG9jLnhtbFBLAQItABQABgAIAAAAIQCqJg6+vAAAACEB&#10;AAAZAAAAAAAAAAAAAAAAANsFAABkcnMvX3JlbHMvZTJvRG9jLnhtbC5yZWxzUEsBAi0AFAAGAAgA&#10;AAAhADCnUdTiAAAADAEAAA8AAAAAAAAAAAAAAAAAzgYAAGRycy9kb3ducmV2LnhtbFBLAQItAAoA&#10;AAAAAAAAIQA+m8b3ShAAAEoQAAAUAAAAAAAAAAAAAAAAAN0HAABkcnMvbWVkaWEvaW1hZ2UxLnBu&#10;Z1BLBQYAAAAABgAGAHwBAABZGAAAAAA=&#10;">
                <v:group id="Group 9" o:spid="_x0000_s1027" style="position:absolute;left:2945700;top:3227550;width:4800600;height:1097446" coordorigin="560,376" coordsize="7560,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ect id="Rectangle 10" o:spid="_x0000_s1028" style="position:absolute;left:560;top:376;width:7550;height:13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o2jwwAA&#10;ANsAAAAPAAAAZHJzL2Rvd25yZXYueG1sRI9Bb8IwDIXvk/gPkZF2GykVQlshIJiGtO20FX6AaUxT&#10;0Thdk0H37+cDEjdb7/m9z8v14Ft1oT42gQ1MJxko4irYhmsDh/3u6RlUTMgW28Bk4I8irFejhyUW&#10;Nlz5my5lqpWEcCzQgEupK7SOlSOPcRI6YtFOofeYZO1rbXu8SrhvdZ5lc+2xYWlw2NGro+pc/noD&#10;X7NA+Vset2XtX9xw3H9+/ODcmMfxsFmASjSku/l2/W4FX+jlFxlAr/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Zo2jwwAAANsAAAAPAAAAAAAAAAAAAAAAAJcCAABkcnMvZG93&#10;bnJldi54bWxQSwUGAAAAAAQABAD1AAAAhwMAAAAA&#10;" filled="f" stroked="f">
                    <v:textbox inset="91425emu,91425emu,91425emu,91425emu">
                      <w:txbxContent>
                        <w:p w14:paraId="2D064E68" w14:textId="77777777" w:rsidR="00691EB8" w:rsidRDefault="00691EB8" w:rsidP="00862409">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071;top:376;width:809;height:545;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x4&#10;6QLDAAAA2wAAAA8AAABkcnMvZG93bnJldi54bWxET01rwkAQvQv+h2UKvZS60YOVmFWiYFuwhzYK&#10;JbchOyah2dmQXXX777tCwds83udk62A6caHBtZYVTCcJCOLK6pZrBcfD7nkBwnlkjZ1lUvBLDtar&#10;8SjDVNsrf9Gl8LWIIexSVNB436dSuqohg25ie+LInexg0Ec41FIPeI3hppOzJJlLgy3HhgZ72jZU&#10;/RRnoyCgnG/O+fF7/7krP17yV3orw5NSjw8hX4LwFPxd/O9+13H+DG6/xAPk6g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HjpAsMAAADbAAAADwAAAAAAAAAAAAAAAACcAgAA&#10;ZHJzL2Rvd25yZXYueG1sUEsFBgAAAAAEAAQA9wAAAIwDAAAAAA==&#10;">
                    <v:imagedata r:id="rId11" o:title=""/>
                  </v:shape>
                  <v:rect id="Rectangle 13" o:spid="_x0000_s1030" style="position:absolute;left:560;top:376;width:7560;height:12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RkPEwgAA&#10;ANsAAAAPAAAAZHJzL2Rvd25yZXYueG1sRE9Na8JAEL0X/A/LCL3VjaZIGrMRkZbWkzXW+5Adk7TZ&#10;2ZDdauqvdwWht3m8z8mWg2nFiXrXWFYwnUQgiEurG64UfO3fnhIQziNrbC2Tgj9ysMxHDxmm2p55&#10;R6fCVyKEsEtRQe19l0rpypoMuontiAN3tL1BH2BfSd3jOYSbVs6iaC4NNhwaauxoXVP5U/waBXZ2&#10;ePGXTbyt3p+T1+/kUGw+47VSj+NhtQDhafD/4rv7Q4f5Mdx+CQfI/A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GQ8TCAAAA2wAAAA8AAAAAAAAAAAAAAAAAlwIAAGRycy9kb3du&#10;cmV2LnhtbFBLBQYAAAAABAAEAPUAAACGAwAAAAA=&#10;" fillcolor="#b03733" stroked="f">
                    <v:textbox inset="0,0,0,0">
                      <w:txbxContent>
                        <w:p w14:paraId="60625799" w14:textId="77777777" w:rsidR="00691EB8" w:rsidRDefault="00691EB8" w:rsidP="00862409">
                          <w:pPr>
                            <w:spacing w:before="103"/>
                            <w:ind w:left="2960" w:firstLine="2960"/>
                            <w:textDirection w:val="btLr"/>
                          </w:pPr>
                        </w:p>
                      </w:txbxContent>
                    </v:textbox>
                  </v:rect>
                </v:group>
              </v:group>
            </w:pict>
          </mc:Fallback>
        </mc:AlternateContent>
      </w:r>
      <w:r>
        <w:rPr>
          <w:noProof/>
          <w:lang w:val="en-US"/>
        </w:rPr>
        <mc:AlternateContent>
          <mc:Choice Requires="wps">
            <w:drawing>
              <wp:anchor distT="0" distB="0" distL="114300" distR="114300" simplePos="0" relativeHeight="251664384" behindDoc="0" locked="0" layoutInCell="1" hidden="0" allowOverlap="1" wp14:anchorId="6D8204F4" wp14:editId="3004F975">
                <wp:simplePos x="0" y="0"/>
                <wp:positionH relativeFrom="column">
                  <wp:posOffset>3910965</wp:posOffset>
                </wp:positionH>
                <wp:positionV relativeFrom="paragraph">
                  <wp:posOffset>-713740</wp:posOffset>
                </wp:positionV>
                <wp:extent cx="3011170" cy="502920"/>
                <wp:effectExtent l="0" t="0" r="0" b="0"/>
                <wp:wrapNone/>
                <wp:docPr id="14" name="Rectangle 14"/>
                <wp:cNvGraphicFramePr/>
                <a:graphic xmlns:a="http://schemas.openxmlformats.org/drawingml/2006/main">
                  <a:graphicData uri="http://schemas.microsoft.com/office/word/2010/wordprocessingShape">
                    <wps:wsp>
                      <wps:cNvSpPr/>
                      <wps:spPr>
                        <a:xfrm>
                          <a:off x="0" y="0"/>
                          <a:ext cx="3011170" cy="502920"/>
                        </a:xfrm>
                        <a:prstGeom prst="rect">
                          <a:avLst/>
                        </a:prstGeom>
                        <a:noFill/>
                        <a:ln w="9525" cap="flat" cmpd="sng">
                          <a:solidFill>
                            <a:srgbClr val="000000"/>
                          </a:solidFill>
                          <a:prstDash val="solid"/>
                          <a:round/>
                          <a:headEnd type="none" w="sm" len="sm"/>
                          <a:tailEnd type="none" w="sm" len="sm"/>
                        </a:ln>
                      </wps:spPr>
                      <wps:txbx>
                        <w:txbxContent>
                          <w:p w14:paraId="76D57DE1" w14:textId="77777777" w:rsidR="00691EB8" w:rsidRDefault="00691EB8" w:rsidP="00862409">
                            <w:pPr>
                              <w:jc w:val="center"/>
                              <w:textDirection w:val="btLr"/>
                            </w:pPr>
                            <w:r>
                              <w:rPr>
                                <w:rFonts w:ascii="Arial" w:eastAsia="Arial" w:hAnsi="Arial" w:cs="Arial"/>
                                <w:b/>
                                <w:color w:val="FFFFFF"/>
                                <w:sz w:val="48"/>
                              </w:rPr>
                              <w:t>Briefing Note</w:t>
                            </w:r>
                          </w:p>
                        </w:txbxContent>
                      </wps:txbx>
                      <wps:bodyPr spcFirstLastPara="1" wrap="square" lIns="91425" tIns="45700" rIns="91425" bIns="45700" anchor="t" anchorCtr="0"/>
                    </wps:wsp>
                  </a:graphicData>
                </a:graphic>
              </wp:anchor>
            </w:drawing>
          </mc:Choice>
          <mc:Fallback>
            <w:pict>
              <v:rect id="Rectangle 14" o:spid="_x0000_s1031" style="position:absolute;margin-left:307.95pt;margin-top:-56.15pt;width:237.1pt;height:39.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0xYCAAAeBAAADgAAAGRycy9lMm9Eb2MueG1srFNfj9MwDH9H4jtEeWdtx8axad093BhCOsHE&#10;wQfw0rSNlH/E2dp9e5xstxvwgIToQ2rHjn/2z/bqfjSaHWVA5WzNq0nJmbTCNcp2Nf/+bfvmPWcY&#10;wTagnZU1P0nk9+vXr1aDX8qp651uZGAUxOJy8DXvY/TLokDRSwM4cV5aMrYuGIikhq5oAgwU3ehi&#10;WpbvisGFxgcnJCLdbs5Gvs7x21aK+KVtUUama065xXyGfO7TWaxXsOwC+F6JSxrwD1kYUJZAr6E2&#10;EIEdgvojlFEiOHRtnAhnCte2SshcA1VTlb9V89SDl7kWIgf9lSb8f2HF5+MuMNVQ72acWTDUo6/E&#10;GthOS0Z3RNDgcUl+T34XLhqSmKod22DSn+pgYyb1dCVVjpEJunxbVlV1R9wLss3L6WKaWS9eXvuA&#10;8aN0hiWh5oHgM5dwfMRIiOT67JLArNsqrXPjtGVDzRfz6ZzCA41PqyGSaDwVhLbLYdBp1aQn6TGG&#10;bv+gAztCGoj8pRIJ4he3hLcB7M9+2XQeleAOtsnYvYTmg21YPHnizNJ085QMGs60pF0gIftFUPrv&#10;fpSAtpRH4vrMbpLiuB9zc6YpVrrZu+ZEDUMvtopyfASMOwg0shWh0xgT7o8DBMpFf7I0J4tqlsiJ&#10;WZnN70pqRLi17G8tYEXvaDuIw7P4EPOuJIYSOg1h5uqyMGnKb/Xs9bLW658AAAD//wMAUEsDBBQA&#10;BgAIAAAAIQBHVnFW4gAAAA0BAAAPAAAAZHJzL2Rvd25yZXYueG1sTI/BTsMwDIbvSLxDZCRuW5JV&#10;FFaaTgiEEGgSYuOyW9qYttA4pcm28PZkJzja/vT7+8tVtAM74OR7RwrkXABDapzpqVXwvn2c3QDz&#10;QZPRgyNU8IMeVtX5WakL4470hodNaFkKIV9oBV0IY8G5bzq02s/diJRuH26yOqRxarmZ9DGF24Ev&#10;hMi51T2lD50e8b7D5muztwrG7av93sWnByfW15/ieZdnsX5R6vIi3t0CCxjDHwwn/aQOVXKq3Z6M&#10;Z4OCXF4tE6pgJuUiA3ZCxFJIYHXaZZkEXpX8f4vqFwAA//8DAFBLAQItABQABgAIAAAAIQDkmcPA&#10;+wAAAOEBAAATAAAAAAAAAAAAAAAAAAAAAABbQ29udGVudF9UeXBlc10ueG1sUEsBAi0AFAAGAAgA&#10;AAAhACOyauHXAAAAlAEAAAsAAAAAAAAAAAAAAAAALAEAAF9yZWxzLy5yZWxzUEsBAi0AFAAGAAgA&#10;AAAhAG/vjtMWAgAAHgQAAA4AAAAAAAAAAAAAAAAALAIAAGRycy9lMm9Eb2MueG1sUEsBAi0AFAAG&#10;AAgAAAAhAEdWcVbiAAAADQEAAA8AAAAAAAAAAAAAAAAAbgQAAGRycy9kb3ducmV2LnhtbFBLBQYA&#10;AAAABAAEAPMAAAB9BQAAAAA=&#10;" filled="f">
                <v:stroke startarrowwidth="narrow" startarrowlength="short" endarrowwidth="narrow" endarrowlength="short" joinstyle="round"/>
                <v:textbox inset="91425emu,45700emu,91425emu,45700emu">
                  <w:txbxContent>
                    <w:p w14:paraId="76D57DE1" w14:textId="77777777" w:rsidR="00691EB8" w:rsidRDefault="00691EB8" w:rsidP="00862409">
                      <w:pPr>
                        <w:jc w:val="center"/>
                        <w:textDirection w:val="btLr"/>
                      </w:pPr>
                      <w:r>
                        <w:rPr>
                          <w:rFonts w:ascii="Arial" w:eastAsia="Arial" w:hAnsi="Arial" w:cs="Arial"/>
                          <w:b/>
                          <w:color w:val="FFFFFF"/>
                          <w:sz w:val="48"/>
                        </w:rPr>
                        <w:t>Briefing Note</w:t>
                      </w:r>
                    </w:p>
                  </w:txbxContent>
                </v:textbox>
              </v:rect>
            </w:pict>
          </mc:Fallback>
        </mc:AlternateContent>
      </w:r>
      <w:r w:rsidRPr="0081778A">
        <w:rPr>
          <w:b/>
          <w:noProof/>
          <w:color w:val="000000"/>
          <w:sz w:val="28"/>
          <w:szCs w:val="28"/>
          <w:lang w:val="en-US"/>
        </w:rPr>
        <mc:AlternateContent>
          <mc:Choice Requires="wps">
            <w:drawing>
              <wp:anchor distT="0" distB="0" distL="114300" distR="114300" simplePos="0" relativeHeight="251662336" behindDoc="0" locked="0" layoutInCell="1" hidden="0" allowOverlap="1" wp14:anchorId="49E2B7DF" wp14:editId="19B4D2F6">
                <wp:simplePos x="0" y="0"/>
                <wp:positionH relativeFrom="column">
                  <wp:posOffset>3900135</wp:posOffset>
                </wp:positionH>
                <wp:positionV relativeFrom="paragraph">
                  <wp:posOffset>-958798</wp:posOffset>
                </wp:positionV>
                <wp:extent cx="3036570" cy="996738"/>
                <wp:effectExtent l="0" t="0" r="0" b="0"/>
                <wp:wrapNone/>
                <wp:docPr id="15" name="Rectangle 15"/>
                <wp:cNvGraphicFramePr/>
                <a:graphic xmlns:a="http://schemas.openxmlformats.org/drawingml/2006/main">
                  <a:graphicData uri="http://schemas.microsoft.com/office/word/2010/wordprocessingShape">
                    <wps:wsp>
                      <wps:cNvSpPr/>
                      <wps:spPr>
                        <a:xfrm>
                          <a:off x="0" y="0"/>
                          <a:ext cx="3036570" cy="996738"/>
                        </a:xfrm>
                        <a:prstGeom prst="rect">
                          <a:avLst/>
                        </a:prstGeom>
                        <a:solidFill>
                          <a:schemeClr val="dk1"/>
                        </a:solidFill>
                        <a:ln>
                          <a:noFill/>
                        </a:ln>
                      </wps:spPr>
                      <wps:txbx>
                        <w:txbxContent>
                          <w:p w14:paraId="151F5333" w14:textId="77777777" w:rsidR="00691EB8" w:rsidRDefault="00691EB8" w:rsidP="00862409">
                            <w:pPr>
                              <w:spacing w:before="103"/>
                              <w:textDirection w:val="btLr"/>
                            </w:pP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id="Rectangle 15" o:spid="_x0000_s1032" style="position:absolute;margin-left:307.1pt;margin-top:-75.45pt;width:239.1pt;height:7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imYNQBAACVAwAADgAAAGRycy9lMm9Eb2MueG1srFPBbtswDL0P2D8Iui9OGjRtjTjF0CLDgGIL&#10;1u0DGFmKhcmSRimx8/ejZDtdu9uwi0xS1CPfI72+71vDThKDdrbii9mcM2mFq7U9VPzH9+2HW85C&#10;BFuDcVZW/CwDv9+8f7fufCmvXONMLZERiA1l5yvexOjLogiikS2EmfPS0qVy2EIkFw9FjdARemuK&#10;q/l8VXQOa49OyBAo+jhc8k3GV0qK+FWpICMzFafeYj4xn/t0Fps1lAcE32gxtgH/0EUL2lLRC9Qj&#10;RGBH1H9BtVqgC07FmXBt4ZTSQmYOxGYxf8PmuQEvMxcSJ/iLTOH/wYovpx0yXdPsrjmz0NKMvpFq&#10;YA9GMoqRQJ0PJeU9+x2OXiAzse0VtulLPFifRT1fRJV9ZIKCy/lydX1D2gu6u7tb3SxvE2jx8tpj&#10;iJ+ka1kyKo5UPmsJp6cQh9QpJRULzuh6q43JTloU+WCQnYBGXP9cjOCvsoxNudalVwNgihSJ2EAl&#10;WbHf91mJ5UR67+ozqRO82Gpq7QlC3AHSfiw462hnKh5+HQElZ+azpaGkBZsMnIz9ZIAVjaPVi5wN&#10;5kPMizi09vEYndKZbmpmKD32SLPPgo17mpbrTz9nvfxNm98AAAD//wMAUEsDBBQABgAIAAAAIQAs&#10;QfaM3wAAAAsBAAAPAAAAZHJzL2Rvd25yZXYueG1sTI9BTsMwEEX3SNzBGiR2rZ3QRjSNUyFQJQqr&#10;Bg7gJlMnajwOsdua2+Os6HL0v95/U2yC6dkFR9dZkpDMBTCk2jYdaQnfX9vZMzDnFTWqt4QSftHB&#10;pry/K1Te2Cvt8VJ5zSKEXK4ktN4POeeubtEoN7cDUsyOdjTKx3PUvBnVNcJNz1MhMm5UR3GhVQO+&#10;tlifqrORkIWn/W573FWfH/b9LSSof5aZlvLxIbysgXkM/r8Mk35UhzI6HeyZGsf6yEgWaaxKmCVL&#10;sQI2VcQqXQA7TCHwsuC3P5R/AAAA//8DAFBLAQItABQABgAIAAAAIQDkmcPA+wAAAOEBAAATAAAA&#10;AAAAAAAAAAAAAAAAAABbQ29udGVudF9UeXBlc10ueG1sUEsBAi0AFAAGAAgAAAAhACOyauHXAAAA&#10;lAEAAAsAAAAAAAAAAAAAAAAALAEAAF9yZWxzLy5yZWxzUEsBAi0AFAAGAAgAAAAhAIH4pmDUAQAA&#10;lQMAAA4AAAAAAAAAAAAAAAAALAIAAGRycy9lMm9Eb2MueG1sUEsBAi0AFAAGAAgAAAAhACxB9ozf&#10;AAAACwEAAA8AAAAAAAAAAAAAAAAALAQAAGRycy9kb3ducmV2LnhtbFBLBQYAAAAABAAEAPMAAAA4&#10;BQAAAAA=&#10;" fillcolor="black [3200]" stroked="f">
                <v:textbox inset="0,0,0,0">
                  <w:txbxContent>
                    <w:p w14:paraId="151F5333" w14:textId="77777777" w:rsidR="00691EB8" w:rsidRDefault="00691EB8" w:rsidP="00862409">
                      <w:pPr>
                        <w:spacing w:before="103"/>
                        <w:textDirection w:val="btLr"/>
                      </w:pPr>
                    </w:p>
                  </w:txbxContent>
                </v:textbox>
              </v:rect>
            </w:pict>
          </mc:Fallback>
        </mc:AlternateContent>
      </w:r>
    </w:p>
    <w:p w14:paraId="0520A30E" w14:textId="0C06ACE5" w:rsidR="00862CCD" w:rsidRDefault="00862CCD" w:rsidP="00862CCD">
      <w:pPr>
        <w:pBdr>
          <w:top w:val="nil"/>
          <w:left w:val="nil"/>
          <w:bottom w:val="nil"/>
          <w:right w:val="nil"/>
          <w:between w:val="nil"/>
        </w:pBdr>
        <w:spacing w:line="240" w:lineRule="auto"/>
        <w:contextualSpacing/>
        <w:rPr>
          <w:b/>
          <w:color w:val="B03733"/>
          <w:sz w:val="48"/>
          <w:szCs w:val="48"/>
        </w:rPr>
      </w:pPr>
      <w:r>
        <w:rPr>
          <w:b/>
          <w:color w:val="B03733"/>
          <w:sz w:val="48"/>
          <w:szCs w:val="48"/>
        </w:rPr>
        <w:t xml:space="preserve">Policy Statement on the </w:t>
      </w:r>
      <w:r w:rsidR="00850770">
        <w:rPr>
          <w:b/>
          <w:color w:val="B03733"/>
          <w:sz w:val="48"/>
          <w:szCs w:val="48"/>
        </w:rPr>
        <w:t>National Seniors Strategy and Medical Education Related to Care of the Elderly</w:t>
      </w:r>
    </w:p>
    <w:p w14:paraId="27DDE964" w14:textId="16BA68A5" w:rsidR="00862409" w:rsidRPr="003A4EFD" w:rsidRDefault="00862409" w:rsidP="00862409">
      <w:pPr>
        <w:pBdr>
          <w:top w:val="nil"/>
          <w:left w:val="nil"/>
          <w:bottom w:val="nil"/>
          <w:right w:val="nil"/>
          <w:between w:val="nil"/>
        </w:pBdr>
        <w:spacing w:line="240" w:lineRule="auto"/>
        <w:contextualSpacing/>
        <w:rPr>
          <w:b/>
          <w:color w:val="B03733"/>
          <w:sz w:val="24"/>
          <w:szCs w:val="24"/>
        </w:rPr>
      </w:pPr>
      <w:r>
        <w:rPr>
          <w:b/>
          <w:noProof/>
          <w:color w:val="000000"/>
          <w:sz w:val="28"/>
          <w:szCs w:val="28"/>
          <w:lang w:val="en-US"/>
        </w:rPr>
        <mc:AlternateContent>
          <mc:Choice Requires="wps">
            <w:drawing>
              <wp:anchor distT="0" distB="0" distL="114300" distR="114300" simplePos="0" relativeHeight="251661312" behindDoc="0" locked="0" layoutInCell="1" allowOverlap="1" wp14:anchorId="490DDEE4" wp14:editId="193BBAA8">
                <wp:simplePos x="0" y="0"/>
                <wp:positionH relativeFrom="column">
                  <wp:posOffset>-576775</wp:posOffset>
                </wp:positionH>
                <wp:positionV relativeFrom="paragraph">
                  <wp:posOffset>304702</wp:posOffset>
                </wp:positionV>
                <wp:extent cx="7159625" cy="1593948"/>
                <wp:effectExtent l="0" t="0" r="28575" b="31750"/>
                <wp:wrapNone/>
                <wp:docPr id="16" name="Text Box 16"/>
                <wp:cNvGraphicFramePr/>
                <a:graphic xmlns:a="http://schemas.openxmlformats.org/drawingml/2006/main">
                  <a:graphicData uri="http://schemas.microsoft.com/office/word/2010/wordprocessingShape">
                    <wps:wsp>
                      <wps:cNvSpPr txBox="1"/>
                      <wps:spPr>
                        <a:xfrm>
                          <a:off x="0" y="0"/>
                          <a:ext cx="7159625" cy="1593948"/>
                        </a:xfrm>
                        <a:prstGeom prst="rect">
                          <a:avLst/>
                        </a:prstGeom>
                        <a:solidFill>
                          <a:srgbClr val="BB0921">
                            <a:alpha val="29000"/>
                          </a:srgbClr>
                        </a:solidFill>
                        <a:ln w="6350">
                          <a:solidFill>
                            <a:prstClr val="black"/>
                          </a:solidFill>
                        </a:ln>
                        <a:effectLst/>
                      </wps:spPr>
                      <wps:txbx>
                        <w:txbxContent>
                          <w:p w14:paraId="20404980" w14:textId="3D3FA691" w:rsidR="00691EB8" w:rsidRPr="002D4F7D" w:rsidRDefault="00691EB8" w:rsidP="002D4F7D">
                            <w:pPr>
                              <w:rPr>
                                <w:color w:val="000000" w:themeColor="text1"/>
                                <w:sz w:val="32"/>
                                <w:szCs w:val="24"/>
                              </w:rPr>
                            </w:pPr>
                            <w:r w:rsidRPr="002D4F7D">
                              <w:rPr>
                                <w:color w:val="000000" w:themeColor="text1"/>
                                <w:sz w:val="32"/>
                                <w:szCs w:val="24"/>
                              </w:rPr>
                              <w:t>SUMMARY:</w:t>
                            </w:r>
                          </w:p>
                          <w:p w14:paraId="36612BB0" w14:textId="12F2BB02" w:rsidR="00691EB8" w:rsidRPr="00C77CE4" w:rsidRDefault="00691EB8" w:rsidP="00527586">
                            <w:pPr>
                              <w:ind w:firstLine="720"/>
                              <w:rPr>
                                <w:color w:val="000000" w:themeColor="text1"/>
                                <w:sz w:val="24"/>
                                <w:szCs w:val="24"/>
                              </w:rPr>
                            </w:pPr>
                            <w:r>
                              <w:rPr>
                                <w:color w:val="000000" w:themeColor="text1"/>
                                <w:sz w:val="24"/>
                                <w:szCs w:val="24"/>
                              </w:rPr>
                              <w:t xml:space="preserve">This policy statement is written by Medical Students of the CFMS National Senior Strategy Task Force. </w:t>
                            </w:r>
                            <w:r w:rsidRPr="009D7A46">
                              <w:rPr>
                                <w:color w:val="FF0000"/>
                                <w:sz w:val="24"/>
                                <w:szCs w:val="24"/>
                              </w:rPr>
                              <w:t xml:space="preserve">The first objective is to support the National Seniors’ Strategy in its effort towards the health and engaged lives of citizens, as well as support for caregivers and care closer to home. The </w:t>
                            </w:r>
                            <w:r w:rsidR="00EA7B65" w:rsidRPr="009D7A46">
                              <w:rPr>
                                <w:color w:val="FF0000"/>
                                <w:sz w:val="24"/>
                                <w:szCs w:val="24"/>
                              </w:rPr>
                              <w:t>second objective of this task force is to encourage explicit medical education about the community care of the ageing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33" type="#_x0000_t202" style="position:absolute;margin-left:-45.35pt;margin-top:24pt;width:563.75pt;height:1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ja8mkCAADbBAAADgAAAGRycy9lMm9Eb2MueG1srFTfT9swEH6ftP/B8vtIWtpCK1JUQEyTECDB&#10;xLPrOG00x+fZbhP21++z05bC9jTtxbkfn+98393l4rJrNNsq52syBR+c5JwpI6mszarg359vv5xz&#10;5oMwpdBkVMFfleeX88+fLlo7U0Naky6VYwhi/Ky1BV+HYGdZ5uVaNcKfkFUGzopcIwJUt8pKJ1pE&#10;b3Q2zPNJ1pIrrSOpvIf1pnfyeYpfVUqGh6ryKjBdcLwtpNOlcxnPbH4hZisn7LqWu2eIf3hFI2qD&#10;pIdQNyIItnH1H6GaWjryVIUTSU1GVVVLlWpANYP8QzVPa2FVqgXkeHugyf+/sPJ+++hYXaJ3E86M&#10;aNCjZ9UFdkUdgwn8tNbPAHuyAIYOdmD3dg9jLLurXBO/KIjBD6ZfD+zGaBLGs8F4OhmOOZPwQT6d&#10;js5jnOztunU+fFXUsCgU3KF9iVWxvfOhh+4hMZsnXZe3tdZJcavltXZsK9Dqq6t8Ohz0d7Vdi946&#10;nOZ5ajlS+h6e0r+Low1rCz45Hefp+jtfTH7IsdRC/tgVcIRCbG3ig1Qav93DI4k9WVEK3bJLpI/2&#10;RC6pfAW/jvoJ9Vbe1kh2J3x4FA4jCUqxZuEBR6UJL6SdxNma3K+/2SMekwIvZy1GvOD+50Y4xZn+&#10;ZjBD08FoFHciKaPx2RCKO/Ysjz1m01wTqB1goa1MYsQHvRcrR80LtnERs8IljETugoe9eB36xcM2&#10;S7VYJBC2wIpwZ56sjKEjb5Hk5+5FOLsbg4AJuqf9MojZh2nosfGmocUmUFWnUYk896yix1HBBqVu&#10;77Y9ruixnlBv/6T5bwAAAP//AwBQSwMEFAAGAAgAAAAhAHEbNBPgAAAACwEAAA8AAABkcnMvZG93&#10;bnJldi54bWxMj8FOwzAQRO9I/IO1SFyq1qaFkoQ4FSpwpSKgnt14m4TG6yh22/D3bE9wXO1o5r18&#10;NbpOnHAIrScNdzMFAqnytqVaw9fn2zQBEaIhazpPqOEHA6yK66vcZNaf6QNPZawFl1DIjIYmxj6T&#10;MlQNOhNmvkfi394PzkQ+h1rawZy53HVyrtRSOtMSLzSmx3WD1aE8Og375OVh873ZLlw5ea22sp74&#10;9eFd69ub8fkJRMQx/oXhgs/oUDDTzh/JBtFpmKbqkaMa7hN2ugTUYskyOw3zNFUgi1z+dyh+AQAA&#10;//8DAFBLAQItABQABgAIAAAAIQDkmcPA+wAAAOEBAAATAAAAAAAAAAAAAAAAAAAAAABbQ29udGVu&#10;dF9UeXBlc10ueG1sUEsBAi0AFAAGAAgAAAAhACOyauHXAAAAlAEAAAsAAAAAAAAAAAAAAAAALAEA&#10;AF9yZWxzLy5yZWxzUEsBAi0AFAAGAAgAAAAhAHnY2vJpAgAA2wQAAA4AAAAAAAAAAAAAAAAALAIA&#10;AGRycy9lMm9Eb2MueG1sUEsBAi0AFAAGAAgAAAAhAHEbNBPgAAAACwEAAA8AAAAAAAAAAAAAAAAA&#10;wQQAAGRycy9kb3ducmV2LnhtbFBLBQYAAAAABAAEAPMAAADOBQAAAAA=&#10;" fillcolor="#bb0921" strokeweight=".5pt">
                <v:fill opacity="19018f"/>
                <v:textbox>
                  <w:txbxContent>
                    <w:p w14:paraId="20404980" w14:textId="3D3FA691" w:rsidR="00691EB8" w:rsidRPr="002D4F7D" w:rsidRDefault="00691EB8" w:rsidP="002D4F7D">
                      <w:pPr>
                        <w:rPr>
                          <w:color w:val="000000" w:themeColor="text1"/>
                          <w:sz w:val="32"/>
                          <w:szCs w:val="24"/>
                        </w:rPr>
                      </w:pPr>
                      <w:r w:rsidRPr="002D4F7D">
                        <w:rPr>
                          <w:color w:val="000000" w:themeColor="text1"/>
                          <w:sz w:val="32"/>
                          <w:szCs w:val="24"/>
                        </w:rPr>
                        <w:t>SUMMARY:</w:t>
                      </w:r>
                    </w:p>
                    <w:p w14:paraId="36612BB0" w14:textId="12F2BB02" w:rsidR="00691EB8" w:rsidRPr="00C77CE4" w:rsidRDefault="00691EB8" w:rsidP="00527586">
                      <w:pPr>
                        <w:ind w:firstLine="720"/>
                        <w:rPr>
                          <w:color w:val="000000" w:themeColor="text1"/>
                          <w:sz w:val="24"/>
                          <w:szCs w:val="24"/>
                        </w:rPr>
                      </w:pPr>
                      <w:r>
                        <w:rPr>
                          <w:color w:val="000000" w:themeColor="text1"/>
                          <w:sz w:val="24"/>
                          <w:szCs w:val="24"/>
                        </w:rPr>
                        <w:t xml:space="preserve">This policy statement is written by Medical Students of the CFMS National Senior Strategy Task Force. </w:t>
                      </w:r>
                      <w:r w:rsidRPr="009D7A46">
                        <w:rPr>
                          <w:color w:val="FF0000"/>
                          <w:sz w:val="24"/>
                          <w:szCs w:val="24"/>
                        </w:rPr>
                        <w:t xml:space="preserve">The first objective is to support the National Seniors’ Strategy in its effort towards the health and engaged lives of citizens, as well as support for caregivers and care closer to home. The </w:t>
                      </w:r>
                      <w:r w:rsidR="00EA7B65" w:rsidRPr="009D7A46">
                        <w:rPr>
                          <w:color w:val="FF0000"/>
                          <w:sz w:val="24"/>
                          <w:szCs w:val="24"/>
                        </w:rPr>
                        <w:t>second objective of this task force is to encourage explicit medical education about the community care of the ageing population.</w:t>
                      </w:r>
                    </w:p>
                  </w:txbxContent>
                </v:textbox>
              </v:shape>
            </w:pict>
          </mc:Fallback>
        </mc:AlternateContent>
      </w:r>
      <w:r w:rsidR="0040697B">
        <w:rPr>
          <w:b/>
          <w:color w:val="808080" w:themeColor="background1" w:themeShade="80"/>
          <w:sz w:val="24"/>
          <w:szCs w:val="24"/>
        </w:rPr>
        <w:t xml:space="preserve"> </w:t>
      </w:r>
      <w:r>
        <w:rPr>
          <w:b/>
          <w:color w:val="808080" w:themeColor="background1" w:themeShade="80"/>
          <w:sz w:val="24"/>
          <w:szCs w:val="24"/>
        </w:rPr>
        <w:t xml:space="preserve"> </w:t>
      </w:r>
    </w:p>
    <w:p w14:paraId="074F6B96"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0CDF0D32"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6409F760"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6D641143"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32F72D0E"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4F883359"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3726BF30"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648176D1"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55B81CB8"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1332B529"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1B5C921B" w14:textId="77777777" w:rsidR="00862409" w:rsidRPr="00353655" w:rsidRDefault="00862409" w:rsidP="00862409">
      <w:pPr>
        <w:pBdr>
          <w:top w:val="nil"/>
          <w:left w:val="nil"/>
          <w:bottom w:val="nil"/>
          <w:right w:val="nil"/>
          <w:between w:val="nil"/>
        </w:pBdr>
        <w:spacing w:line="240" w:lineRule="auto"/>
        <w:contextualSpacing/>
        <w:rPr>
          <w:b/>
          <w:caps/>
          <w:color w:val="000000"/>
          <w:sz w:val="28"/>
          <w:szCs w:val="28"/>
        </w:rPr>
      </w:pPr>
    </w:p>
    <w:p w14:paraId="495DCFBA"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2EF6FC12"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54310EC9"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79112376"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218A5C08" w14:textId="77777777" w:rsidR="00862409" w:rsidRDefault="00862409" w:rsidP="00862409">
      <w:pPr>
        <w:pBdr>
          <w:top w:val="nil"/>
          <w:left w:val="nil"/>
          <w:bottom w:val="nil"/>
          <w:right w:val="nil"/>
          <w:between w:val="nil"/>
        </w:pBdr>
        <w:spacing w:line="240" w:lineRule="auto"/>
        <w:contextualSpacing/>
        <w:rPr>
          <w:b/>
          <w:color w:val="000000"/>
          <w:sz w:val="28"/>
          <w:szCs w:val="28"/>
        </w:rPr>
      </w:pPr>
    </w:p>
    <w:p w14:paraId="53F9639D" w14:textId="77777777" w:rsidR="00862409" w:rsidRDefault="00862409" w:rsidP="00862409">
      <w:pPr>
        <w:pBdr>
          <w:top w:val="nil"/>
          <w:left w:val="nil"/>
          <w:bottom w:val="nil"/>
          <w:right w:val="nil"/>
          <w:between w:val="nil"/>
        </w:pBdr>
        <w:spacing w:line="240" w:lineRule="auto"/>
        <w:contextualSpacing/>
        <w:rPr>
          <w:b/>
          <w:color w:val="000000"/>
          <w:sz w:val="28"/>
          <w:szCs w:val="28"/>
        </w:rPr>
        <w:sectPr w:rsidR="00862409" w:rsidSect="00187C7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0" w:left="1440" w:header="720" w:footer="0" w:gutter="0"/>
          <w:pgNumType w:start="1"/>
          <w:cols w:space="720"/>
        </w:sectPr>
      </w:pPr>
    </w:p>
    <w:p w14:paraId="5714F095" w14:textId="77777777" w:rsidR="00582001" w:rsidRPr="002579B5" w:rsidRDefault="00582001" w:rsidP="00862409">
      <w:pPr>
        <w:pStyle w:val="Heading1"/>
        <w:spacing w:before="238"/>
        <w:ind w:right="-360"/>
        <w:rPr>
          <w:color w:val="B03733"/>
          <w:sz w:val="22"/>
          <w:szCs w:val="22"/>
        </w:rPr>
      </w:pPr>
    </w:p>
    <w:p w14:paraId="14420507" w14:textId="77777777" w:rsidR="00582001" w:rsidRPr="002579B5" w:rsidRDefault="00582001" w:rsidP="00862409">
      <w:pPr>
        <w:pStyle w:val="Heading1"/>
        <w:spacing w:before="238"/>
        <w:ind w:right="-360"/>
        <w:rPr>
          <w:color w:val="B03733"/>
          <w:sz w:val="22"/>
          <w:szCs w:val="22"/>
        </w:rPr>
      </w:pPr>
    </w:p>
    <w:p w14:paraId="5B3E3109" w14:textId="77777777" w:rsidR="00582001" w:rsidRPr="002579B5" w:rsidRDefault="00582001" w:rsidP="00862409">
      <w:pPr>
        <w:pStyle w:val="Heading1"/>
        <w:spacing w:before="238"/>
        <w:ind w:right="-360"/>
        <w:rPr>
          <w:color w:val="B03733"/>
          <w:sz w:val="22"/>
          <w:szCs w:val="22"/>
        </w:rPr>
      </w:pPr>
    </w:p>
    <w:p w14:paraId="2C7E8DC9" w14:textId="77777777" w:rsidR="00582001" w:rsidRPr="002579B5" w:rsidRDefault="00582001" w:rsidP="00862409">
      <w:pPr>
        <w:pStyle w:val="Heading1"/>
        <w:spacing w:before="238"/>
        <w:ind w:right="-360"/>
        <w:rPr>
          <w:color w:val="B03733"/>
          <w:sz w:val="22"/>
          <w:szCs w:val="22"/>
        </w:rPr>
      </w:pPr>
    </w:p>
    <w:p w14:paraId="6B8E10E7" w14:textId="77777777" w:rsidR="00582001" w:rsidRPr="002579B5" w:rsidRDefault="00582001" w:rsidP="00862409">
      <w:pPr>
        <w:pStyle w:val="Heading1"/>
        <w:spacing w:before="238"/>
        <w:ind w:right="-360"/>
        <w:rPr>
          <w:color w:val="B03733"/>
          <w:sz w:val="22"/>
          <w:szCs w:val="22"/>
        </w:rPr>
      </w:pPr>
    </w:p>
    <w:p w14:paraId="4CEDDDE5" w14:textId="77777777" w:rsidR="00582001" w:rsidRPr="002579B5" w:rsidRDefault="00582001" w:rsidP="00862409">
      <w:pPr>
        <w:pStyle w:val="Heading1"/>
        <w:spacing w:before="238"/>
        <w:ind w:right="-360"/>
        <w:rPr>
          <w:color w:val="B03733"/>
          <w:sz w:val="22"/>
          <w:szCs w:val="22"/>
        </w:rPr>
      </w:pPr>
    </w:p>
    <w:p w14:paraId="75CC34D1" w14:textId="77777777" w:rsidR="00582001" w:rsidRPr="002579B5" w:rsidRDefault="00582001" w:rsidP="00582001">
      <w:pPr>
        <w:tabs>
          <w:tab w:val="left" w:pos="1197"/>
        </w:tabs>
        <w:sectPr w:rsidR="00582001" w:rsidRPr="002579B5" w:rsidSect="00582001">
          <w:type w:val="continuous"/>
          <w:pgSz w:w="12240" w:h="15840"/>
          <w:pgMar w:top="1440" w:right="259" w:bottom="0" w:left="526" w:header="720" w:footer="0" w:gutter="0"/>
          <w:pgNumType w:start="1"/>
          <w:cols w:num="2" w:space="720"/>
        </w:sectPr>
      </w:pPr>
    </w:p>
    <w:p w14:paraId="4134DBA6" w14:textId="53FEECB8" w:rsidR="00582001" w:rsidRPr="002579B5" w:rsidRDefault="00582001" w:rsidP="00582001">
      <w:pPr>
        <w:tabs>
          <w:tab w:val="left" w:pos="1197"/>
        </w:tabs>
      </w:pPr>
      <w:r w:rsidRPr="002579B5">
        <w:lastRenderedPageBreak/>
        <w:tab/>
      </w:r>
    </w:p>
    <w:p w14:paraId="590DF5B6" w14:textId="09989882" w:rsidR="00582001" w:rsidRPr="002579B5" w:rsidRDefault="00582001" w:rsidP="00582001">
      <w:pPr>
        <w:tabs>
          <w:tab w:val="left" w:pos="933"/>
        </w:tabs>
        <w:contextualSpacing/>
      </w:pPr>
    </w:p>
    <w:p w14:paraId="19BB38E0" w14:textId="73C0668C" w:rsidR="00582001" w:rsidRPr="002579B5" w:rsidRDefault="00582001" w:rsidP="00582001">
      <w:pPr>
        <w:spacing w:before="2"/>
        <w:contextualSpacing/>
        <w:jc w:val="center"/>
        <w:rPr>
          <w:color w:val="58595B"/>
        </w:rPr>
      </w:pPr>
    </w:p>
    <w:p w14:paraId="3305D29D" w14:textId="36499A88" w:rsidR="00582001" w:rsidRPr="002579B5" w:rsidRDefault="00582001" w:rsidP="00582001">
      <w:pPr>
        <w:tabs>
          <w:tab w:val="left" w:pos="974"/>
        </w:tabs>
        <w:spacing w:before="2"/>
        <w:contextualSpacing/>
        <w:rPr>
          <w:color w:val="58595B"/>
        </w:rPr>
      </w:pPr>
    </w:p>
    <w:p w14:paraId="686937B9" w14:textId="40961683" w:rsidR="00582001" w:rsidRPr="002579B5" w:rsidRDefault="00582001" w:rsidP="00582001">
      <w:pPr>
        <w:spacing w:before="2"/>
        <w:contextualSpacing/>
        <w:jc w:val="center"/>
        <w:rPr>
          <w:color w:val="58595B"/>
        </w:rPr>
      </w:pPr>
    </w:p>
    <w:p w14:paraId="58EA76BB" w14:textId="35D9C74A" w:rsidR="00582001" w:rsidRPr="002579B5" w:rsidRDefault="00582001" w:rsidP="00582001">
      <w:pPr>
        <w:spacing w:before="2"/>
        <w:contextualSpacing/>
        <w:jc w:val="center"/>
        <w:rPr>
          <w:color w:val="58595B"/>
        </w:rPr>
      </w:pPr>
    </w:p>
    <w:p w14:paraId="7EBF362C" w14:textId="088E4374" w:rsidR="00582001" w:rsidRPr="002579B5" w:rsidRDefault="00582001" w:rsidP="00582001">
      <w:pPr>
        <w:spacing w:before="2"/>
        <w:contextualSpacing/>
        <w:jc w:val="center"/>
        <w:rPr>
          <w:color w:val="58595B"/>
        </w:rPr>
      </w:pPr>
    </w:p>
    <w:p w14:paraId="54BE6A38" w14:textId="27FDBF36" w:rsidR="00582001" w:rsidRPr="002579B5" w:rsidRDefault="00582001" w:rsidP="00582001">
      <w:pPr>
        <w:spacing w:before="2"/>
        <w:contextualSpacing/>
        <w:jc w:val="center"/>
        <w:rPr>
          <w:color w:val="58595B"/>
        </w:rPr>
      </w:pPr>
    </w:p>
    <w:p w14:paraId="68B67DA6" w14:textId="77777777" w:rsidR="00A50770" w:rsidRDefault="00A50770" w:rsidP="00A50770">
      <w:pPr>
        <w:tabs>
          <w:tab w:val="left" w:pos="1197"/>
        </w:tabs>
        <w:contextualSpacing/>
        <w:jc w:val="center"/>
        <w:rPr>
          <w:color w:val="58595B"/>
          <w:sz w:val="20"/>
          <w:szCs w:val="20"/>
        </w:rPr>
      </w:pPr>
    </w:p>
    <w:p w14:paraId="3BFF3221" w14:textId="77777777" w:rsidR="00A50770" w:rsidRDefault="00A50770" w:rsidP="00A50770">
      <w:pPr>
        <w:tabs>
          <w:tab w:val="left" w:pos="1197"/>
        </w:tabs>
        <w:contextualSpacing/>
        <w:jc w:val="center"/>
        <w:rPr>
          <w:color w:val="58595B"/>
          <w:sz w:val="20"/>
          <w:szCs w:val="20"/>
        </w:rPr>
      </w:pPr>
      <w:r>
        <w:rPr>
          <w:noProof/>
          <w:sz w:val="6"/>
          <w:szCs w:val="6"/>
          <w:lang w:val="en-US"/>
        </w:rPr>
        <mc:AlternateContent>
          <mc:Choice Requires="wpg">
            <w:drawing>
              <wp:anchor distT="0" distB="0" distL="114300" distR="114300" simplePos="0" relativeHeight="251666432" behindDoc="0" locked="0" layoutInCell="1" allowOverlap="1" wp14:anchorId="66B7300E" wp14:editId="1CBB7BE1">
                <wp:simplePos x="0" y="0"/>
                <wp:positionH relativeFrom="column">
                  <wp:posOffset>515620</wp:posOffset>
                </wp:positionH>
                <wp:positionV relativeFrom="paragraph">
                  <wp:posOffset>52070</wp:posOffset>
                </wp:positionV>
                <wp:extent cx="5943600" cy="40640"/>
                <wp:effectExtent l="0" t="50800" r="25400" b="60960"/>
                <wp:wrapNone/>
                <wp:docPr id="17" name="Group 17"/>
                <wp:cNvGraphicFramePr/>
                <a:graphic xmlns:a="http://schemas.openxmlformats.org/drawingml/2006/main">
                  <a:graphicData uri="http://schemas.microsoft.com/office/word/2010/wordprocessingGroup">
                    <wpg:wgp>
                      <wpg:cNvGrpSpPr/>
                      <wpg:grpSpPr>
                        <a:xfrm>
                          <a:off x="0" y="0"/>
                          <a:ext cx="5943600" cy="40640"/>
                          <a:chOff x="2145283" y="3758093"/>
                          <a:chExt cx="6400800" cy="31750"/>
                        </a:xfrm>
                      </wpg:grpSpPr>
                      <wpg:grpSp>
                        <wpg:cNvPr id="18" name="Group 18"/>
                        <wpg:cNvGrpSpPr/>
                        <wpg:grpSpPr>
                          <a:xfrm>
                            <a:off x="2145283" y="3758093"/>
                            <a:ext cx="6400800" cy="31750"/>
                            <a:chOff x="0" y="0"/>
                            <a:chExt cx="10080" cy="50"/>
                          </a:xfrm>
                        </wpg:grpSpPr>
                        <wps:wsp>
                          <wps:cNvPr id="19" name="Rectangle 19"/>
                          <wps:cNvSpPr/>
                          <wps:spPr>
                            <a:xfrm>
                              <a:off x="0" y="0"/>
                              <a:ext cx="10075" cy="50"/>
                            </a:xfrm>
                            <a:prstGeom prst="rect">
                              <a:avLst/>
                            </a:prstGeom>
                            <a:noFill/>
                            <a:ln>
                              <a:noFill/>
                            </a:ln>
                          </wps:spPr>
                          <wps:txbx>
                            <w:txbxContent>
                              <w:p w14:paraId="4D52488F" w14:textId="77777777" w:rsidR="00691EB8" w:rsidRDefault="00691EB8" w:rsidP="00A50770">
                                <w:pPr>
                                  <w:textDirection w:val="btLr"/>
                                </w:pPr>
                              </w:p>
                            </w:txbxContent>
                          </wps:txbx>
                          <wps:bodyPr spcFirstLastPara="1" wrap="square" lIns="91425" tIns="91425" rIns="91425" bIns="91425" anchor="ctr" anchorCtr="0"/>
                        </wps:wsp>
                        <wps:wsp>
                          <wps:cNvPr id="20" name="Straight Arrow Connector 20"/>
                          <wps:cNvCnPr/>
                          <wps:spPr>
                            <a:xfrm>
                              <a:off x="0" y="34"/>
                              <a:ext cx="2018" cy="0"/>
                            </a:xfrm>
                            <a:prstGeom prst="straightConnector1">
                              <a:avLst/>
                            </a:prstGeom>
                            <a:noFill/>
                            <a:ln w="43175" cap="flat" cmpd="sng">
                              <a:solidFill>
                                <a:schemeClr val="dk1"/>
                              </a:solidFill>
                              <a:prstDash val="solid"/>
                              <a:round/>
                              <a:headEnd type="none" w="med" len="med"/>
                              <a:tailEnd type="none" w="med" len="med"/>
                            </a:ln>
                          </wps:spPr>
                          <wps:bodyPr/>
                        </wps:wsp>
                        <wps:wsp>
                          <wps:cNvPr id="21" name="Straight Arrow Connector 21"/>
                          <wps:cNvCnPr/>
                          <wps:spPr>
                            <a:xfrm>
                              <a:off x="2019" y="34"/>
                              <a:ext cx="2018" cy="0"/>
                            </a:xfrm>
                            <a:prstGeom prst="straightConnector1">
                              <a:avLst/>
                            </a:prstGeom>
                            <a:noFill/>
                            <a:ln w="43175" cap="flat" cmpd="sng">
                              <a:solidFill>
                                <a:srgbClr val="B03733"/>
                              </a:solidFill>
                              <a:prstDash val="solid"/>
                              <a:round/>
                              <a:headEnd type="none" w="med" len="med"/>
                              <a:tailEnd type="none" w="med" len="med"/>
                            </a:ln>
                          </wps:spPr>
                          <wps:bodyPr/>
                        </wps:wsp>
                        <wps:wsp>
                          <wps:cNvPr id="22" name="Straight Arrow Connector 22"/>
                          <wps:cNvCnPr/>
                          <wps:spPr>
                            <a:xfrm>
                              <a:off x="4037" y="34"/>
                              <a:ext cx="2018" cy="0"/>
                            </a:xfrm>
                            <a:prstGeom prst="straightConnector1">
                              <a:avLst/>
                            </a:prstGeom>
                            <a:noFill/>
                            <a:ln w="43175" cap="flat" cmpd="sng">
                              <a:solidFill>
                                <a:srgbClr val="B03733">
                                  <a:alpha val="80000"/>
                                </a:srgbClr>
                              </a:solidFill>
                              <a:prstDash val="solid"/>
                              <a:round/>
                              <a:headEnd type="none" w="med" len="med"/>
                              <a:tailEnd type="none" w="med" len="med"/>
                            </a:ln>
                          </wps:spPr>
                          <wps:bodyPr/>
                        </wps:wsp>
                        <wps:wsp>
                          <wps:cNvPr id="23" name="Straight Arrow Connector 23"/>
                          <wps:cNvCnPr/>
                          <wps:spPr>
                            <a:xfrm>
                              <a:off x="6056" y="34"/>
                              <a:ext cx="2018" cy="0"/>
                            </a:xfrm>
                            <a:prstGeom prst="straightConnector1">
                              <a:avLst/>
                            </a:prstGeom>
                            <a:noFill/>
                            <a:ln w="43175" cap="flat" cmpd="sng">
                              <a:solidFill>
                                <a:srgbClr val="B03733">
                                  <a:alpha val="60000"/>
                                </a:srgbClr>
                              </a:solidFill>
                              <a:prstDash val="solid"/>
                              <a:round/>
                              <a:headEnd type="none" w="med" len="med"/>
                              <a:tailEnd type="none" w="med" len="med"/>
                            </a:ln>
                          </wps:spPr>
                          <wps:bodyPr/>
                        </wps:wsp>
                        <wps:wsp>
                          <wps:cNvPr id="24" name="Straight Arrow Connector 24"/>
                          <wps:cNvCnPr/>
                          <wps:spPr>
                            <a:xfrm>
                              <a:off x="8062" y="34"/>
                              <a:ext cx="2018" cy="0"/>
                            </a:xfrm>
                            <a:prstGeom prst="straightConnector1">
                              <a:avLst/>
                            </a:prstGeom>
                            <a:noFill/>
                            <a:ln w="43175" cap="flat" cmpd="sng">
                              <a:solidFill>
                                <a:srgbClr val="B03733">
                                  <a:alpha val="40000"/>
                                </a:srgbClr>
                              </a:solidFill>
                              <a:prstDash val="solid"/>
                              <a:round/>
                              <a:headEnd type="none" w="med" len="med"/>
                              <a:tailEnd type="none" w="med" len="med"/>
                            </a:ln>
                          </wps:spPr>
                          <wps:bodyPr/>
                        </wps:wsp>
                      </wpg:grpSp>
                    </wpg:wgp>
                  </a:graphicData>
                </a:graphic>
                <wp14:sizeRelH relativeFrom="page">
                  <wp14:pctWidth>0</wp14:pctWidth>
                </wp14:sizeRelH>
                <wp14:sizeRelV relativeFrom="page">
                  <wp14:pctHeight>0</wp14:pctHeight>
                </wp14:sizeRelV>
              </wp:anchor>
            </w:drawing>
          </mc:Choice>
          <mc:Fallback>
            <w:pict>
              <v:group id="Group 17" o:spid="_x0000_s1034" style="position:absolute;left:0;text-align:left;margin-left:40.6pt;margin-top:4.1pt;width:468pt;height:3.2pt;z-index:251666432" coordorigin="2145283,3758093" coordsize="6400800,3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gJHYsDAAC1EAAADgAAAGRycy9lMm9Eb2MueG1s7FjZbts4FH0fYP6B4PtEi3chTtFJmqBA0QaT&#10;9gNoiVowEsmSTOT8/RxSi+OMCxspUCBFXmRx0eU99557SPr83bapyQPXppJiTaOzkBIuUplVoljT&#10;b1+v/1pSYiwTGaul4Gv6yA19d/HnH+etSngsS1lnXBMYESZp1ZqW1qokCExa8oaZM6m4wGAudcMs&#10;mroIMs1aWG/qIA7DedBKnSktU24Meq+6QXrh7ec5T+2XPDfcknpN4Zv1T+2fG/cMLs5ZUmimyirt&#10;3WAv8KJhlcCio6krZhm519X/TDVVqqWRuT1LZRPIPK9S7jEATRQ+Q3Oj5b3yWIqkLdQYJoT2WZxe&#10;bDb9/HCrSZUhdwtKBGuQI78sQRvBaVWRYM6NVnfqVvcdRddyeLe5btwvkJCtD+vjGFa+tSRF52w1&#10;ncxDRD/F2DScT/uwpyVy476Ko+ksXk4owfhkMVuGq0mXmLT80NvAR+FysDGJFjNvIxgcCJyfo1tj&#10;Y/R/wAg27mFcvgDjD70d8B72lSUjXoRiF6UdxshB7KJ0BB5qxezoYH6ODnclU9yzzLhUD6FaDaH6&#10;B0XERFFzEq26cPl5Ix9MYkCNU8kAkIvZQZAsUdrYGy4b4l7WVGNhX1Ts4ZOx4B7SPUxxywl5XdW1&#10;r+Ba7HVgousBKwbn3Jvdbrae6rMBxkZmj8BrVHpdYclPzNhbpiEAESUtRGFNzfd7pjkl9UeBMK+i&#10;aQzn7dOGftrYPG0wkZYSWpNaTUnXuLReexwW5xGy6Cj6C9IZg1gd8++sZlVRWvJea9mSSykE4iw1&#10;wRRf3z67l6Kv9iGAQ6U9K/XJ1H3EkoH7UDHUmCv0/QLdZa5PrundGNePTk41aSEjTgOwkMtRXjOL&#10;10ZBxYwovB0j6ypz9HDO+d2EX9aaPDDsA9m/kXMaJNmb5ah1xUzZTfJDHTaosMg8ypKz7IPIiH1U&#10;0EmBHQ08WdOGZ2AIxwbo3vxMy6r6lJmHmdrx0vn4i1kC3h9jiY+dcwtacZwl4AOExOn6qyCKLjYj&#10;Tf4OJ4uJ34jemIKa6lPebw9xfJwpsSuFk5kyRbhfN1Oc1LBalaxTEBxXcGBxRQyh6Yj1JjoHThox&#10;Dn7HRMeX4clUmoez+W9FJZye36i0d9E7fGiNp8ep5Pehk6m0DOdQute8fz1TJdyjXjuVdpc9f0Dy&#10;d2OvrP093l2+n7b9rN2/DRf/AQAA//8DAFBLAwQUAAYACAAAACEAqJbxCdwAAAAIAQAADwAAAGRy&#10;cy9kb3ducmV2LnhtbExPwWrCQBS8F/oPyyv0VjdrWysxGxFpe5JCtVC8PbPPJJjdDdk1iX/f56me&#10;Zh4zzJvJlqNtRE9dqL3ToCYJCHKFN7UrNfzsPp7mIEJEZ7DxjjRcKMAyv7/LMDV+cN/Ub2MpOMSF&#10;FDVUMbaplKGoyGKY+JYca0ffWYx8dqU0HQ4cbhs5TZKZtFg7/lBhS+uKitP2bDV8DjisntV7vzkd&#10;15f97vXrd6NI68eHcbUAEWmM/2a41ufqkHOngz87E0SjYa6m7GRkuMqJemN2YPYyA5ln8nZA/gcA&#10;AP//AwBQSwECLQAUAAYACAAAACEA5JnDwPsAAADhAQAAEwAAAAAAAAAAAAAAAAAAAAAAW0NvbnRl&#10;bnRfVHlwZXNdLnhtbFBLAQItABQABgAIAAAAIQAjsmrh1wAAAJQBAAALAAAAAAAAAAAAAAAAACwB&#10;AABfcmVscy8ucmVsc1BLAQItABQABgAIAAAAIQBAOAkdiwMAALUQAAAOAAAAAAAAAAAAAAAAACwC&#10;AABkcnMvZTJvRG9jLnhtbFBLAQItABQABgAIAAAAIQColvEJ3AAAAAgBAAAPAAAAAAAAAAAAAAAA&#10;AOMFAABkcnMvZG93bnJldi54bWxQSwUGAAAAAAQABADzAAAA7AYAAAAA&#10;">
                <v:group id="Group 18" o:spid="_x0000_s1035" style="position:absolute;left:2145283;top:3758093;width:6400800;height:31750" coordsize="1008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rect id="Rectangle 19" o:spid="_x0000_s1036" style="position:absolute;width:10075;height: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CQ+wAAA&#10;ANsAAAAPAAAAZHJzL2Rvd25yZXYueG1sRE/NasJAEL4LfYdlBG+6MRSpqau0YkE9tYkPMGan2dDs&#10;bMyuGt/eFYTe5uP7ncWqt424UOdrxwqmkwQEcel0zZWCQ/E1fgPhA7LGxjEpuJGH1fJlsMBMuyv/&#10;0CUPlYgh7DNUYEJoMyl9aciin7iWOHK/rrMYIuwqqTu8xnDbyDRJZtJizbHBYEtrQ+VffrYKvl8d&#10;pZvUf+aVnZv+WOx3J5wpNRr2H+8gAvXhX/x0b3WcP4fHL/EAub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XCQ+wAAAANsAAAAPAAAAAAAAAAAAAAAAAJcCAABkcnMvZG93bnJl&#10;di54bWxQSwUGAAAAAAQABAD1AAAAhAMAAAAA&#10;" filled="f" stroked="f">
                    <v:textbox inset="91425emu,91425emu,91425emu,91425emu">
                      <w:txbxContent>
                        <w:p w14:paraId="4D52488F" w14:textId="77777777" w:rsidR="00691EB8" w:rsidRDefault="00691EB8" w:rsidP="00A50770">
                          <w:pPr>
                            <w:textDirection w:val="btLr"/>
                          </w:pPr>
                        </w:p>
                      </w:txbxContent>
                    </v:textbox>
                  </v:rect>
                  <v:shapetype id="_x0000_t32" coordsize="21600,21600" o:spt="32" o:oned="t" path="m0,0l21600,21600e" filled="f">
                    <v:path arrowok="t" fillok="f" o:connecttype="none"/>
                    <o:lock v:ext="edit" shapetype="t"/>
                  </v:shapetype>
                  <v:shape id="Straight Arrow Connector 20" o:spid="_x0000_s1037" type="#_x0000_t32" style="position:absolute;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DvWab8AAADbAAAADwAAAGRycy9kb3ducmV2LnhtbERPTYvCMBC9C/sfwix403Q9LFKNIoKL&#10;e3LVCh7HZmyDzaQ00cZ/vzkIHh/ve76MthEP6rxxrOBrnIEgLp02XCkojpvRFIQPyBobx6TgSR6W&#10;i4/BHHPtet7T4xAqkULY56igDqHNpfRlTRb92LXEibu6zmJIsKuk7rBP4baRkyz7lhYNp4YaW1rX&#10;VN4Od6vAntr1OcZVYX6Oxe/N2F3/d9kpNfyMqxmIQDG8xS/3ViuYpPXpS/oBcvE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jDvWab8AAADbAAAADwAAAAAAAAAAAAAAAACh&#10;AgAAZHJzL2Rvd25yZXYueG1sUEsFBgAAAAAEAAQA+QAAAI0DAAAAAA==&#10;" strokecolor="black [3200]" strokeweight="43175emu"/>
                  <v:shape id="Straight Arrow Connector 21" o:spid="_x0000_s1038" type="#_x0000_t32" style="position:absolute;left:2019;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pSdsQAAADbAAAADwAAAGRycy9kb3ducmV2LnhtbESPQWvCQBSE74X+h+UJXopuolBtdA0l&#10;EFBsD9X2/pp9JsHs27C7avrvu0Khx2FmvmHW+WA6cSXnW8sK0mkCgriyuuVaweexnCxB+ICssbNM&#10;Cn7IQ755fFhjpu2NP+h6CLWIEPYZKmhC6DMpfdWQQT+1PXH0TtYZDFG6WmqHtwg3nZwlybM02HJc&#10;aLCnoqHqfLgYBe+hXLzg27GgavdVXL6X7mle7pUaj4bXFYhAQ/gP/7W3WsEshfuX+APk5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9KlJ2xAAAANsAAAAPAAAAAAAAAAAA&#10;AAAAAKECAABkcnMvZG93bnJldi54bWxQSwUGAAAAAAQABAD5AAAAkgMAAAAA&#10;" strokecolor="#b03733" strokeweight="43175emu"/>
                  <v:shape id="Straight Arrow Connector 22" o:spid="_x0000_s1039" type="#_x0000_t32" style="position:absolute;left:4037;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i/cMAAADbAAAADwAAAGRycy9kb3ducmV2LnhtbESPT4vCMBTE7wt+h/AEb2tq3RWpRhFB&#10;EHpx65/zs3m21ealNFHrt98sLHgcZuY3zHzZmVo8qHWVZQWjYQSCOLe64kLBYb/5nIJwHlljbZkU&#10;vMjBctH7mGOi7ZN/6JH5QgQIuwQVlN43iZQuL8mgG9qGOHgX2xr0QbaF1C0+A9zUMo6iiTRYcVgo&#10;saF1SfktuxsFX/trdhmTTePRrjsfTpwej9+pUoN+t5qB8NT5d/i/vdUK4hj+voQfIB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v2Iv3DAAAA2wAAAA8AAAAAAAAAAAAA&#10;AAAAoQIAAGRycy9kb3ducmV2LnhtbFBLBQYAAAAABAAEAPkAAACRAwAAAAA=&#10;" strokecolor="#b03733" strokeweight="43175emu">
                    <v:stroke opacity="52428f"/>
                  </v:shape>
                  <v:shape id="Straight Arrow Connector 23" o:spid="_x0000_s1040" type="#_x0000_t32" style="position:absolute;left:6056;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8YqoMQAAADbAAAADwAAAGRycy9kb3ducmV2LnhtbESP3WrCQBSE74W+w3IK3pmNEUpJXUUK&#10;BUEpJFXI5Wn25AezZ0N2jfHtuwXBy2FmvmHW28l0YqTBtZYVLKMYBHFpdcu1gtPP1+IdhPPIGjvL&#10;pOBODrabl9kaU21vnNGY+1oECLsUFTTe96mUrmzIoItsTxy8yg4GfZBDLfWAtwA3nUzi+E0abDks&#10;NNjTZ0PlJb8aBb8+Ky7FXZ53x2X1HVdj0h9kotT8ddp9gPA0+Wf40d5rBckK/r+EHyA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xiqgxAAAANsAAAAPAAAAAAAAAAAA&#10;AAAAAKECAABkcnMvZG93bnJldi54bWxQSwUGAAAAAAQABAD5AAAAkgMAAAAA&#10;" strokecolor="#b03733" strokeweight="43175emu">
                    <v:stroke opacity="39321f"/>
                  </v:shape>
                  <v:shape id="Straight Arrow Connector 24" o:spid="_x0000_s1041" type="#_x0000_t32" style="position:absolute;left:8062;top:34;width:20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6YxMYAAADbAAAADwAAAGRycy9kb3ducmV2LnhtbESPQWsCMRSE7wX/Q3iCl6KJVkvZGkVK&#10;pepFqoW2t+fmuVncvCybVNd/3wiFHoeZ+YaZzltXiTM1ofSsYThQIIhzb0ouNHzsl/0nECEiG6w8&#10;k4YrBZjPOndTzIy/8Dudd7EQCcIhQw02xjqTMuSWHIaBr4mTd/SNw5hkU0jT4CXBXSVHSj1KhyWn&#10;BYs1vVjKT7sfp+FzuN5O1l/1RlX2uPh+PbzdPyjWutdtF88gIrXxP/zXXhkNozHcvqQfIG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aemMTGAAAA2wAAAA8AAAAAAAAA&#10;AAAAAAAAoQIAAGRycy9kb3ducmV2LnhtbFBLBQYAAAAABAAEAPkAAACUAwAAAAA=&#10;" strokecolor="#b03733" strokeweight="43175emu">
                    <v:stroke opacity="26214f"/>
                  </v:shape>
                </v:group>
              </v:group>
            </w:pict>
          </mc:Fallback>
        </mc:AlternateContent>
      </w:r>
    </w:p>
    <w:p w14:paraId="4832FA3F" w14:textId="77777777" w:rsidR="00A50770" w:rsidRPr="00944A55" w:rsidRDefault="00A50770" w:rsidP="00A50770">
      <w:pPr>
        <w:tabs>
          <w:tab w:val="left" w:pos="1197"/>
        </w:tabs>
        <w:contextualSpacing/>
        <w:jc w:val="center"/>
        <w:rPr>
          <w:color w:val="58595B"/>
          <w:sz w:val="20"/>
          <w:szCs w:val="20"/>
        </w:rPr>
      </w:pPr>
      <w:r>
        <w:rPr>
          <w:color w:val="58595B"/>
          <w:sz w:val="20"/>
          <w:szCs w:val="20"/>
        </w:rPr>
        <w:t>267 O’Connor Street, Suite 401, Ottawa, ON K2P 1V3 | Phone: 613-565-7740</w:t>
      </w:r>
      <w:r>
        <w:rPr>
          <w:color w:val="0032A0"/>
          <w:sz w:val="20"/>
          <w:szCs w:val="20"/>
        </w:rPr>
        <w:t xml:space="preserve">| </w:t>
      </w:r>
      <w:r>
        <w:rPr>
          <w:color w:val="58595B"/>
          <w:sz w:val="20"/>
          <w:szCs w:val="20"/>
        </w:rPr>
        <w:t xml:space="preserve">Fax: 613-565-7742 </w:t>
      </w:r>
      <w:r>
        <w:rPr>
          <w:color w:val="0032A0"/>
          <w:sz w:val="20"/>
          <w:szCs w:val="20"/>
        </w:rPr>
        <w:t xml:space="preserve">| </w:t>
      </w:r>
      <w:hyperlink r:id="rId18">
        <w:r>
          <w:rPr>
            <w:color w:val="58595B"/>
            <w:sz w:val="20"/>
            <w:szCs w:val="20"/>
          </w:rPr>
          <w:t xml:space="preserve">office@cfms.org </w:t>
        </w:r>
      </w:hyperlink>
      <w:r>
        <w:rPr>
          <w:color w:val="0032A0"/>
          <w:sz w:val="20"/>
          <w:szCs w:val="20"/>
        </w:rPr>
        <w:t xml:space="preserve">| </w:t>
      </w:r>
      <w:r>
        <w:rPr>
          <w:color w:val="58595B"/>
          <w:sz w:val="20"/>
          <w:szCs w:val="20"/>
        </w:rPr>
        <w:t>cfms.org</w:t>
      </w:r>
    </w:p>
    <w:p w14:paraId="77D0A76A" w14:textId="3645FDBB" w:rsidR="00582001" w:rsidRPr="00582001" w:rsidRDefault="00582001" w:rsidP="00582001">
      <w:pPr>
        <w:tabs>
          <w:tab w:val="left" w:pos="933"/>
        </w:tabs>
        <w:rPr>
          <w:sz w:val="10"/>
          <w:szCs w:val="10"/>
        </w:rPr>
        <w:sectPr w:rsidR="00582001" w:rsidRPr="00582001" w:rsidSect="00582001">
          <w:type w:val="continuous"/>
          <w:pgSz w:w="12240" w:h="15840"/>
          <w:pgMar w:top="1440" w:right="259" w:bottom="0" w:left="526" w:header="720" w:footer="0" w:gutter="0"/>
          <w:pgNumType w:start="1"/>
          <w:cols w:space="720"/>
        </w:sectPr>
      </w:pPr>
    </w:p>
    <w:p w14:paraId="5D8486B6" w14:textId="77777777" w:rsidR="00862409" w:rsidRDefault="00862409">
      <w:pPr>
        <w:rPr>
          <w:b/>
          <w:sz w:val="28"/>
          <w:szCs w:val="28"/>
        </w:rPr>
      </w:pPr>
    </w:p>
    <w:p w14:paraId="6F46B806" w14:textId="77777777" w:rsidR="00AF3065" w:rsidRPr="009D7A46" w:rsidRDefault="00AF3065" w:rsidP="00AF3065">
      <w:pPr>
        <w:spacing w:after="0" w:line="240" w:lineRule="auto"/>
        <w:rPr>
          <w:rFonts w:ascii="Arial" w:hAnsi="Arial" w:cs="Arial"/>
          <w:color w:val="FF0000"/>
        </w:rPr>
      </w:pPr>
      <w:r w:rsidRPr="009D7A46">
        <w:rPr>
          <w:rFonts w:ascii="Arial" w:hAnsi="Arial" w:cs="Arial"/>
          <w:b/>
          <w:bCs/>
          <w:color w:val="FF0000"/>
        </w:rPr>
        <w:t>Policy Statement on the National Seniors Strategy and Medical Education Related to Care of the Elderly</w:t>
      </w:r>
    </w:p>
    <w:p w14:paraId="070EA343"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 xml:space="preserve"> </w:t>
      </w:r>
    </w:p>
    <w:p w14:paraId="5799F62A" w14:textId="77777777" w:rsidR="00AF3065" w:rsidRPr="00AF3065" w:rsidRDefault="00AF3065" w:rsidP="00AF3065">
      <w:pPr>
        <w:spacing w:after="0" w:line="240" w:lineRule="auto"/>
        <w:rPr>
          <w:rFonts w:ascii="Arial" w:hAnsi="Arial" w:cs="Arial"/>
        </w:rPr>
      </w:pPr>
      <w:r w:rsidRPr="00AF3065">
        <w:rPr>
          <w:rFonts w:ascii="Arial" w:hAnsi="Arial" w:cs="Arial"/>
          <w:b/>
          <w:bCs/>
          <w:color w:val="000000"/>
        </w:rPr>
        <w:t>Authors:</w:t>
      </w:r>
    </w:p>
    <w:p w14:paraId="48858545" w14:textId="77777777" w:rsidR="00AF3065" w:rsidRPr="00AF3065" w:rsidRDefault="00AF3065" w:rsidP="00AF3065">
      <w:pPr>
        <w:spacing w:after="0" w:line="240" w:lineRule="auto"/>
        <w:rPr>
          <w:rFonts w:ascii="Arial" w:hAnsi="Arial" w:cs="Arial"/>
        </w:rPr>
      </w:pPr>
      <w:proofErr w:type="spellStart"/>
      <w:r w:rsidRPr="00AF3065">
        <w:rPr>
          <w:rFonts w:ascii="Arial" w:hAnsi="Arial" w:cs="Arial"/>
          <w:color w:val="000000"/>
        </w:rPr>
        <w:t>Kalyani</w:t>
      </w:r>
      <w:proofErr w:type="spellEnd"/>
      <w:r w:rsidRPr="00AF3065">
        <w:rPr>
          <w:rFonts w:ascii="Arial" w:hAnsi="Arial" w:cs="Arial"/>
          <w:color w:val="000000"/>
        </w:rPr>
        <w:t xml:space="preserve"> </w:t>
      </w:r>
      <w:proofErr w:type="spellStart"/>
      <w:r w:rsidRPr="00AF3065">
        <w:rPr>
          <w:rFonts w:ascii="Arial" w:hAnsi="Arial" w:cs="Arial"/>
          <w:color w:val="000000"/>
        </w:rPr>
        <w:t>Sabanayagam</w:t>
      </w:r>
      <w:proofErr w:type="spellEnd"/>
      <w:r w:rsidRPr="00AF3065">
        <w:rPr>
          <w:rFonts w:ascii="Arial" w:hAnsi="Arial" w:cs="Arial"/>
          <w:color w:val="000000"/>
        </w:rPr>
        <w:t xml:space="preserve"> (McMaster University)</w:t>
      </w:r>
    </w:p>
    <w:p w14:paraId="45568401"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Emily Bolt (Memorial University of Newfoundland)</w:t>
      </w:r>
    </w:p>
    <w:p w14:paraId="2312EF56"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Sachin Pasricha (Queen’s University)</w:t>
      </w:r>
    </w:p>
    <w:p w14:paraId="287468F8"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Carolyn MacLeod (Memorial University of Newfoundland)</w:t>
      </w:r>
    </w:p>
    <w:p w14:paraId="14EBCAD0" w14:textId="77777777" w:rsidR="00AF3065" w:rsidRPr="00AF3065" w:rsidRDefault="00AF3065" w:rsidP="00AF3065">
      <w:pPr>
        <w:spacing w:after="0" w:line="240" w:lineRule="auto"/>
        <w:rPr>
          <w:rFonts w:ascii="Arial" w:hAnsi="Arial" w:cs="Arial"/>
        </w:rPr>
      </w:pPr>
      <w:proofErr w:type="spellStart"/>
      <w:r w:rsidRPr="00AF3065">
        <w:rPr>
          <w:rFonts w:ascii="Arial" w:hAnsi="Arial" w:cs="Arial"/>
          <w:color w:val="000000"/>
        </w:rPr>
        <w:t>Syeda</w:t>
      </w:r>
      <w:proofErr w:type="spellEnd"/>
      <w:r w:rsidRPr="00AF3065">
        <w:rPr>
          <w:rFonts w:ascii="Arial" w:hAnsi="Arial" w:cs="Arial"/>
          <w:color w:val="000000"/>
        </w:rPr>
        <w:t xml:space="preserve"> </w:t>
      </w:r>
      <w:proofErr w:type="spellStart"/>
      <w:r w:rsidRPr="00AF3065">
        <w:rPr>
          <w:rFonts w:ascii="Arial" w:hAnsi="Arial" w:cs="Arial"/>
          <w:color w:val="000000"/>
        </w:rPr>
        <w:t>Shanza</w:t>
      </w:r>
      <w:proofErr w:type="spellEnd"/>
      <w:r w:rsidRPr="00AF3065">
        <w:rPr>
          <w:rFonts w:ascii="Arial" w:hAnsi="Arial" w:cs="Arial"/>
          <w:color w:val="000000"/>
        </w:rPr>
        <w:t xml:space="preserve"> </w:t>
      </w:r>
      <w:proofErr w:type="spellStart"/>
      <w:r w:rsidRPr="00AF3065">
        <w:rPr>
          <w:rFonts w:ascii="Arial" w:hAnsi="Arial" w:cs="Arial"/>
          <w:color w:val="000000"/>
        </w:rPr>
        <w:t>Hashmi</w:t>
      </w:r>
      <w:proofErr w:type="spellEnd"/>
      <w:r w:rsidRPr="00AF3065">
        <w:rPr>
          <w:rFonts w:ascii="Arial" w:hAnsi="Arial" w:cs="Arial"/>
          <w:color w:val="000000"/>
        </w:rPr>
        <w:t xml:space="preserve"> (University of Ottawa)</w:t>
      </w:r>
    </w:p>
    <w:p w14:paraId="34D04370"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Taylor Woo (University of Calgary)</w:t>
      </w:r>
    </w:p>
    <w:p w14:paraId="34B7EA2B" w14:textId="77777777" w:rsidR="00AF3065" w:rsidRPr="00AF3065" w:rsidRDefault="00AF3065" w:rsidP="00AF3065">
      <w:pPr>
        <w:spacing w:after="240" w:line="240" w:lineRule="auto"/>
        <w:rPr>
          <w:rFonts w:ascii="Arial" w:eastAsia="Times New Roman" w:hAnsi="Arial" w:cs="Arial"/>
        </w:rPr>
      </w:pPr>
    </w:p>
    <w:p w14:paraId="0E9F3C3B" w14:textId="77777777" w:rsidR="00AF3065" w:rsidRPr="00AF3065" w:rsidRDefault="00AF3065" w:rsidP="00AF3065">
      <w:pPr>
        <w:spacing w:after="0" w:line="240" w:lineRule="auto"/>
        <w:rPr>
          <w:rFonts w:ascii="Arial" w:hAnsi="Arial" w:cs="Arial"/>
        </w:rPr>
      </w:pPr>
      <w:r w:rsidRPr="00AF3065">
        <w:rPr>
          <w:rFonts w:ascii="Arial" w:hAnsi="Arial" w:cs="Arial"/>
          <w:b/>
          <w:bCs/>
          <w:color w:val="000000"/>
        </w:rPr>
        <w:t>Background on the National Seniors Strategy:</w:t>
      </w:r>
    </w:p>
    <w:p w14:paraId="0DD6574A"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The NSS focuses on four pillars around seniors care, covering twelve issues of national focus, that highlight ways in which the country can meet the needs of Canada’s aging population. This strategy was coined through the Canadian Institute of Health Research (CIHR) and Evidence-Informed Healthcare Renewal (EHR).  This research team began their work in 2013 and reviewed strategy, approach, and practices towards elderly populations. Consultations with stakeholders took place over a 12-month period and informed the recommendations presented in this document</w:t>
      </w:r>
      <w:r w:rsidRPr="00AF3065">
        <w:rPr>
          <w:rFonts w:ascii="Arial" w:hAnsi="Arial" w:cs="Arial"/>
          <w:color w:val="000000"/>
          <w:vertAlign w:val="superscript"/>
        </w:rPr>
        <w:t>1</w:t>
      </w:r>
      <w:r w:rsidRPr="00AF3065">
        <w:rPr>
          <w:rFonts w:ascii="Arial" w:hAnsi="Arial" w:cs="Arial"/>
          <w:color w:val="000000"/>
        </w:rPr>
        <w:t>.</w:t>
      </w:r>
    </w:p>
    <w:p w14:paraId="72DF59AB"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 xml:space="preserve"> </w:t>
      </w:r>
    </w:p>
    <w:p w14:paraId="7D7FE044"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The four pillars of the National Seniors Strategy are organized as follows:</w:t>
      </w:r>
    </w:p>
    <w:p w14:paraId="2DCB8751" w14:textId="77777777" w:rsidR="00AF3065" w:rsidRPr="00AF3065" w:rsidRDefault="00AF3065" w:rsidP="00AF3065">
      <w:pPr>
        <w:numPr>
          <w:ilvl w:val="0"/>
          <w:numId w:val="15"/>
        </w:numPr>
        <w:spacing w:after="0" w:line="240" w:lineRule="auto"/>
        <w:textAlignment w:val="baseline"/>
        <w:rPr>
          <w:rFonts w:ascii="Arial" w:hAnsi="Arial" w:cs="Arial"/>
          <w:color w:val="000000"/>
        </w:rPr>
      </w:pPr>
      <w:r w:rsidRPr="00AF3065">
        <w:rPr>
          <w:rFonts w:ascii="Arial" w:hAnsi="Arial" w:cs="Arial"/>
          <w:color w:val="000000"/>
        </w:rPr>
        <w:t>Independent, Productive and Engaged Citizens</w:t>
      </w:r>
    </w:p>
    <w:p w14:paraId="7412F694" w14:textId="77777777" w:rsidR="00AF3065" w:rsidRPr="00AF3065" w:rsidRDefault="00AF3065" w:rsidP="00AF3065">
      <w:pPr>
        <w:numPr>
          <w:ilvl w:val="0"/>
          <w:numId w:val="15"/>
        </w:numPr>
        <w:spacing w:after="0" w:line="240" w:lineRule="auto"/>
        <w:textAlignment w:val="baseline"/>
        <w:rPr>
          <w:rFonts w:ascii="Arial" w:hAnsi="Arial" w:cs="Arial"/>
          <w:color w:val="000000"/>
        </w:rPr>
      </w:pPr>
      <w:r w:rsidRPr="00AF3065">
        <w:rPr>
          <w:rFonts w:ascii="Arial" w:hAnsi="Arial" w:cs="Arial"/>
          <w:color w:val="000000"/>
        </w:rPr>
        <w:t>Healthy and Active Lives</w:t>
      </w:r>
    </w:p>
    <w:p w14:paraId="168A88E6" w14:textId="77777777" w:rsidR="00AF3065" w:rsidRPr="00AF3065" w:rsidRDefault="00AF3065" w:rsidP="00AF3065">
      <w:pPr>
        <w:numPr>
          <w:ilvl w:val="0"/>
          <w:numId w:val="15"/>
        </w:numPr>
        <w:spacing w:after="0" w:line="240" w:lineRule="auto"/>
        <w:textAlignment w:val="baseline"/>
        <w:rPr>
          <w:rFonts w:ascii="Arial" w:hAnsi="Arial" w:cs="Arial"/>
          <w:color w:val="000000"/>
        </w:rPr>
      </w:pPr>
      <w:r w:rsidRPr="00AF3065">
        <w:rPr>
          <w:rFonts w:ascii="Arial" w:hAnsi="Arial" w:cs="Arial"/>
          <w:color w:val="000000"/>
        </w:rPr>
        <w:t>Care Closer to Home</w:t>
      </w:r>
    </w:p>
    <w:p w14:paraId="5BB2A037" w14:textId="77777777" w:rsidR="00AF3065" w:rsidRPr="00AF3065" w:rsidRDefault="00AF3065" w:rsidP="00AF3065">
      <w:pPr>
        <w:numPr>
          <w:ilvl w:val="0"/>
          <w:numId w:val="15"/>
        </w:numPr>
        <w:spacing w:after="0" w:line="240" w:lineRule="auto"/>
        <w:textAlignment w:val="baseline"/>
        <w:rPr>
          <w:rFonts w:ascii="Arial" w:hAnsi="Arial" w:cs="Arial"/>
          <w:color w:val="000000"/>
        </w:rPr>
      </w:pPr>
      <w:r w:rsidRPr="00AF3065">
        <w:rPr>
          <w:rFonts w:ascii="Arial" w:hAnsi="Arial" w:cs="Arial"/>
          <w:color w:val="000000"/>
        </w:rPr>
        <w:t>Support for Caregivers</w:t>
      </w:r>
    </w:p>
    <w:p w14:paraId="6EB954D0"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 xml:space="preserve"> </w:t>
      </w:r>
    </w:p>
    <w:p w14:paraId="56F7B2E9"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 xml:space="preserve"> </w:t>
      </w:r>
    </w:p>
    <w:p w14:paraId="77977E84" w14:textId="77777777" w:rsidR="00AF3065" w:rsidRPr="00AF3065" w:rsidRDefault="00AF3065" w:rsidP="00AF3065">
      <w:pPr>
        <w:spacing w:after="0" w:line="240" w:lineRule="auto"/>
        <w:rPr>
          <w:rFonts w:ascii="Arial" w:hAnsi="Arial" w:cs="Arial"/>
        </w:rPr>
      </w:pPr>
      <w:r w:rsidRPr="00AF3065">
        <w:rPr>
          <w:rFonts w:ascii="Arial" w:hAnsi="Arial" w:cs="Arial"/>
          <w:b/>
          <w:bCs/>
          <w:color w:val="000000"/>
        </w:rPr>
        <w:t>Effect on Medical Students</w:t>
      </w:r>
    </w:p>
    <w:p w14:paraId="09DD810C"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Issues surrounding the care of seniors impact medical students, clinical clerks, and residents.</w:t>
      </w:r>
    </w:p>
    <w:p w14:paraId="11AC5CD7"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 xml:space="preserve"> </w:t>
      </w:r>
    </w:p>
    <w:p w14:paraId="1C724F6B" w14:textId="77777777" w:rsidR="00AF3065" w:rsidRPr="009D7A46" w:rsidRDefault="00AF3065" w:rsidP="009D7A46">
      <w:pPr>
        <w:spacing w:after="0" w:line="240" w:lineRule="auto"/>
        <w:jc w:val="both"/>
        <w:rPr>
          <w:rFonts w:ascii="Arial" w:hAnsi="Arial" w:cs="Arial"/>
          <w:color w:val="FF0000"/>
        </w:rPr>
      </w:pPr>
      <w:r w:rsidRPr="009D7A46">
        <w:rPr>
          <w:rFonts w:ascii="Arial" w:hAnsi="Arial" w:cs="Arial"/>
          <w:color w:val="FF0000"/>
        </w:rPr>
        <w:t>The Canadian Geriatrics Society has been successful in promoting education on care of the elderly by developing an updated set of medical student competencies in the care of seniors in 2018 (1). Furthermore, the National Geriatrics Interest Group has been effective in creating opportunities to explore elderly care outside the classroom through various events, such as speaker talks, long-term care home visits and geriatric OSCEs.</w:t>
      </w:r>
    </w:p>
    <w:p w14:paraId="685D6EE5" w14:textId="77777777" w:rsidR="00AF3065" w:rsidRPr="009D7A46" w:rsidRDefault="00AF3065" w:rsidP="009D7A46">
      <w:pPr>
        <w:spacing w:after="0" w:line="240" w:lineRule="auto"/>
        <w:jc w:val="both"/>
        <w:rPr>
          <w:rFonts w:ascii="Arial" w:hAnsi="Arial" w:cs="Arial"/>
          <w:color w:val="FF0000"/>
        </w:rPr>
      </w:pPr>
      <w:r w:rsidRPr="009D7A46">
        <w:rPr>
          <w:rFonts w:ascii="Arial" w:hAnsi="Arial" w:cs="Arial"/>
          <w:color w:val="FF0000"/>
        </w:rPr>
        <w:t xml:space="preserve">However, much of the geriatrics-focused teaching still focuses on the medical-specific components of geriatric care (e.g. geriatric psychiatry, </w:t>
      </w:r>
      <w:proofErr w:type="spellStart"/>
      <w:r w:rsidRPr="009D7A46">
        <w:rPr>
          <w:rFonts w:ascii="Arial" w:hAnsi="Arial" w:cs="Arial"/>
          <w:color w:val="FF0000"/>
        </w:rPr>
        <w:t>polypharmacy</w:t>
      </w:r>
      <w:proofErr w:type="spellEnd"/>
      <w:r w:rsidRPr="009D7A46">
        <w:rPr>
          <w:rFonts w:ascii="Arial" w:hAnsi="Arial" w:cs="Arial"/>
          <w:color w:val="FF0000"/>
        </w:rPr>
        <w:t>, and different presentations of common illness in the elderly).</w:t>
      </w:r>
    </w:p>
    <w:p w14:paraId="63743BC7" w14:textId="77777777" w:rsidR="00AF3065" w:rsidRPr="009D7A46" w:rsidRDefault="00AF3065" w:rsidP="009D7A46">
      <w:pPr>
        <w:spacing w:after="0" w:line="240" w:lineRule="auto"/>
        <w:jc w:val="both"/>
        <w:rPr>
          <w:rFonts w:ascii="Arial" w:hAnsi="Arial" w:cs="Arial"/>
          <w:color w:val="FF0000"/>
        </w:rPr>
      </w:pPr>
      <w:r w:rsidRPr="009D7A46">
        <w:rPr>
          <w:rFonts w:ascii="Arial" w:hAnsi="Arial" w:cs="Arial"/>
          <w:color w:val="FF0000"/>
        </w:rPr>
        <w:t xml:space="preserve"> </w:t>
      </w:r>
    </w:p>
    <w:p w14:paraId="7D263368" w14:textId="77777777" w:rsidR="00AF3065" w:rsidRPr="009D7A46" w:rsidRDefault="00AF3065" w:rsidP="009D7A46">
      <w:pPr>
        <w:spacing w:after="0" w:line="240" w:lineRule="auto"/>
        <w:jc w:val="both"/>
        <w:rPr>
          <w:rFonts w:ascii="Arial" w:hAnsi="Arial" w:cs="Arial"/>
          <w:color w:val="FF0000"/>
        </w:rPr>
      </w:pPr>
      <w:r w:rsidRPr="009D7A46">
        <w:rPr>
          <w:rFonts w:ascii="Arial" w:hAnsi="Arial" w:cs="Arial"/>
          <w:color w:val="FF0000"/>
        </w:rPr>
        <w:t>Equally as important as these medical issues are the community health issues relevant to care of the elderly. For example, the distinction between different community care models (long-term care vs. complex continuing care vs. community care) are important for medical students to understand as they admit patients from and discharge patients back to these environments. Moreover, the role of allied healthcare professionals (e.g. occupational therapy and physiotherapy) in deeming elderly patients safe to leave hospital is crucial for medical students to gain an appreciation for.</w:t>
      </w:r>
    </w:p>
    <w:p w14:paraId="3D8F0F1F" w14:textId="77777777" w:rsidR="00AF3065" w:rsidRPr="009D7A46" w:rsidRDefault="00AF3065" w:rsidP="009D7A46">
      <w:pPr>
        <w:spacing w:after="0" w:line="240" w:lineRule="auto"/>
        <w:jc w:val="both"/>
        <w:rPr>
          <w:rFonts w:ascii="Arial" w:hAnsi="Arial" w:cs="Arial"/>
          <w:color w:val="FF0000"/>
        </w:rPr>
      </w:pPr>
      <w:r w:rsidRPr="009D7A46">
        <w:rPr>
          <w:rFonts w:ascii="Arial" w:hAnsi="Arial" w:cs="Arial"/>
          <w:color w:val="FF0000"/>
        </w:rPr>
        <w:t xml:space="preserve"> </w:t>
      </w:r>
    </w:p>
    <w:p w14:paraId="3443F94B" w14:textId="77777777" w:rsidR="00AF3065" w:rsidRPr="009D7A46" w:rsidRDefault="00AF3065" w:rsidP="009D7A46">
      <w:pPr>
        <w:spacing w:after="0" w:line="240" w:lineRule="auto"/>
        <w:jc w:val="both"/>
        <w:rPr>
          <w:rFonts w:ascii="Arial" w:hAnsi="Arial" w:cs="Arial"/>
          <w:color w:val="FF0000"/>
        </w:rPr>
      </w:pPr>
      <w:r w:rsidRPr="009D7A46">
        <w:rPr>
          <w:rFonts w:ascii="Arial" w:hAnsi="Arial" w:cs="Arial"/>
          <w:color w:val="FF0000"/>
        </w:rPr>
        <w:lastRenderedPageBreak/>
        <w:t xml:space="preserve">Some medical schools attempt to teach about the community aspects of geriatric healthcare through clerkship rotations and/or interdisciplinary </w:t>
      </w:r>
      <w:proofErr w:type="spellStart"/>
      <w:r w:rsidRPr="009D7A46">
        <w:rPr>
          <w:rFonts w:ascii="Arial" w:hAnsi="Arial" w:cs="Arial"/>
          <w:color w:val="FF0000"/>
        </w:rPr>
        <w:t>observerships</w:t>
      </w:r>
      <w:proofErr w:type="spellEnd"/>
      <w:r w:rsidRPr="009D7A46">
        <w:rPr>
          <w:rFonts w:ascii="Arial" w:hAnsi="Arial" w:cs="Arial"/>
          <w:color w:val="FF0000"/>
        </w:rPr>
        <w:t>. However, medical students are often not explicitly taught about the community health issues that affect geriatric patients.</w:t>
      </w:r>
    </w:p>
    <w:p w14:paraId="2EBF94B4"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 xml:space="preserve"> </w:t>
      </w:r>
    </w:p>
    <w:p w14:paraId="06B88ACC"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 xml:space="preserve"> </w:t>
      </w:r>
    </w:p>
    <w:p w14:paraId="70B15992" w14:textId="77777777" w:rsidR="00AF3065" w:rsidRPr="00AF3065" w:rsidRDefault="00AF3065" w:rsidP="00AF3065">
      <w:pPr>
        <w:spacing w:after="0" w:line="240" w:lineRule="auto"/>
        <w:rPr>
          <w:rFonts w:ascii="Arial" w:hAnsi="Arial" w:cs="Arial"/>
        </w:rPr>
      </w:pPr>
      <w:r w:rsidRPr="00AF3065">
        <w:rPr>
          <w:rFonts w:ascii="Arial" w:hAnsi="Arial" w:cs="Arial"/>
          <w:b/>
          <w:bCs/>
          <w:color w:val="000000"/>
        </w:rPr>
        <w:t>The Canadian Federation of Medical Students (CFMS) Stance</w:t>
      </w:r>
    </w:p>
    <w:p w14:paraId="5EC62F59"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 xml:space="preserve">In representation of over 8000 medical students from fifteen medical schools across Canada, the CFMS </w:t>
      </w:r>
      <w:proofErr w:type="gramStart"/>
      <w:r w:rsidRPr="00AF3065">
        <w:rPr>
          <w:rFonts w:ascii="Arial" w:hAnsi="Arial" w:cs="Arial"/>
          <w:color w:val="000000"/>
        </w:rPr>
        <w:t>endorses</w:t>
      </w:r>
      <w:proofErr w:type="gramEnd"/>
      <w:r w:rsidRPr="00AF3065">
        <w:rPr>
          <w:rFonts w:ascii="Arial" w:hAnsi="Arial" w:cs="Arial"/>
          <w:color w:val="000000"/>
        </w:rPr>
        <w:t xml:space="preserve"> the National Seniors Strategy (NSS), specifically the pillars relating to care closer to home and caregiver support. </w:t>
      </w:r>
      <w:r w:rsidRPr="009D7A46">
        <w:rPr>
          <w:rFonts w:ascii="Arial" w:hAnsi="Arial" w:cs="Arial"/>
          <w:color w:val="FF0000"/>
        </w:rPr>
        <w:t>Moreover, the CFMS encourages medical schools to ensure they explicitly teach students about the community aspects of healthcare of the elderly that will inevitably affect their clinical practice.</w:t>
      </w:r>
    </w:p>
    <w:p w14:paraId="7413462A"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 xml:space="preserve"> </w:t>
      </w:r>
    </w:p>
    <w:p w14:paraId="2277BB7C" w14:textId="77777777" w:rsidR="00AF3065" w:rsidRPr="00AF3065" w:rsidRDefault="00AF3065" w:rsidP="00AF3065">
      <w:pPr>
        <w:spacing w:after="0" w:line="240" w:lineRule="auto"/>
        <w:rPr>
          <w:rFonts w:ascii="Arial" w:hAnsi="Arial" w:cs="Arial"/>
        </w:rPr>
      </w:pPr>
      <w:r w:rsidRPr="00AF3065">
        <w:rPr>
          <w:rFonts w:ascii="Arial" w:hAnsi="Arial" w:cs="Arial"/>
          <w:b/>
          <w:bCs/>
          <w:color w:val="000000"/>
        </w:rPr>
        <w:t xml:space="preserve"> </w:t>
      </w:r>
    </w:p>
    <w:p w14:paraId="66605232" w14:textId="77777777" w:rsidR="00AF3065" w:rsidRPr="00AF3065" w:rsidRDefault="00AF3065" w:rsidP="00AF3065">
      <w:pPr>
        <w:spacing w:after="0" w:line="240" w:lineRule="auto"/>
        <w:rPr>
          <w:rFonts w:ascii="Arial" w:hAnsi="Arial" w:cs="Arial"/>
        </w:rPr>
      </w:pPr>
      <w:r w:rsidRPr="00AF3065">
        <w:rPr>
          <w:rFonts w:ascii="Arial" w:hAnsi="Arial" w:cs="Arial"/>
          <w:b/>
          <w:bCs/>
          <w:color w:val="000000"/>
        </w:rPr>
        <w:t>Recommendations:</w:t>
      </w:r>
    </w:p>
    <w:p w14:paraId="183E3350"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 xml:space="preserve"> </w:t>
      </w:r>
    </w:p>
    <w:p w14:paraId="2543542A" w14:textId="77777777" w:rsidR="00AF3065" w:rsidRPr="009D7A46" w:rsidRDefault="00AF3065" w:rsidP="00AF3065">
      <w:pPr>
        <w:spacing w:after="0" w:line="240" w:lineRule="auto"/>
        <w:rPr>
          <w:rFonts w:ascii="Arial" w:hAnsi="Arial" w:cs="Arial"/>
          <w:color w:val="FF0000"/>
        </w:rPr>
      </w:pPr>
      <w:r w:rsidRPr="009D7A46">
        <w:rPr>
          <w:rFonts w:ascii="Arial" w:hAnsi="Arial" w:cs="Arial"/>
          <w:i/>
          <w:iCs/>
          <w:color w:val="FF0000"/>
        </w:rPr>
        <w:t>Support for the National Seniors Strategy in its effort to:</w:t>
      </w:r>
    </w:p>
    <w:p w14:paraId="23008967" w14:textId="77777777" w:rsidR="00AF3065" w:rsidRPr="00AF3065" w:rsidRDefault="00AF3065" w:rsidP="00AF3065">
      <w:pPr>
        <w:spacing w:after="0" w:line="240" w:lineRule="auto"/>
        <w:rPr>
          <w:rFonts w:ascii="Arial" w:hAnsi="Arial" w:cs="Arial"/>
        </w:rPr>
      </w:pPr>
      <w:r w:rsidRPr="00AF3065">
        <w:rPr>
          <w:rFonts w:ascii="Arial" w:hAnsi="Arial" w:cs="Arial"/>
          <w:color w:val="000000"/>
        </w:rPr>
        <w:t xml:space="preserve"> </w:t>
      </w:r>
    </w:p>
    <w:p w14:paraId="66A40C75" w14:textId="00E03E42" w:rsidR="00AF3065" w:rsidRPr="009D7A46" w:rsidRDefault="00AF3065" w:rsidP="00503E11">
      <w:pPr>
        <w:spacing w:after="0" w:line="240" w:lineRule="auto"/>
        <w:ind w:left="142" w:hanging="284"/>
        <w:rPr>
          <w:rFonts w:ascii="Arial" w:hAnsi="Arial" w:cs="Arial"/>
          <w:color w:val="FF0000"/>
        </w:rPr>
      </w:pPr>
      <w:r w:rsidRPr="00AF3065">
        <w:rPr>
          <w:rFonts w:ascii="Arial" w:hAnsi="Arial" w:cs="Arial"/>
          <w:color w:val="000000"/>
        </w:rPr>
        <w:t xml:space="preserve">a. </w:t>
      </w:r>
      <w:r w:rsidR="00503E11">
        <w:rPr>
          <w:rFonts w:ascii="Arial" w:hAnsi="Arial" w:cs="Arial"/>
          <w:color w:val="000000"/>
        </w:rPr>
        <w:t> </w:t>
      </w:r>
      <w:r w:rsidRPr="009D7A46">
        <w:rPr>
          <w:rFonts w:ascii="Arial" w:hAnsi="Arial" w:cs="Arial"/>
          <w:b/>
          <w:bCs/>
          <w:color w:val="FF0000"/>
        </w:rPr>
        <w:t xml:space="preserve">Advocate for further Caregiver support: </w:t>
      </w:r>
      <w:r w:rsidRPr="009D7A46">
        <w:rPr>
          <w:rFonts w:ascii="Arial" w:hAnsi="Arial" w:cs="Arial"/>
          <w:color w:val="FF0000"/>
        </w:rPr>
        <w:t>through flexible models of business/workplace leave, increased public awareness around existing supports, and awareness around caregiver challenges.</w:t>
      </w:r>
    </w:p>
    <w:p w14:paraId="3E7ECEC1" w14:textId="77777777" w:rsidR="00AF3065" w:rsidRPr="009D7A46" w:rsidRDefault="00AF3065" w:rsidP="00503E11">
      <w:pPr>
        <w:spacing w:after="0" w:line="240" w:lineRule="auto"/>
        <w:ind w:left="142" w:hanging="284"/>
        <w:rPr>
          <w:rFonts w:ascii="Arial" w:hAnsi="Arial" w:cs="Arial"/>
          <w:color w:val="FF0000"/>
        </w:rPr>
      </w:pPr>
      <w:r w:rsidRPr="009D7A46">
        <w:rPr>
          <w:rFonts w:ascii="Arial" w:hAnsi="Arial" w:cs="Arial"/>
          <w:color w:val="FF0000"/>
        </w:rPr>
        <w:t xml:space="preserve"> </w:t>
      </w:r>
    </w:p>
    <w:p w14:paraId="21CE8B52" w14:textId="2B262FBF" w:rsidR="00AF3065" w:rsidRPr="009D7A46" w:rsidRDefault="00AF3065" w:rsidP="00503E11">
      <w:pPr>
        <w:spacing w:after="0" w:line="240" w:lineRule="auto"/>
        <w:ind w:left="142" w:hanging="284"/>
        <w:rPr>
          <w:rFonts w:ascii="Arial" w:hAnsi="Arial" w:cs="Arial"/>
          <w:color w:val="FF0000"/>
        </w:rPr>
      </w:pPr>
      <w:r w:rsidRPr="009D7A46">
        <w:rPr>
          <w:rFonts w:ascii="Arial" w:hAnsi="Arial" w:cs="Arial"/>
          <w:color w:val="FF0000"/>
        </w:rPr>
        <w:t>b.  </w:t>
      </w:r>
      <w:r w:rsidRPr="009D7A46">
        <w:rPr>
          <w:rFonts w:ascii="Arial" w:hAnsi="Arial" w:cs="Arial"/>
          <w:b/>
          <w:bCs/>
          <w:color w:val="FF0000"/>
        </w:rPr>
        <w:t xml:space="preserve">Provide greater and more equitable access to seniors’ health resources: </w:t>
      </w:r>
      <w:r w:rsidRPr="009D7A46">
        <w:rPr>
          <w:rFonts w:ascii="Arial" w:hAnsi="Arial" w:cs="Arial"/>
          <w:color w:val="FF0000"/>
        </w:rPr>
        <w:t>specifically at-home services, community services, long-term care services, end-of-life care, and aging specialists.</w:t>
      </w:r>
    </w:p>
    <w:p w14:paraId="0BC38E07" w14:textId="77777777" w:rsidR="00AF3065" w:rsidRPr="009D7A46" w:rsidRDefault="00AF3065" w:rsidP="00503E11">
      <w:pPr>
        <w:spacing w:after="0" w:line="240" w:lineRule="auto"/>
        <w:ind w:left="142" w:hanging="284"/>
        <w:rPr>
          <w:rFonts w:ascii="Arial" w:hAnsi="Arial" w:cs="Arial"/>
          <w:color w:val="FF0000"/>
        </w:rPr>
      </w:pPr>
      <w:r w:rsidRPr="009D7A46">
        <w:rPr>
          <w:rFonts w:ascii="Arial" w:hAnsi="Arial" w:cs="Arial"/>
          <w:color w:val="FF0000"/>
        </w:rPr>
        <w:t xml:space="preserve"> </w:t>
      </w:r>
    </w:p>
    <w:p w14:paraId="682C4FB9" w14:textId="79436FD5" w:rsidR="00AF3065" w:rsidRPr="009D7A46" w:rsidRDefault="00503E11" w:rsidP="00503E11">
      <w:pPr>
        <w:spacing w:after="0" w:line="240" w:lineRule="auto"/>
        <w:ind w:left="142" w:hanging="284"/>
        <w:rPr>
          <w:rFonts w:ascii="Arial" w:hAnsi="Arial" w:cs="Arial"/>
          <w:color w:val="FF0000"/>
        </w:rPr>
      </w:pPr>
      <w:r w:rsidRPr="009D7A46">
        <w:rPr>
          <w:rFonts w:ascii="Arial" w:hAnsi="Arial" w:cs="Arial"/>
          <w:color w:val="FF0000"/>
        </w:rPr>
        <w:t>c.   </w:t>
      </w:r>
      <w:r w:rsidR="00AF3065" w:rsidRPr="009D7A46">
        <w:rPr>
          <w:rFonts w:ascii="Arial" w:hAnsi="Arial" w:cs="Arial"/>
          <w:b/>
          <w:bCs/>
          <w:color w:val="FF0000"/>
        </w:rPr>
        <w:t xml:space="preserve">Advocate for the Creation of ‘Age-Friendly’ spaces: </w:t>
      </w:r>
      <w:r w:rsidR="00AF3065" w:rsidRPr="009D7A46">
        <w:rPr>
          <w:rFonts w:ascii="Arial" w:hAnsi="Arial" w:cs="Arial"/>
          <w:color w:val="FF0000"/>
        </w:rPr>
        <w:t>through the provision of infrastructure, such as age-friendly housing and financial relief appropriate for the needs of the elderly.</w:t>
      </w:r>
    </w:p>
    <w:p w14:paraId="06FB5A5B" w14:textId="77777777" w:rsidR="00AF3065" w:rsidRPr="009D7A46" w:rsidRDefault="00AF3065" w:rsidP="00503E11">
      <w:pPr>
        <w:spacing w:after="0" w:line="240" w:lineRule="auto"/>
        <w:ind w:left="142" w:hanging="284"/>
        <w:rPr>
          <w:rFonts w:ascii="Arial" w:hAnsi="Arial" w:cs="Arial"/>
          <w:color w:val="FF0000"/>
        </w:rPr>
      </w:pPr>
      <w:r w:rsidRPr="009D7A46">
        <w:rPr>
          <w:rFonts w:ascii="Arial" w:hAnsi="Arial" w:cs="Arial"/>
          <w:b/>
          <w:bCs/>
          <w:color w:val="FF0000"/>
        </w:rPr>
        <w:t xml:space="preserve"> </w:t>
      </w:r>
    </w:p>
    <w:p w14:paraId="73C608FB" w14:textId="6A62CCDB" w:rsidR="00AF3065" w:rsidRPr="009D7A46" w:rsidRDefault="00503E11" w:rsidP="00503E11">
      <w:pPr>
        <w:spacing w:after="0" w:line="240" w:lineRule="auto"/>
        <w:ind w:left="142" w:hanging="284"/>
        <w:rPr>
          <w:rFonts w:ascii="Arial" w:hAnsi="Arial" w:cs="Arial"/>
          <w:color w:val="FF0000"/>
        </w:rPr>
      </w:pPr>
      <w:r w:rsidRPr="009D7A46">
        <w:rPr>
          <w:rFonts w:ascii="Arial" w:hAnsi="Arial" w:cs="Arial"/>
          <w:b/>
          <w:bCs/>
          <w:color w:val="FF0000"/>
        </w:rPr>
        <w:t>d.  </w:t>
      </w:r>
      <w:r w:rsidR="00AF3065" w:rsidRPr="009D7A46">
        <w:rPr>
          <w:rFonts w:ascii="Arial" w:hAnsi="Arial" w:cs="Arial"/>
          <w:b/>
          <w:bCs/>
          <w:color w:val="FF0000"/>
        </w:rPr>
        <w:t xml:space="preserve">Develop Standards and Metrics for Measuring Progress: </w:t>
      </w:r>
      <w:r w:rsidR="00AF3065" w:rsidRPr="009D7A46">
        <w:rPr>
          <w:rFonts w:ascii="Arial" w:hAnsi="Arial" w:cs="Arial"/>
          <w:color w:val="FF0000"/>
        </w:rPr>
        <w:t>by prioritizing the development of national standards, guidelines and metrics to assess the progress of healthcare systems in their delivery of seniors’ care.</w:t>
      </w:r>
    </w:p>
    <w:p w14:paraId="0F5380AB" w14:textId="77777777" w:rsidR="00AF3065" w:rsidRPr="009D7A46" w:rsidRDefault="00AF3065" w:rsidP="00AF3065">
      <w:pPr>
        <w:spacing w:after="0" w:line="240" w:lineRule="auto"/>
        <w:rPr>
          <w:rFonts w:ascii="Arial" w:hAnsi="Arial" w:cs="Arial"/>
          <w:color w:val="FF0000"/>
        </w:rPr>
      </w:pPr>
      <w:r w:rsidRPr="009D7A46">
        <w:rPr>
          <w:rFonts w:ascii="Arial" w:hAnsi="Arial" w:cs="Arial"/>
          <w:color w:val="FF0000"/>
        </w:rPr>
        <w:t xml:space="preserve"> </w:t>
      </w:r>
    </w:p>
    <w:p w14:paraId="117BE0CA" w14:textId="77777777" w:rsidR="00AF3065" w:rsidRPr="009D7A46" w:rsidRDefault="00AF3065" w:rsidP="00AF3065">
      <w:pPr>
        <w:spacing w:after="0" w:line="240" w:lineRule="auto"/>
        <w:rPr>
          <w:rFonts w:ascii="Arial" w:eastAsia="Times New Roman" w:hAnsi="Arial" w:cs="Arial"/>
          <w:color w:val="FF0000"/>
        </w:rPr>
      </w:pPr>
    </w:p>
    <w:p w14:paraId="586B4F7E" w14:textId="77777777" w:rsidR="00AF3065" w:rsidRPr="009D7A46" w:rsidRDefault="00AF3065" w:rsidP="00AF3065">
      <w:pPr>
        <w:spacing w:after="0" w:line="240" w:lineRule="auto"/>
        <w:rPr>
          <w:rFonts w:ascii="Arial" w:hAnsi="Arial" w:cs="Arial"/>
          <w:color w:val="FF0000"/>
        </w:rPr>
      </w:pPr>
      <w:r w:rsidRPr="009D7A46">
        <w:rPr>
          <w:rFonts w:ascii="Arial" w:hAnsi="Arial" w:cs="Arial"/>
          <w:i/>
          <w:iCs/>
          <w:color w:val="FF0000"/>
        </w:rPr>
        <w:t>Encourage Increased Medical Education on Community Aspects of Care of the Elderly</w:t>
      </w:r>
    </w:p>
    <w:p w14:paraId="27D571C3" w14:textId="77777777" w:rsidR="00AF3065" w:rsidRPr="009D7A46" w:rsidRDefault="00AF3065" w:rsidP="00AF3065">
      <w:pPr>
        <w:spacing w:after="0" w:line="240" w:lineRule="auto"/>
        <w:rPr>
          <w:rFonts w:ascii="Arial" w:hAnsi="Arial" w:cs="Arial"/>
          <w:color w:val="FF0000"/>
        </w:rPr>
      </w:pPr>
      <w:r w:rsidRPr="009D7A46">
        <w:rPr>
          <w:rFonts w:ascii="Arial" w:hAnsi="Arial" w:cs="Arial"/>
          <w:color w:val="FF0000"/>
        </w:rPr>
        <w:t xml:space="preserve"> </w:t>
      </w:r>
    </w:p>
    <w:p w14:paraId="427A0947" w14:textId="6026B9DD" w:rsidR="00AF3065" w:rsidRPr="009D7A46" w:rsidRDefault="00503E11" w:rsidP="00503E11">
      <w:pPr>
        <w:spacing w:after="0" w:line="240" w:lineRule="auto"/>
        <w:ind w:left="142" w:hanging="284"/>
        <w:rPr>
          <w:rFonts w:ascii="Arial" w:hAnsi="Arial" w:cs="Arial"/>
          <w:color w:val="FF0000"/>
        </w:rPr>
      </w:pPr>
      <w:r w:rsidRPr="009D7A46">
        <w:rPr>
          <w:rFonts w:ascii="Arial" w:hAnsi="Arial" w:cs="Arial"/>
          <w:color w:val="FF0000"/>
        </w:rPr>
        <w:t>e.  </w:t>
      </w:r>
      <w:r w:rsidR="00AF3065" w:rsidRPr="009D7A46">
        <w:rPr>
          <w:rFonts w:ascii="Arial" w:hAnsi="Arial" w:cs="Arial"/>
          <w:b/>
          <w:bCs/>
          <w:color w:val="FF0000"/>
        </w:rPr>
        <w:t>Ensure students learn and are assessed on the following topics in pre-clerkship and/or clerkship</w:t>
      </w:r>
      <w:r w:rsidR="00AF3065" w:rsidRPr="009D7A46">
        <w:rPr>
          <w:rFonts w:ascii="Arial" w:hAnsi="Arial" w:cs="Arial"/>
          <w:color w:val="FF0000"/>
        </w:rPr>
        <w:t xml:space="preserve">: Structure of, the pros and cons of, when referral is indicated for: home/community care, long-term </w:t>
      </w:r>
      <w:proofErr w:type="gramStart"/>
      <w:r w:rsidR="00AF3065" w:rsidRPr="009D7A46">
        <w:rPr>
          <w:rFonts w:ascii="Arial" w:hAnsi="Arial" w:cs="Arial"/>
          <w:color w:val="FF0000"/>
        </w:rPr>
        <w:t>care,</w:t>
      </w:r>
      <w:proofErr w:type="gramEnd"/>
      <w:r w:rsidR="00AF3065" w:rsidRPr="009D7A46">
        <w:rPr>
          <w:rFonts w:ascii="Arial" w:hAnsi="Arial" w:cs="Arial"/>
          <w:color w:val="FF0000"/>
        </w:rPr>
        <w:t xml:space="preserve"> palliative care units and end-of-life services.</w:t>
      </w:r>
    </w:p>
    <w:p w14:paraId="5EC2AE8D" w14:textId="77777777" w:rsidR="00AF3065" w:rsidRPr="009D7A46" w:rsidRDefault="00AF3065" w:rsidP="00503E11">
      <w:pPr>
        <w:spacing w:after="0" w:line="240" w:lineRule="auto"/>
        <w:ind w:left="142" w:hanging="284"/>
        <w:rPr>
          <w:rFonts w:ascii="Arial" w:hAnsi="Arial" w:cs="Arial"/>
          <w:color w:val="FF0000"/>
        </w:rPr>
      </w:pPr>
      <w:r w:rsidRPr="009D7A46">
        <w:rPr>
          <w:rFonts w:ascii="Arial" w:hAnsi="Arial" w:cs="Arial"/>
          <w:color w:val="FF0000"/>
        </w:rPr>
        <w:t xml:space="preserve"> </w:t>
      </w:r>
    </w:p>
    <w:p w14:paraId="6DAF352E" w14:textId="083FEE7A" w:rsidR="00AF3065" w:rsidRPr="009D7A46" w:rsidRDefault="00503E11" w:rsidP="00503E11">
      <w:pPr>
        <w:spacing w:after="0" w:line="240" w:lineRule="auto"/>
        <w:ind w:left="142" w:hanging="284"/>
        <w:rPr>
          <w:rFonts w:ascii="Arial" w:hAnsi="Arial" w:cs="Arial"/>
          <w:color w:val="FF0000"/>
        </w:rPr>
      </w:pPr>
      <w:r w:rsidRPr="009D7A46">
        <w:rPr>
          <w:rFonts w:ascii="Arial" w:hAnsi="Arial" w:cs="Arial"/>
          <w:color w:val="FF0000"/>
        </w:rPr>
        <w:t>f.   </w:t>
      </w:r>
      <w:r w:rsidR="00AF3065" w:rsidRPr="009D7A46">
        <w:rPr>
          <w:rFonts w:ascii="Arial" w:hAnsi="Arial" w:cs="Arial"/>
          <w:b/>
          <w:bCs/>
          <w:color w:val="FF0000"/>
        </w:rPr>
        <w:t>Ensure effective discharge planning is explicitly covered in medical school curricula</w:t>
      </w:r>
      <w:r w:rsidR="00AF3065" w:rsidRPr="009D7A46">
        <w:rPr>
          <w:rFonts w:ascii="Arial" w:hAnsi="Arial" w:cs="Arial"/>
          <w:color w:val="FF0000"/>
        </w:rPr>
        <w:t>: including the role for home safety assessments, alternate-level-of-care designations, specific allied healthcare professionals (e.g. when is physiotherapy vs. occupational therapy indicated), and the responsibilities of long-term care homes to their residents (e.g. who is responsible for transfer from hospital).</w:t>
      </w:r>
    </w:p>
    <w:p w14:paraId="75981D5E" w14:textId="77777777" w:rsidR="00AF3065" w:rsidRPr="009D7A46" w:rsidRDefault="00AF3065" w:rsidP="00503E11">
      <w:pPr>
        <w:spacing w:after="0" w:line="240" w:lineRule="auto"/>
        <w:ind w:left="142" w:hanging="284"/>
        <w:rPr>
          <w:rFonts w:ascii="Arial" w:hAnsi="Arial" w:cs="Arial"/>
          <w:color w:val="FF0000"/>
        </w:rPr>
      </w:pPr>
      <w:r w:rsidRPr="009D7A46">
        <w:rPr>
          <w:rFonts w:ascii="Arial" w:hAnsi="Arial" w:cs="Arial"/>
          <w:color w:val="FF0000"/>
        </w:rPr>
        <w:t xml:space="preserve"> </w:t>
      </w:r>
    </w:p>
    <w:p w14:paraId="35A728A1" w14:textId="01B37CF0" w:rsidR="00EA7B65" w:rsidRDefault="00503E11" w:rsidP="00503E11">
      <w:pPr>
        <w:ind w:left="142" w:hanging="284"/>
        <w:rPr>
          <w:rFonts w:ascii="Arial" w:hAnsi="Arial" w:cs="Arial"/>
          <w:b/>
          <w:bCs/>
          <w:color w:val="000000"/>
          <w:sz w:val="20"/>
          <w:szCs w:val="20"/>
          <w:lang w:val="en-US"/>
        </w:rPr>
      </w:pPr>
      <w:r w:rsidRPr="009D7A46">
        <w:rPr>
          <w:rFonts w:ascii="Arial" w:eastAsia="Times New Roman" w:hAnsi="Arial" w:cs="Arial"/>
          <w:color w:val="FF0000"/>
        </w:rPr>
        <w:t>g.</w:t>
      </w:r>
      <w:r w:rsidRPr="009D7A46">
        <w:rPr>
          <w:rFonts w:ascii="Arial" w:eastAsia="Times New Roman" w:hAnsi="Arial" w:cs="Arial"/>
          <w:color w:val="FF0000"/>
        </w:rPr>
        <w:tab/>
      </w:r>
      <w:r w:rsidR="00AF3065" w:rsidRPr="009D7A46">
        <w:rPr>
          <w:rFonts w:ascii="Arial" w:eastAsia="Times New Roman" w:hAnsi="Arial" w:cs="Arial"/>
          <w:b/>
          <w:bCs/>
          <w:color w:val="FF0000"/>
        </w:rPr>
        <w:t>Provide students practical opportunities</w:t>
      </w:r>
      <w:r w:rsidR="00AF3065" w:rsidRPr="009D7A46">
        <w:rPr>
          <w:rFonts w:ascii="Arial" w:eastAsia="Times New Roman" w:hAnsi="Arial" w:cs="Arial"/>
          <w:color w:val="FF0000"/>
        </w:rPr>
        <w:t xml:space="preserve">, including but not limited to: home visits (either in rural or urban communities) and interdisciplinary </w:t>
      </w:r>
      <w:proofErr w:type="spellStart"/>
      <w:r w:rsidR="00AF3065" w:rsidRPr="009D7A46">
        <w:rPr>
          <w:rFonts w:ascii="Arial" w:eastAsia="Times New Roman" w:hAnsi="Arial" w:cs="Arial"/>
          <w:color w:val="FF0000"/>
        </w:rPr>
        <w:t>observerships</w:t>
      </w:r>
      <w:proofErr w:type="spellEnd"/>
      <w:r w:rsidR="00AF3065" w:rsidRPr="009D7A46">
        <w:rPr>
          <w:rFonts w:ascii="Arial" w:eastAsia="Times New Roman" w:hAnsi="Arial" w:cs="Arial"/>
          <w:color w:val="FF0000"/>
        </w:rPr>
        <w:t>/rotations pertaining to care of the elderly.</w:t>
      </w:r>
      <w:r w:rsidR="00EA7B65">
        <w:rPr>
          <w:rFonts w:ascii="Arial" w:hAnsi="Arial" w:cs="Arial"/>
          <w:b/>
          <w:bCs/>
          <w:color w:val="000000"/>
          <w:sz w:val="20"/>
          <w:szCs w:val="20"/>
        </w:rPr>
        <w:br w:type="page"/>
      </w:r>
    </w:p>
    <w:p w14:paraId="49DF7A8F" w14:textId="78DF9D6C" w:rsidR="00EA7B65" w:rsidRPr="00EA7B65" w:rsidRDefault="00EA7B65" w:rsidP="00EA7B65">
      <w:pPr>
        <w:pStyle w:val="NormalWeb"/>
        <w:spacing w:before="0" w:beforeAutospacing="0" w:after="0" w:afterAutospacing="0"/>
        <w:rPr>
          <w:rFonts w:ascii="Arial" w:hAnsi="Arial" w:cs="Arial"/>
          <w:sz w:val="20"/>
          <w:szCs w:val="20"/>
        </w:rPr>
      </w:pPr>
      <w:r w:rsidRPr="00EA7B65">
        <w:rPr>
          <w:rFonts w:ascii="Arial" w:hAnsi="Arial" w:cs="Arial"/>
          <w:b/>
          <w:bCs/>
          <w:color w:val="000000"/>
          <w:sz w:val="20"/>
          <w:szCs w:val="20"/>
        </w:rPr>
        <w:lastRenderedPageBreak/>
        <w:t>Appendix</w:t>
      </w:r>
    </w:p>
    <w:p w14:paraId="1D6DAF72" w14:textId="77777777" w:rsidR="00EA7B65" w:rsidRPr="00EA7B65" w:rsidRDefault="00EA7B65" w:rsidP="00EA7B65">
      <w:pPr>
        <w:pStyle w:val="NormalWeb"/>
        <w:spacing w:before="0" w:beforeAutospacing="0" w:after="0" w:afterAutospacing="0"/>
        <w:rPr>
          <w:rFonts w:ascii="Arial" w:hAnsi="Arial" w:cs="Arial"/>
          <w:sz w:val="20"/>
          <w:szCs w:val="20"/>
        </w:rPr>
      </w:pPr>
      <w:r w:rsidRPr="00EA7B65">
        <w:rPr>
          <w:rFonts w:ascii="Arial" w:hAnsi="Arial" w:cs="Arial"/>
          <w:color w:val="000000"/>
          <w:sz w:val="20"/>
          <w:szCs w:val="20"/>
        </w:rPr>
        <w:t xml:space="preserve"> </w:t>
      </w:r>
    </w:p>
    <w:p w14:paraId="13F066AF" w14:textId="77777777" w:rsidR="00EA7B65" w:rsidRPr="00EA7B65" w:rsidRDefault="00EA7B65" w:rsidP="00EA7B65">
      <w:pPr>
        <w:pStyle w:val="NormalWeb"/>
        <w:spacing w:before="0" w:beforeAutospacing="0" w:after="0" w:afterAutospacing="0"/>
        <w:rPr>
          <w:rFonts w:ascii="Arial" w:hAnsi="Arial" w:cs="Arial"/>
          <w:sz w:val="20"/>
          <w:szCs w:val="20"/>
        </w:rPr>
      </w:pPr>
      <w:r w:rsidRPr="00EA7B65">
        <w:rPr>
          <w:rFonts w:ascii="Arial" w:hAnsi="Arial" w:cs="Arial"/>
          <w:b/>
          <w:bCs/>
          <w:i/>
          <w:iCs/>
          <w:color w:val="000000"/>
          <w:sz w:val="20"/>
          <w:szCs w:val="20"/>
        </w:rPr>
        <w:t>Summary of the National Seniors Strategy Pillars</w:t>
      </w:r>
    </w:p>
    <w:p w14:paraId="089FF8E1" w14:textId="77777777" w:rsidR="00EA7B65" w:rsidRPr="00EA7B65" w:rsidRDefault="00EA7B65" w:rsidP="00EA7B65">
      <w:pPr>
        <w:rPr>
          <w:rFonts w:ascii="Arial" w:eastAsia="Times New Roman" w:hAnsi="Arial" w:cs="Arial"/>
          <w:sz w:val="20"/>
          <w:szCs w:val="20"/>
        </w:rPr>
      </w:pPr>
    </w:p>
    <w:p w14:paraId="7C1B9724" w14:textId="77777777" w:rsidR="00EA7B65" w:rsidRPr="00EA7B65" w:rsidRDefault="00EA7B65" w:rsidP="00EA7B65">
      <w:pPr>
        <w:pStyle w:val="NormalWeb"/>
        <w:spacing w:before="0" w:beforeAutospacing="0" w:after="0" w:afterAutospacing="0"/>
        <w:rPr>
          <w:rFonts w:ascii="Arial" w:hAnsi="Arial" w:cs="Arial"/>
          <w:sz w:val="20"/>
          <w:szCs w:val="20"/>
        </w:rPr>
      </w:pPr>
      <w:r w:rsidRPr="00EA7B65">
        <w:rPr>
          <w:rFonts w:ascii="Arial" w:hAnsi="Arial" w:cs="Arial"/>
          <w:color w:val="000000"/>
          <w:sz w:val="20"/>
          <w:szCs w:val="20"/>
        </w:rPr>
        <w:t>The “Independent, Productive and Engaged Citizens” pillar addresses social supports for seniors to allow them to live and thrive independently in the community. Its recommendations advocate for providing income security, ensuring affordable housing, creating age-friendly spaces and addressing seniors’ safety (including elder abuse, ageism and social isolation).</w:t>
      </w:r>
    </w:p>
    <w:p w14:paraId="49824440" w14:textId="77777777" w:rsidR="00EA7B65" w:rsidRPr="00EA7B65" w:rsidRDefault="00EA7B65" w:rsidP="00EA7B65">
      <w:pPr>
        <w:pStyle w:val="NormalWeb"/>
        <w:spacing w:before="0" w:beforeAutospacing="0" w:after="0" w:afterAutospacing="0"/>
        <w:rPr>
          <w:rFonts w:ascii="Arial" w:hAnsi="Arial" w:cs="Arial"/>
          <w:sz w:val="20"/>
          <w:szCs w:val="20"/>
        </w:rPr>
      </w:pPr>
      <w:r w:rsidRPr="00EA7B65">
        <w:rPr>
          <w:rFonts w:ascii="Arial" w:hAnsi="Arial" w:cs="Arial"/>
          <w:color w:val="000000"/>
          <w:sz w:val="20"/>
          <w:szCs w:val="20"/>
        </w:rPr>
        <w:t xml:space="preserve"> </w:t>
      </w:r>
    </w:p>
    <w:p w14:paraId="68DA199C" w14:textId="334C60CE" w:rsidR="00EA7B65" w:rsidRDefault="00EA7B65" w:rsidP="00742B27">
      <w:pPr>
        <w:pStyle w:val="NormalWeb"/>
        <w:spacing w:before="0" w:beforeAutospacing="0" w:after="0" w:afterAutospacing="0"/>
        <w:rPr>
          <w:rFonts w:ascii="Arial" w:hAnsi="Arial" w:cs="Arial"/>
          <w:color w:val="000000"/>
          <w:sz w:val="20"/>
          <w:szCs w:val="20"/>
        </w:rPr>
      </w:pPr>
      <w:r w:rsidRPr="00EA7B65">
        <w:rPr>
          <w:rFonts w:ascii="Arial" w:hAnsi="Arial" w:cs="Arial"/>
          <w:color w:val="000000"/>
          <w:sz w:val="20"/>
          <w:szCs w:val="20"/>
        </w:rPr>
        <w:t xml:space="preserve">The “Healthy Active Lives” pillar </w:t>
      </w:r>
      <w:proofErr w:type="spellStart"/>
      <w:r w:rsidRPr="00EA7B65">
        <w:rPr>
          <w:rFonts w:ascii="Arial" w:hAnsi="Arial" w:cs="Arial"/>
          <w:color w:val="000000"/>
          <w:sz w:val="20"/>
          <w:szCs w:val="20"/>
        </w:rPr>
        <w:t>centres</w:t>
      </w:r>
      <w:proofErr w:type="spellEnd"/>
      <w:r w:rsidRPr="00EA7B65">
        <w:rPr>
          <w:rFonts w:ascii="Arial" w:hAnsi="Arial" w:cs="Arial"/>
          <w:color w:val="000000"/>
          <w:sz w:val="20"/>
          <w:szCs w:val="20"/>
        </w:rPr>
        <w:t xml:space="preserve"> on preventive medicine and overall healthy aging for seniors. Topics described within this pillar include falls prevention, affordable medication access, </w:t>
      </w:r>
      <w:proofErr w:type="spellStart"/>
      <w:r w:rsidRPr="00EA7B65">
        <w:rPr>
          <w:rFonts w:ascii="Arial" w:hAnsi="Arial" w:cs="Arial"/>
          <w:color w:val="000000"/>
          <w:sz w:val="20"/>
          <w:szCs w:val="20"/>
        </w:rPr>
        <w:t>deprescribing</w:t>
      </w:r>
      <w:proofErr w:type="spellEnd"/>
      <w:r w:rsidRPr="00EA7B65">
        <w:rPr>
          <w:rFonts w:ascii="Arial" w:hAnsi="Arial" w:cs="Arial"/>
          <w:color w:val="000000"/>
          <w:sz w:val="20"/>
          <w:szCs w:val="20"/>
        </w:rPr>
        <w:t>, and advanced care planning. Recommendations involve raising awareness amongst the public on preventive health, government policy changes to address medication costs, and training healthcare providers to discuss advance care planning, amongst others.</w:t>
      </w:r>
    </w:p>
    <w:p w14:paraId="142A9B60" w14:textId="77777777" w:rsidR="00742B27" w:rsidRPr="00742B27" w:rsidRDefault="00742B27" w:rsidP="00742B27">
      <w:pPr>
        <w:pStyle w:val="NormalWeb"/>
        <w:spacing w:before="0" w:beforeAutospacing="0" w:after="0" w:afterAutospacing="0"/>
        <w:rPr>
          <w:rFonts w:ascii="Arial" w:hAnsi="Arial" w:cs="Arial"/>
          <w:sz w:val="20"/>
          <w:szCs w:val="20"/>
        </w:rPr>
      </w:pPr>
    </w:p>
    <w:p w14:paraId="121557C2" w14:textId="77777777" w:rsidR="00EA7B65" w:rsidRPr="00EA7B65" w:rsidRDefault="00EA7B65" w:rsidP="00EA7B65">
      <w:pPr>
        <w:pStyle w:val="NormalWeb"/>
        <w:spacing w:before="0" w:beforeAutospacing="0" w:after="0" w:afterAutospacing="0"/>
        <w:jc w:val="both"/>
        <w:rPr>
          <w:rFonts w:ascii="Arial" w:hAnsi="Arial" w:cs="Arial"/>
          <w:sz w:val="20"/>
          <w:szCs w:val="20"/>
        </w:rPr>
      </w:pPr>
      <w:r w:rsidRPr="00EA7B65">
        <w:rPr>
          <w:rFonts w:ascii="Arial" w:hAnsi="Arial" w:cs="Arial"/>
          <w:color w:val="000000"/>
          <w:sz w:val="20"/>
          <w:szCs w:val="20"/>
        </w:rPr>
        <w:t>The “Care Closer to Home” pillar discusses the provision of quality home and community care. Its recommendations involve improving access to various community care options (such as home care, long-term care and end-of-life services), ensuring adequate availability of aging specialists, and developing standards and metrics to track progress in seniors’ healthcare.</w:t>
      </w:r>
    </w:p>
    <w:p w14:paraId="57D45809" w14:textId="77777777" w:rsidR="00EA7B65" w:rsidRPr="00EA7B65" w:rsidRDefault="00EA7B65" w:rsidP="00EA7B65">
      <w:pPr>
        <w:pStyle w:val="NormalWeb"/>
        <w:spacing w:before="0" w:beforeAutospacing="0" w:after="0" w:afterAutospacing="0"/>
        <w:jc w:val="both"/>
        <w:rPr>
          <w:rFonts w:ascii="Arial" w:hAnsi="Arial" w:cs="Arial"/>
          <w:sz w:val="20"/>
          <w:szCs w:val="20"/>
        </w:rPr>
      </w:pPr>
      <w:r w:rsidRPr="00EA7B65">
        <w:rPr>
          <w:rFonts w:ascii="Arial" w:hAnsi="Arial" w:cs="Arial"/>
          <w:color w:val="000000"/>
          <w:sz w:val="20"/>
          <w:szCs w:val="20"/>
        </w:rPr>
        <w:t xml:space="preserve"> </w:t>
      </w:r>
    </w:p>
    <w:p w14:paraId="084231B5" w14:textId="77777777" w:rsidR="00EA7B65" w:rsidRPr="00EA7B65" w:rsidRDefault="00EA7B65" w:rsidP="00EA7B65">
      <w:pPr>
        <w:pStyle w:val="NormalWeb"/>
        <w:spacing w:before="0" w:beforeAutospacing="0" w:after="0" w:afterAutospacing="0"/>
        <w:rPr>
          <w:rFonts w:ascii="Arial" w:hAnsi="Arial" w:cs="Arial"/>
          <w:sz w:val="20"/>
          <w:szCs w:val="20"/>
        </w:rPr>
      </w:pPr>
      <w:r w:rsidRPr="00EA7B65">
        <w:rPr>
          <w:rFonts w:ascii="Arial" w:hAnsi="Arial" w:cs="Arial"/>
          <w:color w:val="000000"/>
          <w:sz w:val="20"/>
          <w:szCs w:val="20"/>
        </w:rPr>
        <w:t>The “Support for Caregivers” pillar discusses measures to support caregivers, who often take time off work, forgo professional advancement and pay significant out-of-pocket expenses to help their loved ones live in the community. The NSS recommends developing supports for caregivers, such as encouraging employers to increase flexibility for leave, and creating and promoting government caregiver benefits. Supporting caregivers is with the ultimate goal of enabling their dependent seniors to live at home longer, and to simultaneously promote wellness of the caregivers themselves (2).</w:t>
      </w:r>
    </w:p>
    <w:p w14:paraId="6E799776" w14:textId="77777777" w:rsidR="00EA7B65" w:rsidRPr="00EA7B65" w:rsidRDefault="00EA7B65" w:rsidP="00EA7B65">
      <w:pPr>
        <w:spacing w:after="240"/>
        <w:rPr>
          <w:rFonts w:ascii="Arial" w:eastAsia="Times New Roman" w:hAnsi="Arial" w:cs="Arial"/>
          <w:sz w:val="20"/>
          <w:szCs w:val="20"/>
        </w:rPr>
      </w:pPr>
    </w:p>
    <w:p w14:paraId="49B4783C" w14:textId="77777777" w:rsidR="00EA7B65" w:rsidRPr="00EA7B65" w:rsidRDefault="00EA7B65" w:rsidP="00EA7B65">
      <w:pPr>
        <w:pStyle w:val="NormalWeb"/>
        <w:spacing w:before="0" w:beforeAutospacing="0" w:after="0" w:afterAutospacing="0"/>
        <w:rPr>
          <w:rFonts w:ascii="Arial" w:hAnsi="Arial" w:cs="Arial"/>
          <w:sz w:val="20"/>
          <w:szCs w:val="20"/>
        </w:rPr>
      </w:pPr>
      <w:r w:rsidRPr="00EA7B65">
        <w:rPr>
          <w:rFonts w:ascii="Arial" w:hAnsi="Arial" w:cs="Arial"/>
          <w:b/>
          <w:bCs/>
          <w:i/>
          <w:iCs/>
          <w:color w:val="000000"/>
          <w:sz w:val="20"/>
          <w:szCs w:val="20"/>
        </w:rPr>
        <w:t>Evidence for Support for National Seniors Strategy</w:t>
      </w:r>
    </w:p>
    <w:p w14:paraId="2B758511" w14:textId="77777777" w:rsidR="00EA7B65" w:rsidRPr="00EA7B65" w:rsidRDefault="00EA7B65" w:rsidP="00EA7B65">
      <w:pPr>
        <w:rPr>
          <w:rFonts w:ascii="Arial" w:eastAsia="Times New Roman" w:hAnsi="Arial" w:cs="Arial"/>
          <w:sz w:val="20"/>
          <w:szCs w:val="20"/>
        </w:rPr>
      </w:pPr>
    </w:p>
    <w:p w14:paraId="567EACE6" w14:textId="4ED6430A" w:rsidR="00EA7B65" w:rsidRPr="009D7A46" w:rsidRDefault="00EA7B65" w:rsidP="00742B27">
      <w:pPr>
        <w:pStyle w:val="NormalWeb"/>
        <w:numPr>
          <w:ilvl w:val="0"/>
          <w:numId w:val="14"/>
        </w:numPr>
        <w:spacing w:before="0" w:beforeAutospacing="0" w:after="0" w:afterAutospacing="0"/>
        <w:ind w:left="284"/>
        <w:textAlignment w:val="baseline"/>
        <w:rPr>
          <w:rFonts w:ascii="Arial" w:hAnsi="Arial" w:cs="Arial"/>
          <w:color w:val="FF0000"/>
          <w:sz w:val="20"/>
          <w:szCs w:val="20"/>
        </w:rPr>
      </w:pPr>
      <w:r w:rsidRPr="009D7A46">
        <w:rPr>
          <w:rFonts w:ascii="Arial" w:hAnsi="Arial" w:cs="Arial"/>
          <w:b/>
          <w:bCs/>
          <w:color w:val="FF0000"/>
          <w:sz w:val="20"/>
          <w:szCs w:val="20"/>
        </w:rPr>
        <w:t xml:space="preserve">Advocate for further Caregiver support: </w:t>
      </w:r>
      <w:r w:rsidRPr="009D7A46">
        <w:rPr>
          <w:rFonts w:ascii="Arial" w:hAnsi="Arial" w:cs="Arial"/>
          <w:color w:val="FF0000"/>
          <w:sz w:val="20"/>
          <w:szCs w:val="20"/>
        </w:rPr>
        <w:t>through flexible models of business/workplace leave, increased public awareness around existing supports, and awareness around caregiver challenges.</w:t>
      </w:r>
    </w:p>
    <w:p w14:paraId="54BBD795" w14:textId="77777777" w:rsidR="00EA7B65" w:rsidRPr="00EA7B65" w:rsidRDefault="00EA7B65" w:rsidP="00EA7B65">
      <w:pPr>
        <w:pStyle w:val="NormalWeb"/>
        <w:spacing w:before="0" w:beforeAutospacing="0" w:after="0" w:afterAutospacing="0"/>
        <w:rPr>
          <w:rFonts w:ascii="Arial" w:hAnsi="Arial" w:cs="Arial"/>
          <w:sz w:val="20"/>
          <w:szCs w:val="20"/>
        </w:rPr>
      </w:pPr>
      <w:r w:rsidRPr="00EA7B65">
        <w:rPr>
          <w:rFonts w:ascii="Arial" w:hAnsi="Arial" w:cs="Arial"/>
          <w:color w:val="000000"/>
          <w:sz w:val="20"/>
          <w:szCs w:val="20"/>
        </w:rPr>
        <w:t xml:space="preserve"> </w:t>
      </w:r>
    </w:p>
    <w:p w14:paraId="454A5BC6" w14:textId="77777777" w:rsidR="00EA7B65" w:rsidRPr="00EA7B65" w:rsidRDefault="00EA7B65" w:rsidP="00742B27">
      <w:pPr>
        <w:pStyle w:val="NormalWeb"/>
        <w:spacing w:before="0" w:beforeAutospacing="0" w:after="0" w:afterAutospacing="0"/>
        <w:ind w:left="284"/>
        <w:rPr>
          <w:rFonts w:ascii="Arial" w:hAnsi="Arial" w:cs="Arial"/>
          <w:sz w:val="20"/>
          <w:szCs w:val="20"/>
        </w:rPr>
      </w:pPr>
      <w:r w:rsidRPr="00EA7B65">
        <w:rPr>
          <w:rFonts w:ascii="Arial" w:hAnsi="Arial" w:cs="Arial"/>
          <w:color w:val="000000"/>
          <w:sz w:val="20"/>
          <w:szCs w:val="20"/>
        </w:rPr>
        <w:t xml:space="preserve">The National Seniors’ Strategy describes “growing evidence demonstrating that financial support for caregivers can reduce the probability that their dependents will be admitted to a nursing home by 56%” (2). Unpaid work leads to significant costs for caregivers, including time off work, missed opportunities for career advancement, and substantial out-of-pocket expenses. Existing government support for caregivers include the Family Caregiver Tax Credit, the Caregiver Tax Credit and the Compassionate Care Benefit (3). However, restrictions on eligibility and reduced awareness may lead to the underutilization of these supports. Although immediate family members make up the majority of caregivers, close friends and </w:t>
      </w:r>
      <w:proofErr w:type="spellStart"/>
      <w:r w:rsidRPr="00EA7B65">
        <w:rPr>
          <w:rFonts w:ascii="Arial" w:hAnsi="Arial" w:cs="Arial"/>
          <w:color w:val="000000"/>
          <w:sz w:val="20"/>
          <w:szCs w:val="20"/>
        </w:rPr>
        <w:t>neighbours</w:t>
      </w:r>
      <w:proofErr w:type="spellEnd"/>
      <w:r w:rsidRPr="00EA7B65">
        <w:rPr>
          <w:rFonts w:ascii="Arial" w:hAnsi="Arial" w:cs="Arial"/>
          <w:color w:val="000000"/>
          <w:sz w:val="20"/>
          <w:szCs w:val="20"/>
        </w:rPr>
        <w:t xml:space="preserve"> are increasing in numbers. Therefore, changes to policies need to reflect these growing trends to include extended family members, friends, and </w:t>
      </w:r>
      <w:proofErr w:type="spellStart"/>
      <w:r w:rsidRPr="00EA7B65">
        <w:rPr>
          <w:rFonts w:ascii="Arial" w:hAnsi="Arial" w:cs="Arial"/>
          <w:color w:val="000000"/>
          <w:sz w:val="20"/>
          <w:szCs w:val="20"/>
        </w:rPr>
        <w:t>neighbours</w:t>
      </w:r>
      <w:proofErr w:type="spellEnd"/>
      <w:r w:rsidRPr="00EA7B65">
        <w:rPr>
          <w:rFonts w:ascii="Arial" w:hAnsi="Arial" w:cs="Arial"/>
          <w:color w:val="000000"/>
          <w:sz w:val="20"/>
          <w:szCs w:val="20"/>
        </w:rPr>
        <w:t>, ensuring that all caregivers have access to social and financial supports (4).</w:t>
      </w:r>
    </w:p>
    <w:p w14:paraId="50AFA34E" w14:textId="77777777" w:rsidR="00EA7B65" w:rsidRPr="00EA7B65" w:rsidRDefault="00EA7B65" w:rsidP="00EA7B65">
      <w:pPr>
        <w:pStyle w:val="NormalWeb"/>
        <w:spacing w:before="0" w:beforeAutospacing="0" w:after="0" w:afterAutospacing="0"/>
        <w:rPr>
          <w:rFonts w:ascii="Arial" w:hAnsi="Arial" w:cs="Arial"/>
          <w:sz w:val="20"/>
          <w:szCs w:val="20"/>
        </w:rPr>
      </w:pPr>
      <w:r w:rsidRPr="00EA7B65">
        <w:rPr>
          <w:rFonts w:ascii="Arial" w:hAnsi="Arial" w:cs="Arial"/>
          <w:color w:val="000000"/>
          <w:sz w:val="20"/>
          <w:szCs w:val="20"/>
        </w:rPr>
        <w:t xml:space="preserve"> </w:t>
      </w:r>
    </w:p>
    <w:p w14:paraId="266587E7" w14:textId="7079E852" w:rsidR="006E4B44" w:rsidRPr="009D7A46" w:rsidRDefault="006E4B44" w:rsidP="006E4B44">
      <w:pPr>
        <w:pStyle w:val="NormalWeb"/>
        <w:numPr>
          <w:ilvl w:val="0"/>
          <w:numId w:val="14"/>
        </w:numPr>
        <w:spacing w:before="0" w:beforeAutospacing="0" w:after="0" w:afterAutospacing="0"/>
        <w:ind w:left="142"/>
        <w:rPr>
          <w:rFonts w:ascii="Arial" w:eastAsia="Times New Roman" w:hAnsi="Arial" w:cs="Arial"/>
          <w:color w:val="FF0000"/>
          <w:sz w:val="20"/>
          <w:szCs w:val="20"/>
        </w:rPr>
      </w:pPr>
      <w:r w:rsidRPr="009D7A46">
        <w:rPr>
          <w:rFonts w:ascii="Arial" w:eastAsia="Times New Roman" w:hAnsi="Arial" w:cs="Arial"/>
          <w:b/>
          <w:bCs/>
          <w:color w:val="FF0000"/>
          <w:sz w:val="20"/>
          <w:szCs w:val="20"/>
        </w:rPr>
        <w:t xml:space="preserve">Provide greater and more equitable access to seniors’ health resources: </w:t>
      </w:r>
      <w:r w:rsidRPr="009D7A46">
        <w:rPr>
          <w:rFonts w:ascii="Arial" w:eastAsia="Times New Roman" w:hAnsi="Arial" w:cs="Arial"/>
          <w:color w:val="FF0000"/>
          <w:sz w:val="20"/>
          <w:szCs w:val="20"/>
        </w:rPr>
        <w:t>specifically at-home services, community services, long-term care services, end-of-life care, and aging specialists.</w:t>
      </w:r>
    </w:p>
    <w:p w14:paraId="39DD0B57" w14:textId="0FD294EB" w:rsidR="00EA7B65" w:rsidRPr="00EA7B65" w:rsidRDefault="00EA7B65" w:rsidP="00EA7B65">
      <w:pPr>
        <w:pStyle w:val="NormalWeb"/>
        <w:spacing w:before="0" w:beforeAutospacing="0" w:after="0" w:afterAutospacing="0"/>
        <w:rPr>
          <w:rFonts w:ascii="Arial" w:hAnsi="Arial" w:cs="Arial"/>
          <w:sz w:val="20"/>
          <w:szCs w:val="20"/>
        </w:rPr>
      </w:pPr>
    </w:p>
    <w:p w14:paraId="7008D2DB" w14:textId="77777777" w:rsidR="00EA7B65" w:rsidRPr="00EA7B65" w:rsidRDefault="00EA7B65" w:rsidP="00742B27">
      <w:pPr>
        <w:pStyle w:val="NormalWeb"/>
        <w:spacing w:before="0" w:beforeAutospacing="0" w:after="0" w:afterAutospacing="0"/>
        <w:ind w:left="284"/>
        <w:rPr>
          <w:rFonts w:ascii="Arial" w:hAnsi="Arial" w:cs="Arial"/>
          <w:sz w:val="20"/>
          <w:szCs w:val="20"/>
        </w:rPr>
      </w:pPr>
      <w:r w:rsidRPr="00EA7B65">
        <w:rPr>
          <w:rFonts w:ascii="Arial" w:hAnsi="Arial" w:cs="Arial"/>
          <w:color w:val="000000"/>
          <w:sz w:val="20"/>
          <w:szCs w:val="20"/>
        </w:rPr>
        <w:t>There are ongoing limitations in community supports and resources available to seniors. Examples include long wait times for long-term care, shortage of home care services (5), and social isolation for seniors (6). Another limitation is that existing resources are not provided equitably across the country. For example, access to aging specialists differs across geographic regions, with rural areas being disproportionately affected (5). As such, infrastructural changes addressing both resource provision and equitable access will be needed to allow all Canadian seniors to age safely in the community.</w:t>
      </w:r>
    </w:p>
    <w:p w14:paraId="1D8E1BFD" w14:textId="77777777" w:rsidR="00EA7B65" w:rsidRPr="00EA7B65" w:rsidRDefault="00EA7B65" w:rsidP="00EA7B65">
      <w:pPr>
        <w:rPr>
          <w:rFonts w:ascii="Arial" w:eastAsia="Times New Roman" w:hAnsi="Arial" w:cs="Arial"/>
          <w:sz w:val="20"/>
          <w:szCs w:val="20"/>
        </w:rPr>
      </w:pPr>
    </w:p>
    <w:p w14:paraId="6FD47945" w14:textId="77777777" w:rsidR="00EA7B65" w:rsidRPr="00EA7B65" w:rsidRDefault="00EA7B65" w:rsidP="00742B27">
      <w:pPr>
        <w:pStyle w:val="NormalWeb"/>
        <w:spacing w:before="0" w:beforeAutospacing="0" w:after="0" w:afterAutospacing="0"/>
        <w:ind w:left="284"/>
        <w:rPr>
          <w:rFonts w:ascii="Arial" w:hAnsi="Arial" w:cs="Arial"/>
          <w:sz w:val="20"/>
          <w:szCs w:val="20"/>
        </w:rPr>
      </w:pPr>
      <w:r w:rsidRPr="00EA7B65">
        <w:rPr>
          <w:rFonts w:ascii="Arial" w:hAnsi="Arial" w:cs="Arial"/>
          <w:color w:val="000000"/>
          <w:sz w:val="20"/>
          <w:szCs w:val="20"/>
        </w:rPr>
        <w:lastRenderedPageBreak/>
        <w:t xml:space="preserve">There are 2.2 million Canadians receiving care at home, 15% of which still have unmet needs (2). According to the National Seniors Strategy, avoiding unnecessary hospitalization and keeping seniors at home longer can save an estimated $2.3 billion to use elsewhere in the healthcare system (2). Ensuring there are services close to home that allow individuals to stay at home longer ensures not only comfort for the patient but also increases the number of beds available </w:t>
      </w:r>
      <w:proofErr w:type="gramStart"/>
      <w:r w:rsidRPr="00EA7B65">
        <w:rPr>
          <w:rFonts w:ascii="Arial" w:hAnsi="Arial" w:cs="Arial"/>
          <w:color w:val="000000"/>
          <w:sz w:val="20"/>
          <w:szCs w:val="20"/>
        </w:rPr>
        <w:t>for  acute</w:t>
      </w:r>
      <w:proofErr w:type="gramEnd"/>
      <w:r w:rsidRPr="00EA7B65">
        <w:rPr>
          <w:rFonts w:ascii="Arial" w:hAnsi="Arial" w:cs="Arial"/>
          <w:color w:val="000000"/>
          <w:sz w:val="20"/>
          <w:szCs w:val="20"/>
        </w:rPr>
        <w:t xml:space="preserve"> care situations. Furthermore, community-based care helps to decrease the need to travel for seniors who may not have the ability, time, or resources to do so, and </w:t>
      </w:r>
      <w:proofErr w:type="gramStart"/>
      <w:r w:rsidRPr="00EA7B65">
        <w:rPr>
          <w:rFonts w:ascii="Arial" w:hAnsi="Arial" w:cs="Arial"/>
          <w:color w:val="000000"/>
          <w:sz w:val="20"/>
          <w:szCs w:val="20"/>
        </w:rPr>
        <w:t>decreases  stress</w:t>
      </w:r>
      <w:proofErr w:type="gramEnd"/>
      <w:r w:rsidRPr="00EA7B65">
        <w:rPr>
          <w:rFonts w:ascii="Arial" w:hAnsi="Arial" w:cs="Arial"/>
          <w:color w:val="000000"/>
          <w:sz w:val="20"/>
          <w:szCs w:val="20"/>
        </w:rPr>
        <w:t xml:space="preserve"> on caregivers to fulfill transportation roles.</w:t>
      </w:r>
    </w:p>
    <w:p w14:paraId="453D4D65" w14:textId="77777777" w:rsidR="00EA7B65" w:rsidRPr="00EA7B65" w:rsidRDefault="00EA7B65" w:rsidP="00EA7B65">
      <w:pPr>
        <w:rPr>
          <w:rFonts w:ascii="Arial" w:eastAsia="Times New Roman" w:hAnsi="Arial" w:cs="Arial"/>
          <w:sz w:val="20"/>
          <w:szCs w:val="20"/>
        </w:rPr>
      </w:pPr>
    </w:p>
    <w:p w14:paraId="151D76DC" w14:textId="77777777" w:rsidR="006E4B44" w:rsidRPr="009D7A46" w:rsidRDefault="006E4B44" w:rsidP="006E4B44">
      <w:pPr>
        <w:spacing w:after="0" w:line="240" w:lineRule="auto"/>
        <w:ind w:hanging="360"/>
        <w:rPr>
          <w:rFonts w:ascii="Times" w:hAnsi="Times" w:cs="Times New Roman"/>
          <w:color w:val="FF0000"/>
          <w:sz w:val="20"/>
          <w:szCs w:val="20"/>
        </w:rPr>
      </w:pPr>
      <w:r w:rsidRPr="009D7A46">
        <w:rPr>
          <w:rFonts w:ascii="Arial" w:hAnsi="Arial" w:cs="Arial"/>
          <w:color w:val="FF0000"/>
          <w:sz w:val="20"/>
          <w:szCs w:val="20"/>
        </w:rPr>
        <w:t xml:space="preserve">c.     </w:t>
      </w:r>
      <w:r w:rsidRPr="009D7A46">
        <w:rPr>
          <w:rFonts w:ascii="Arial" w:hAnsi="Arial" w:cs="Arial"/>
          <w:b/>
          <w:bCs/>
          <w:color w:val="FF0000"/>
          <w:sz w:val="20"/>
          <w:szCs w:val="20"/>
        </w:rPr>
        <w:t xml:space="preserve">Advocate for the Creation of ‘Age-Friendly’ spaces: </w:t>
      </w:r>
      <w:r w:rsidRPr="009D7A46">
        <w:rPr>
          <w:rFonts w:ascii="Arial" w:hAnsi="Arial" w:cs="Arial"/>
          <w:color w:val="FF0000"/>
          <w:sz w:val="20"/>
          <w:szCs w:val="20"/>
        </w:rPr>
        <w:t>through the provision of infrastructure, such as age-friendly housing and financial relief appropriate for the needs of the elderly.</w:t>
      </w:r>
    </w:p>
    <w:p w14:paraId="2AE55427" w14:textId="77777777" w:rsidR="00EA7B65" w:rsidRPr="00EA7B65" w:rsidRDefault="00EA7B65" w:rsidP="00EA7B65">
      <w:pPr>
        <w:pStyle w:val="NormalWeb"/>
        <w:spacing w:before="0" w:beforeAutospacing="0" w:after="0" w:afterAutospacing="0"/>
        <w:rPr>
          <w:rFonts w:ascii="Arial" w:hAnsi="Arial" w:cs="Arial"/>
          <w:sz w:val="20"/>
          <w:szCs w:val="20"/>
        </w:rPr>
      </w:pPr>
      <w:r w:rsidRPr="00EA7B65">
        <w:rPr>
          <w:rFonts w:ascii="Arial" w:hAnsi="Arial" w:cs="Arial"/>
          <w:color w:val="000000"/>
          <w:sz w:val="20"/>
          <w:szCs w:val="20"/>
        </w:rPr>
        <w:t xml:space="preserve"> </w:t>
      </w:r>
    </w:p>
    <w:p w14:paraId="3ADA27C5" w14:textId="77777777" w:rsidR="00EA7B65" w:rsidRPr="00EA7B65" w:rsidRDefault="00EA7B65" w:rsidP="00742B27">
      <w:pPr>
        <w:pStyle w:val="NormalWeb"/>
        <w:spacing w:before="0" w:beforeAutospacing="0" w:after="0" w:afterAutospacing="0"/>
        <w:ind w:left="284"/>
        <w:rPr>
          <w:rFonts w:ascii="Arial" w:hAnsi="Arial" w:cs="Arial"/>
          <w:sz w:val="20"/>
          <w:szCs w:val="20"/>
        </w:rPr>
      </w:pPr>
      <w:r w:rsidRPr="00EA7B65">
        <w:rPr>
          <w:rFonts w:ascii="Arial" w:hAnsi="Arial" w:cs="Arial"/>
          <w:color w:val="000000"/>
          <w:sz w:val="20"/>
          <w:szCs w:val="20"/>
        </w:rPr>
        <w:t xml:space="preserve">A recent </w:t>
      </w:r>
      <w:proofErr w:type="gramStart"/>
      <w:r w:rsidRPr="00EA7B65">
        <w:rPr>
          <w:rFonts w:ascii="Arial" w:hAnsi="Arial" w:cs="Arial"/>
          <w:color w:val="000000"/>
          <w:sz w:val="20"/>
          <w:szCs w:val="20"/>
        </w:rPr>
        <w:t>WHO</w:t>
      </w:r>
      <w:proofErr w:type="gramEnd"/>
      <w:r w:rsidRPr="00EA7B65">
        <w:rPr>
          <w:rFonts w:ascii="Arial" w:hAnsi="Arial" w:cs="Arial"/>
          <w:color w:val="000000"/>
          <w:sz w:val="20"/>
          <w:szCs w:val="20"/>
        </w:rPr>
        <w:t xml:space="preserve"> report suggested that healthcare authorities create age-friendly spaces for seniors to utilize, and improve existing infrastructure for comfortable aging (7). It has been suggested that making financial and structural resources more available and accessible will increase use and ease the burden on those with fixed-income. At home, the Canadian government has taken several steps to address seniors’ needs. Since 2016, the age of eligibility for the Guaranteed Income Supplement (GIS) and Old Age Security (OAS) was restored from 67 to 65 (8), and the value of the GIS was increased by up to $947 (9). Canada’s Budget 2018 also includes the first-ever National Housing Strategy and an expansion on the Community Volunteer Income Tax Program (CVITP), which are both targeted at populations in need, including seniors (9).</w:t>
      </w:r>
    </w:p>
    <w:p w14:paraId="5E3494F8" w14:textId="77777777" w:rsidR="00EA7B65" w:rsidRPr="00EA7B65" w:rsidRDefault="00EA7B65" w:rsidP="00EA7B65">
      <w:pPr>
        <w:rPr>
          <w:rFonts w:ascii="Arial" w:eastAsia="Times New Roman" w:hAnsi="Arial" w:cs="Arial"/>
          <w:sz w:val="20"/>
          <w:szCs w:val="20"/>
        </w:rPr>
      </w:pPr>
    </w:p>
    <w:p w14:paraId="2243D738" w14:textId="77777777" w:rsidR="00EA7B65" w:rsidRPr="009D7A46" w:rsidRDefault="00EA7B65" w:rsidP="00EA7B65">
      <w:pPr>
        <w:pStyle w:val="NormalWeb"/>
        <w:spacing w:before="0" w:beforeAutospacing="0" w:after="0" w:afterAutospacing="0"/>
        <w:ind w:hanging="360"/>
        <w:rPr>
          <w:rFonts w:ascii="Arial" w:hAnsi="Arial" w:cs="Arial"/>
          <w:color w:val="FF0000"/>
          <w:sz w:val="20"/>
          <w:szCs w:val="20"/>
        </w:rPr>
      </w:pPr>
      <w:r w:rsidRPr="009D7A46">
        <w:rPr>
          <w:rFonts w:ascii="Arial" w:hAnsi="Arial" w:cs="Arial"/>
          <w:b/>
          <w:bCs/>
          <w:color w:val="FF0000"/>
          <w:sz w:val="20"/>
          <w:szCs w:val="20"/>
        </w:rPr>
        <w:t xml:space="preserve">d.     Develop Standards and Metrics for Measuring Progress: </w:t>
      </w:r>
      <w:r w:rsidRPr="009D7A46">
        <w:rPr>
          <w:rFonts w:ascii="Arial" w:hAnsi="Arial" w:cs="Arial"/>
          <w:color w:val="FF0000"/>
          <w:sz w:val="20"/>
          <w:szCs w:val="20"/>
        </w:rPr>
        <w:t>by prioritizing the development of national standards, guidelines and metrics to assess the progress of healthcare systems in their delivery of seniors’ care.</w:t>
      </w:r>
    </w:p>
    <w:p w14:paraId="1FA4531E" w14:textId="77777777" w:rsidR="00EA7B65" w:rsidRPr="00EA7B65" w:rsidRDefault="00EA7B65" w:rsidP="00EA7B65">
      <w:pPr>
        <w:pStyle w:val="NormalWeb"/>
        <w:spacing w:before="0" w:beforeAutospacing="0" w:after="0" w:afterAutospacing="0"/>
        <w:rPr>
          <w:rFonts w:ascii="Arial" w:hAnsi="Arial" w:cs="Arial"/>
          <w:sz w:val="20"/>
          <w:szCs w:val="20"/>
        </w:rPr>
      </w:pPr>
      <w:r w:rsidRPr="00EA7B65">
        <w:rPr>
          <w:rFonts w:ascii="Arial" w:hAnsi="Arial" w:cs="Arial"/>
          <w:color w:val="000000"/>
          <w:sz w:val="20"/>
          <w:szCs w:val="20"/>
        </w:rPr>
        <w:t xml:space="preserve"> </w:t>
      </w:r>
    </w:p>
    <w:p w14:paraId="7E155C38" w14:textId="77777777" w:rsidR="00EA7B65" w:rsidRPr="00EA7B65" w:rsidRDefault="00EA7B65" w:rsidP="00742B27">
      <w:pPr>
        <w:pStyle w:val="NormalWeb"/>
        <w:spacing w:before="0" w:beforeAutospacing="0" w:after="0" w:afterAutospacing="0"/>
        <w:ind w:left="284"/>
        <w:rPr>
          <w:rFonts w:ascii="Arial" w:hAnsi="Arial" w:cs="Arial"/>
          <w:sz w:val="20"/>
          <w:szCs w:val="20"/>
        </w:rPr>
      </w:pPr>
      <w:r w:rsidRPr="00EA7B65">
        <w:rPr>
          <w:rFonts w:ascii="Arial" w:hAnsi="Arial" w:cs="Arial"/>
          <w:color w:val="000000"/>
          <w:sz w:val="20"/>
          <w:szCs w:val="20"/>
        </w:rPr>
        <w:t xml:space="preserve">The National Seniors’ Strategy identifies a dearth of standardized metrics and indicators to assess the current state of seniors’ health across different provinces and healthcare systems (2). This prevents us from establishing targets for healthcare systems and to track improvement over time, which diminishes incentive to perform. </w:t>
      </w:r>
    </w:p>
    <w:p w14:paraId="147FC4A3" w14:textId="77777777" w:rsidR="00EA7B65" w:rsidRPr="00EA7B65" w:rsidRDefault="00EA7B65" w:rsidP="00EA7B65">
      <w:pPr>
        <w:spacing w:after="240"/>
        <w:rPr>
          <w:rFonts w:ascii="Arial" w:eastAsia="Times New Roman" w:hAnsi="Arial" w:cs="Arial"/>
          <w:sz w:val="20"/>
          <w:szCs w:val="20"/>
        </w:rPr>
      </w:pPr>
    </w:p>
    <w:p w14:paraId="04A75119" w14:textId="77777777" w:rsidR="00EA7B65" w:rsidRPr="009D7A46" w:rsidRDefault="00EA7B65" w:rsidP="00EA7B65">
      <w:pPr>
        <w:pStyle w:val="NormalWeb"/>
        <w:spacing w:before="0" w:beforeAutospacing="0" w:after="0" w:afterAutospacing="0"/>
        <w:rPr>
          <w:rFonts w:ascii="Arial" w:hAnsi="Arial" w:cs="Arial"/>
          <w:color w:val="FF0000"/>
          <w:sz w:val="20"/>
          <w:szCs w:val="20"/>
        </w:rPr>
      </w:pPr>
      <w:r w:rsidRPr="009D7A46">
        <w:rPr>
          <w:rFonts w:ascii="Arial" w:hAnsi="Arial" w:cs="Arial"/>
          <w:b/>
          <w:bCs/>
          <w:i/>
          <w:iCs/>
          <w:color w:val="FF0000"/>
          <w:sz w:val="20"/>
          <w:szCs w:val="20"/>
        </w:rPr>
        <w:t>Evidence for more Medical Education pertaining to Community Care of the Elderly</w:t>
      </w:r>
    </w:p>
    <w:p w14:paraId="21DEE22F" w14:textId="77777777" w:rsidR="00EA7B65" w:rsidRPr="009D7A46" w:rsidRDefault="00EA7B65" w:rsidP="00EA7B65">
      <w:pPr>
        <w:pStyle w:val="NormalWeb"/>
        <w:spacing w:before="0" w:beforeAutospacing="0" w:after="0" w:afterAutospacing="0"/>
        <w:ind w:left="720"/>
        <w:rPr>
          <w:rFonts w:ascii="Arial" w:hAnsi="Arial" w:cs="Arial"/>
          <w:color w:val="FF0000"/>
          <w:sz w:val="20"/>
          <w:szCs w:val="20"/>
        </w:rPr>
      </w:pPr>
      <w:r w:rsidRPr="009D7A46">
        <w:rPr>
          <w:rFonts w:ascii="Arial" w:hAnsi="Arial" w:cs="Arial"/>
          <w:color w:val="FF0000"/>
          <w:sz w:val="20"/>
          <w:szCs w:val="20"/>
        </w:rPr>
        <w:t xml:space="preserve"> </w:t>
      </w:r>
    </w:p>
    <w:p w14:paraId="7E97DE17" w14:textId="43ADAD56" w:rsidR="00EA7B65" w:rsidRPr="009D7A46" w:rsidRDefault="00EA7B65" w:rsidP="00EA7B65">
      <w:pPr>
        <w:pStyle w:val="NormalWeb"/>
        <w:spacing w:before="0" w:beforeAutospacing="0" w:after="0" w:afterAutospacing="0"/>
        <w:ind w:hanging="360"/>
        <w:rPr>
          <w:rFonts w:ascii="Arial" w:hAnsi="Arial" w:cs="Arial"/>
          <w:color w:val="FF0000"/>
          <w:sz w:val="20"/>
          <w:szCs w:val="20"/>
        </w:rPr>
      </w:pPr>
      <w:r w:rsidRPr="009D7A46">
        <w:rPr>
          <w:rFonts w:ascii="Arial" w:hAnsi="Arial" w:cs="Arial"/>
          <w:color w:val="FF0000"/>
          <w:sz w:val="20"/>
          <w:szCs w:val="20"/>
        </w:rPr>
        <w:t>e.     </w:t>
      </w:r>
      <w:r w:rsidRPr="009D7A46">
        <w:rPr>
          <w:rFonts w:ascii="Arial" w:hAnsi="Arial" w:cs="Arial"/>
          <w:b/>
          <w:bCs/>
          <w:color w:val="FF0000"/>
          <w:sz w:val="20"/>
          <w:szCs w:val="20"/>
        </w:rPr>
        <w:t>Ensure students learn and are assessed on the following topics in pre-clerkship and/or clerkship</w:t>
      </w:r>
      <w:r w:rsidRPr="009D7A46">
        <w:rPr>
          <w:rFonts w:ascii="Arial" w:hAnsi="Arial" w:cs="Arial"/>
          <w:color w:val="FF0000"/>
          <w:sz w:val="20"/>
          <w:szCs w:val="20"/>
        </w:rPr>
        <w:t xml:space="preserve">: Structure of, the pros and cons of, when referral is indicated for: home/community care, long-term </w:t>
      </w:r>
      <w:proofErr w:type="gramStart"/>
      <w:r w:rsidRPr="009D7A46">
        <w:rPr>
          <w:rFonts w:ascii="Arial" w:hAnsi="Arial" w:cs="Arial"/>
          <w:color w:val="FF0000"/>
          <w:sz w:val="20"/>
          <w:szCs w:val="20"/>
        </w:rPr>
        <w:t>care,</w:t>
      </w:r>
      <w:proofErr w:type="gramEnd"/>
      <w:r w:rsidRPr="009D7A46">
        <w:rPr>
          <w:rFonts w:ascii="Arial" w:hAnsi="Arial" w:cs="Arial"/>
          <w:color w:val="FF0000"/>
          <w:sz w:val="20"/>
          <w:szCs w:val="20"/>
        </w:rPr>
        <w:t xml:space="preserve"> palliative care units, and end-of-life services.</w:t>
      </w:r>
    </w:p>
    <w:p w14:paraId="23302154" w14:textId="77777777" w:rsidR="00EA7B65" w:rsidRPr="00EA7B65" w:rsidRDefault="00EA7B65" w:rsidP="00EA7B65">
      <w:pPr>
        <w:pStyle w:val="NormalWeb"/>
        <w:spacing w:before="0" w:beforeAutospacing="0" w:after="0" w:afterAutospacing="0"/>
        <w:rPr>
          <w:rFonts w:ascii="Arial" w:hAnsi="Arial" w:cs="Arial"/>
          <w:sz w:val="20"/>
          <w:szCs w:val="20"/>
        </w:rPr>
      </w:pPr>
      <w:r w:rsidRPr="00EA7B65">
        <w:rPr>
          <w:rFonts w:ascii="Arial" w:hAnsi="Arial" w:cs="Arial"/>
          <w:color w:val="000000"/>
          <w:sz w:val="20"/>
          <w:szCs w:val="20"/>
        </w:rPr>
        <w:t xml:space="preserve"> </w:t>
      </w:r>
    </w:p>
    <w:p w14:paraId="087B487E" w14:textId="3CF44572" w:rsidR="00EA7B65" w:rsidRPr="00EA7B65" w:rsidRDefault="00EA7B65" w:rsidP="00EA7B65">
      <w:pPr>
        <w:pStyle w:val="NormalWeb"/>
        <w:spacing w:before="0" w:beforeAutospacing="0" w:after="0" w:afterAutospacing="0"/>
        <w:ind w:left="284"/>
        <w:rPr>
          <w:rFonts w:ascii="Arial" w:hAnsi="Arial" w:cs="Arial"/>
          <w:sz w:val="20"/>
          <w:szCs w:val="20"/>
        </w:rPr>
      </w:pPr>
      <w:r>
        <w:rPr>
          <w:rFonts w:ascii="Arial" w:hAnsi="Arial" w:cs="Arial"/>
          <w:color w:val="000000"/>
          <w:sz w:val="20"/>
          <w:szCs w:val="20"/>
        </w:rPr>
        <w:t xml:space="preserve">A </w:t>
      </w:r>
      <w:r w:rsidRPr="00EA7B65">
        <w:rPr>
          <w:rFonts w:ascii="Arial" w:hAnsi="Arial" w:cs="Arial"/>
          <w:color w:val="000000"/>
          <w:sz w:val="20"/>
          <w:szCs w:val="20"/>
        </w:rPr>
        <w:t>study done in the US of six medical schools surveyed 252 students with only 22% of respondents reporting themselves to be prepared for end of life themes. “Students attending medical schools with a formal end-of-life curriculum were more likely to feel prepared than students with no formal curriculum to address psychosocial issues…” (10). The benefits of early exposure to this population are two-fold: 1) it raises awareness around this field and enables students to consider elderly care as a career path, and 2) it provides all students, regardless of career choice, with the foundational knowledge and skills to care for this population.</w:t>
      </w:r>
    </w:p>
    <w:p w14:paraId="7C98CD5B" w14:textId="77777777" w:rsidR="00EA7B65" w:rsidRPr="00EA7B65" w:rsidRDefault="00EA7B65" w:rsidP="00EA7B65">
      <w:pPr>
        <w:rPr>
          <w:rFonts w:ascii="Arial" w:eastAsia="Times New Roman" w:hAnsi="Arial" w:cs="Arial"/>
          <w:sz w:val="20"/>
          <w:szCs w:val="20"/>
        </w:rPr>
      </w:pPr>
    </w:p>
    <w:p w14:paraId="0D0B161F" w14:textId="77777777" w:rsidR="00EA7B65" w:rsidRPr="009D7A46" w:rsidRDefault="00EA7B65" w:rsidP="00EA7B65">
      <w:pPr>
        <w:pStyle w:val="NormalWeb"/>
        <w:spacing w:before="0" w:beforeAutospacing="0" w:after="0" w:afterAutospacing="0"/>
        <w:ind w:hanging="360"/>
        <w:rPr>
          <w:rFonts w:ascii="Arial" w:hAnsi="Arial" w:cs="Arial"/>
          <w:color w:val="FF0000"/>
          <w:sz w:val="20"/>
          <w:szCs w:val="20"/>
        </w:rPr>
      </w:pPr>
      <w:r w:rsidRPr="009D7A46">
        <w:rPr>
          <w:rFonts w:ascii="Arial" w:hAnsi="Arial" w:cs="Arial"/>
          <w:color w:val="FF0000"/>
          <w:sz w:val="20"/>
          <w:szCs w:val="20"/>
        </w:rPr>
        <w:t xml:space="preserve">f.      </w:t>
      </w:r>
      <w:r w:rsidRPr="009D7A46">
        <w:rPr>
          <w:rFonts w:ascii="Arial" w:hAnsi="Arial" w:cs="Arial"/>
          <w:b/>
          <w:bCs/>
          <w:color w:val="FF0000"/>
          <w:sz w:val="20"/>
          <w:szCs w:val="20"/>
        </w:rPr>
        <w:t>Ensure effective discharge planning is explicitly covered in medical school curricula</w:t>
      </w:r>
      <w:r w:rsidRPr="009D7A46">
        <w:rPr>
          <w:rFonts w:ascii="Arial" w:hAnsi="Arial" w:cs="Arial"/>
          <w:color w:val="FF0000"/>
          <w:sz w:val="20"/>
          <w:szCs w:val="20"/>
        </w:rPr>
        <w:t>: including the role for home safety assessments, alternate-level-of-care designations, specific allied healthcare professionals (e.g. when is physiotherapy vs. occupational therapy indicated), and the responsibilities of long-term care homes to their residents (e.g. who is responsible for transfer from hospital).</w:t>
      </w:r>
    </w:p>
    <w:p w14:paraId="7D5C52B0" w14:textId="77777777" w:rsidR="00EA7B65" w:rsidRPr="00EA7B65" w:rsidRDefault="00EA7B65" w:rsidP="00EA7B65">
      <w:pPr>
        <w:pStyle w:val="NormalWeb"/>
        <w:spacing w:before="0" w:beforeAutospacing="0" w:after="0" w:afterAutospacing="0"/>
        <w:rPr>
          <w:rFonts w:ascii="Arial" w:hAnsi="Arial" w:cs="Arial"/>
          <w:sz w:val="20"/>
          <w:szCs w:val="20"/>
        </w:rPr>
      </w:pPr>
      <w:r w:rsidRPr="00EA7B65">
        <w:rPr>
          <w:rFonts w:ascii="Arial" w:hAnsi="Arial" w:cs="Arial"/>
          <w:color w:val="000000"/>
          <w:sz w:val="20"/>
          <w:szCs w:val="20"/>
        </w:rPr>
        <w:t xml:space="preserve"> </w:t>
      </w:r>
    </w:p>
    <w:p w14:paraId="59DD2950" w14:textId="27B3C07B" w:rsidR="00EA7B65" w:rsidRPr="00EA7B65" w:rsidRDefault="00EA7B65" w:rsidP="00EA7B65">
      <w:pPr>
        <w:pStyle w:val="NormalWeb"/>
        <w:spacing w:before="0" w:beforeAutospacing="0" w:after="0" w:afterAutospacing="0"/>
        <w:ind w:left="284"/>
        <w:rPr>
          <w:rFonts w:ascii="Arial" w:hAnsi="Arial" w:cs="Arial"/>
          <w:sz w:val="20"/>
          <w:szCs w:val="20"/>
        </w:rPr>
      </w:pPr>
      <w:r>
        <w:rPr>
          <w:rFonts w:ascii="Arial" w:hAnsi="Arial" w:cs="Arial"/>
          <w:color w:val="000000"/>
          <w:sz w:val="20"/>
          <w:szCs w:val="20"/>
        </w:rPr>
        <w:t> </w:t>
      </w:r>
      <w:r w:rsidRPr="00EA7B65">
        <w:rPr>
          <w:rFonts w:ascii="Arial" w:hAnsi="Arial" w:cs="Arial"/>
          <w:color w:val="000000"/>
          <w:sz w:val="20"/>
          <w:szCs w:val="20"/>
        </w:rPr>
        <w:t xml:space="preserve">A survey among GPs in the United Kingdom demonstrated that there are specific components to a high quality discharge summary and discharge planning (11). Medical school is the ideal place to teach this highly useful skill. Moreover, a patient being designated of belonging to an Alternative Level of Care (ALC) is important and is one most medical </w:t>
      </w:r>
      <w:proofErr w:type="gramStart"/>
      <w:r w:rsidRPr="00EA7B65">
        <w:rPr>
          <w:rFonts w:ascii="Arial" w:hAnsi="Arial" w:cs="Arial"/>
          <w:color w:val="000000"/>
          <w:sz w:val="20"/>
          <w:szCs w:val="20"/>
        </w:rPr>
        <w:t>students</w:t>
      </w:r>
      <w:proofErr w:type="gramEnd"/>
      <w:r w:rsidRPr="00EA7B65">
        <w:rPr>
          <w:rFonts w:ascii="Arial" w:hAnsi="Arial" w:cs="Arial"/>
          <w:color w:val="000000"/>
          <w:sz w:val="20"/>
          <w:szCs w:val="20"/>
        </w:rPr>
        <w:t xml:space="preserve"> will come across throughout their </w:t>
      </w:r>
      <w:r w:rsidRPr="00EA7B65">
        <w:rPr>
          <w:rFonts w:ascii="Arial" w:hAnsi="Arial" w:cs="Arial"/>
          <w:color w:val="000000"/>
          <w:sz w:val="20"/>
          <w:szCs w:val="20"/>
        </w:rPr>
        <w:lastRenderedPageBreak/>
        <w:t xml:space="preserve">clerkship. However, the Wait Time Alliance’s 2015 report identifies several examples, such as the lack of data on wait times for specialist seniors’ care and the challenges in tracking alternate level-of-care (ALC) rates as there is no pan-Canadian definition of ALC at present (5). Explicitly teaching medical students about what it means to be </w:t>
      </w:r>
      <w:proofErr w:type="gramStart"/>
      <w:r w:rsidRPr="00EA7B65">
        <w:rPr>
          <w:rFonts w:ascii="Arial" w:hAnsi="Arial" w:cs="Arial"/>
          <w:color w:val="000000"/>
          <w:sz w:val="20"/>
          <w:szCs w:val="20"/>
        </w:rPr>
        <w:t>designated</w:t>
      </w:r>
      <w:proofErr w:type="gramEnd"/>
      <w:r w:rsidRPr="00EA7B65">
        <w:rPr>
          <w:rFonts w:ascii="Arial" w:hAnsi="Arial" w:cs="Arial"/>
          <w:color w:val="000000"/>
          <w:sz w:val="20"/>
          <w:szCs w:val="20"/>
        </w:rPr>
        <w:t xml:space="preserve"> as ALC can be an important step to developing this definition.</w:t>
      </w:r>
    </w:p>
    <w:p w14:paraId="1486DA2D" w14:textId="77777777" w:rsidR="00EA7B65" w:rsidRPr="00EA7B65" w:rsidRDefault="00EA7B65" w:rsidP="00EA7B65">
      <w:pPr>
        <w:rPr>
          <w:rFonts w:ascii="Arial" w:eastAsia="Times New Roman" w:hAnsi="Arial" w:cs="Arial"/>
          <w:sz w:val="20"/>
          <w:szCs w:val="20"/>
        </w:rPr>
      </w:pPr>
    </w:p>
    <w:p w14:paraId="146CAA58" w14:textId="77777777" w:rsidR="00EA7B65" w:rsidRPr="009D7A46" w:rsidRDefault="00EA7B65" w:rsidP="00EA7B65">
      <w:pPr>
        <w:pStyle w:val="NormalWeb"/>
        <w:spacing w:before="0" w:beforeAutospacing="0" w:after="0" w:afterAutospacing="0"/>
        <w:ind w:hanging="360"/>
        <w:rPr>
          <w:rFonts w:ascii="Arial" w:hAnsi="Arial" w:cs="Arial"/>
          <w:color w:val="FF0000"/>
          <w:sz w:val="20"/>
          <w:szCs w:val="20"/>
        </w:rPr>
      </w:pPr>
      <w:r w:rsidRPr="009D7A46">
        <w:rPr>
          <w:rFonts w:ascii="Arial" w:hAnsi="Arial" w:cs="Arial"/>
          <w:color w:val="FF0000"/>
          <w:sz w:val="20"/>
          <w:szCs w:val="20"/>
        </w:rPr>
        <w:t xml:space="preserve">g.     </w:t>
      </w:r>
      <w:r w:rsidRPr="009D7A46">
        <w:rPr>
          <w:rFonts w:ascii="Arial" w:hAnsi="Arial" w:cs="Arial"/>
          <w:b/>
          <w:bCs/>
          <w:color w:val="FF0000"/>
          <w:sz w:val="20"/>
          <w:szCs w:val="20"/>
        </w:rPr>
        <w:t>Provide students practical opportunities</w:t>
      </w:r>
      <w:r w:rsidRPr="009D7A46">
        <w:rPr>
          <w:rFonts w:ascii="Arial" w:hAnsi="Arial" w:cs="Arial"/>
          <w:color w:val="FF0000"/>
          <w:sz w:val="20"/>
          <w:szCs w:val="20"/>
        </w:rPr>
        <w:t xml:space="preserve">, including but not limited to: home visits (either in rural or urban communities) and interdisciplinary </w:t>
      </w:r>
      <w:proofErr w:type="spellStart"/>
      <w:r w:rsidRPr="009D7A46">
        <w:rPr>
          <w:rFonts w:ascii="Arial" w:hAnsi="Arial" w:cs="Arial"/>
          <w:color w:val="FF0000"/>
          <w:sz w:val="20"/>
          <w:szCs w:val="20"/>
        </w:rPr>
        <w:t>observerships</w:t>
      </w:r>
      <w:proofErr w:type="spellEnd"/>
      <w:r w:rsidRPr="009D7A46">
        <w:rPr>
          <w:rFonts w:ascii="Arial" w:hAnsi="Arial" w:cs="Arial"/>
          <w:color w:val="FF0000"/>
          <w:sz w:val="20"/>
          <w:szCs w:val="20"/>
        </w:rPr>
        <w:t>/rotations pertaining to care of the elderly.</w:t>
      </w:r>
    </w:p>
    <w:p w14:paraId="27CFBC13" w14:textId="77777777" w:rsidR="00EA7B65" w:rsidRPr="00EA7B65" w:rsidRDefault="00EA7B65" w:rsidP="00EA7B65">
      <w:pPr>
        <w:pStyle w:val="NormalWeb"/>
        <w:spacing w:before="0" w:beforeAutospacing="0" w:after="0" w:afterAutospacing="0"/>
        <w:rPr>
          <w:rFonts w:ascii="Arial" w:hAnsi="Arial" w:cs="Arial"/>
          <w:sz w:val="20"/>
          <w:szCs w:val="20"/>
        </w:rPr>
      </w:pPr>
      <w:r w:rsidRPr="00EA7B65">
        <w:rPr>
          <w:rFonts w:ascii="Arial" w:hAnsi="Arial" w:cs="Arial"/>
          <w:color w:val="000000"/>
          <w:sz w:val="20"/>
          <w:szCs w:val="20"/>
        </w:rPr>
        <w:t xml:space="preserve"> </w:t>
      </w:r>
    </w:p>
    <w:p w14:paraId="676EF107" w14:textId="77777777" w:rsidR="00EA7B65" w:rsidRPr="00EA7B65" w:rsidRDefault="00EA7B65" w:rsidP="00EA7B65">
      <w:pPr>
        <w:pStyle w:val="NormalWeb"/>
        <w:spacing w:before="0" w:beforeAutospacing="0" w:after="0" w:afterAutospacing="0"/>
        <w:ind w:left="284"/>
        <w:rPr>
          <w:rFonts w:ascii="Arial" w:hAnsi="Arial" w:cs="Arial"/>
          <w:sz w:val="20"/>
          <w:szCs w:val="20"/>
        </w:rPr>
      </w:pPr>
      <w:r w:rsidRPr="00EA7B65">
        <w:rPr>
          <w:rFonts w:ascii="Arial" w:hAnsi="Arial" w:cs="Arial"/>
          <w:color w:val="000000"/>
          <w:sz w:val="20"/>
          <w:szCs w:val="20"/>
        </w:rPr>
        <w:t>A renewed interest in medical education is needed to empower health professionals with the skills to care for an aging population. Seniors' care is currently not covered consistently by health professions programs, with a 2014 assessment finding that only half the programs surveyed included a required rotation in the field (12).</w:t>
      </w:r>
    </w:p>
    <w:p w14:paraId="2621885D" w14:textId="77777777" w:rsidR="00EA7B65" w:rsidRPr="00EA7B65" w:rsidRDefault="00EA7B65" w:rsidP="00EA7B65">
      <w:pPr>
        <w:rPr>
          <w:rFonts w:ascii="Arial" w:eastAsia="Times New Roman" w:hAnsi="Arial" w:cs="Arial"/>
          <w:sz w:val="20"/>
          <w:szCs w:val="20"/>
        </w:rPr>
      </w:pPr>
    </w:p>
    <w:p w14:paraId="4712F8BA" w14:textId="77777777" w:rsidR="00EA7B65" w:rsidRDefault="00EA7B65">
      <w:pPr>
        <w:rPr>
          <w:rFonts w:ascii="Arial" w:hAnsi="Arial" w:cs="Arial"/>
          <w:b/>
          <w:bCs/>
          <w:color w:val="000000"/>
          <w:sz w:val="20"/>
          <w:szCs w:val="20"/>
          <w:lang w:val="en-US"/>
        </w:rPr>
      </w:pPr>
      <w:r>
        <w:rPr>
          <w:rFonts w:ascii="Arial" w:hAnsi="Arial" w:cs="Arial"/>
          <w:b/>
          <w:bCs/>
          <w:color w:val="000000"/>
          <w:sz w:val="20"/>
          <w:szCs w:val="20"/>
        </w:rPr>
        <w:br w:type="page"/>
      </w:r>
    </w:p>
    <w:p w14:paraId="6F79240F" w14:textId="05AFDF37" w:rsidR="00EA7B65" w:rsidRPr="00742B27" w:rsidRDefault="00EA7B65" w:rsidP="00EA7B65">
      <w:pPr>
        <w:pStyle w:val="NormalWeb"/>
        <w:spacing w:before="0" w:beforeAutospacing="0" w:after="0" w:afterAutospacing="0"/>
        <w:rPr>
          <w:rFonts w:ascii="Arial" w:hAnsi="Arial" w:cs="Arial"/>
          <w:sz w:val="20"/>
          <w:szCs w:val="20"/>
        </w:rPr>
      </w:pPr>
      <w:r w:rsidRPr="00742B27">
        <w:rPr>
          <w:rFonts w:ascii="Arial" w:hAnsi="Arial" w:cs="Arial"/>
          <w:b/>
          <w:bCs/>
          <w:color w:val="000000"/>
          <w:sz w:val="20"/>
          <w:szCs w:val="20"/>
        </w:rPr>
        <w:lastRenderedPageBreak/>
        <w:t>REFERENCES</w:t>
      </w:r>
    </w:p>
    <w:p w14:paraId="15695035" w14:textId="77777777" w:rsidR="00EA7B65" w:rsidRPr="00742B27" w:rsidRDefault="00EA7B65" w:rsidP="00EA7B65">
      <w:pPr>
        <w:pStyle w:val="NormalWeb"/>
        <w:spacing w:before="0" w:beforeAutospacing="0" w:after="0" w:afterAutospacing="0"/>
        <w:rPr>
          <w:rFonts w:ascii="Arial" w:hAnsi="Arial" w:cs="Arial"/>
          <w:sz w:val="20"/>
          <w:szCs w:val="20"/>
        </w:rPr>
      </w:pPr>
      <w:r w:rsidRPr="00742B27">
        <w:rPr>
          <w:rFonts w:ascii="Arial" w:hAnsi="Arial" w:cs="Arial"/>
          <w:color w:val="000000"/>
          <w:sz w:val="20"/>
          <w:szCs w:val="20"/>
        </w:rPr>
        <w:t xml:space="preserve"> </w:t>
      </w:r>
    </w:p>
    <w:p w14:paraId="443E5EE5" w14:textId="3CD76692" w:rsidR="00EA7B65" w:rsidRPr="00742B27" w:rsidRDefault="00EA7B65" w:rsidP="00742B27">
      <w:pPr>
        <w:pStyle w:val="NormalWeb"/>
        <w:numPr>
          <w:ilvl w:val="0"/>
          <w:numId w:val="3"/>
        </w:numPr>
        <w:tabs>
          <w:tab w:val="clear" w:pos="720"/>
          <w:tab w:val="num" w:pos="426"/>
        </w:tabs>
        <w:spacing w:before="0" w:beforeAutospacing="0" w:after="160" w:afterAutospacing="0"/>
        <w:ind w:left="425" w:hanging="425"/>
        <w:textAlignment w:val="baseline"/>
        <w:rPr>
          <w:rFonts w:ascii="Arial" w:hAnsi="Arial" w:cs="Arial"/>
          <w:color w:val="000000"/>
          <w:sz w:val="20"/>
          <w:szCs w:val="20"/>
        </w:rPr>
      </w:pPr>
      <w:r w:rsidRPr="00742B27">
        <w:rPr>
          <w:rFonts w:ascii="Arial" w:hAnsi="Arial" w:cs="Arial"/>
          <w:color w:val="000000"/>
          <w:sz w:val="20"/>
          <w:szCs w:val="20"/>
        </w:rPr>
        <w:t>Core Competencies (Learning Outcomes) for Medical Students in Canada [Internet]. Canadian Geriatrics Society; 2018. Available from:</w:t>
      </w:r>
      <w:hyperlink r:id="rId19" w:history="1">
        <w:r w:rsidRPr="00742B27">
          <w:rPr>
            <w:rStyle w:val="Hyperlink"/>
            <w:rFonts w:ascii="Arial" w:hAnsi="Arial" w:cs="Arial"/>
            <w:color w:val="000000"/>
            <w:sz w:val="20"/>
            <w:szCs w:val="20"/>
          </w:rPr>
          <w:t xml:space="preserve"> </w:t>
        </w:r>
        <w:r w:rsidRPr="00742B27">
          <w:rPr>
            <w:rStyle w:val="Hyperlink"/>
            <w:rFonts w:ascii="Arial" w:hAnsi="Arial" w:cs="Arial"/>
            <w:color w:val="1155CC"/>
            <w:sz w:val="20"/>
            <w:szCs w:val="20"/>
          </w:rPr>
          <w:t>https://canadiangeriatrics.ca/undergraduate-competencies/</w:t>
        </w:r>
      </w:hyperlink>
    </w:p>
    <w:p w14:paraId="3EBF6844" w14:textId="74BFC001" w:rsidR="00EA7B65" w:rsidRPr="00742B27" w:rsidRDefault="00EA7B65" w:rsidP="00742B27">
      <w:pPr>
        <w:pStyle w:val="NormalWeb"/>
        <w:numPr>
          <w:ilvl w:val="0"/>
          <w:numId w:val="4"/>
        </w:numPr>
        <w:tabs>
          <w:tab w:val="num" w:pos="426"/>
        </w:tabs>
        <w:spacing w:before="0" w:beforeAutospacing="0" w:after="160" w:afterAutospacing="0"/>
        <w:ind w:left="425" w:hanging="425"/>
        <w:textAlignment w:val="baseline"/>
        <w:rPr>
          <w:rFonts w:ascii="Arial" w:hAnsi="Arial" w:cs="Arial"/>
          <w:color w:val="000000"/>
          <w:sz w:val="20"/>
          <w:szCs w:val="20"/>
        </w:rPr>
      </w:pPr>
      <w:proofErr w:type="spellStart"/>
      <w:r w:rsidRPr="00742B27">
        <w:rPr>
          <w:rFonts w:ascii="Arial" w:hAnsi="Arial" w:cs="Arial"/>
          <w:color w:val="000000"/>
          <w:sz w:val="20"/>
          <w:szCs w:val="20"/>
        </w:rPr>
        <w:t>Sinha</w:t>
      </w:r>
      <w:proofErr w:type="spellEnd"/>
      <w:r w:rsidRPr="00742B27">
        <w:rPr>
          <w:rFonts w:ascii="Arial" w:hAnsi="Arial" w:cs="Arial"/>
          <w:color w:val="000000"/>
          <w:sz w:val="20"/>
          <w:szCs w:val="20"/>
        </w:rPr>
        <w:t xml:space="preserve"> SK, Griffin B, Ringer T, </w:t>
      </w:r>
      <w:proofErr w:type="spellStart"/>
      <w:r w:rsidRPr="00742B27">
        <w:rPr>
          <w:rFonts w:ascii="Arial" w:hAnsi="Arial" w:cs="Arial"/>
          <w:color w:val="000000"/>
          <w:sz w:val="20"/>
          <w:szCs w:val="20"/>
        </w:rPr>
        <w:t>Reppas-Rindlisbacher</w:t>
      </w:r>
      <w:proofErr w:type="spellEnd"/>
      <w:r w:rsidRPr="00742B27">
        <w:rPr>
          <w:rFonts w:ascii="Arial" w:hAnsi="Arial" w:cs="Arial"/>
          <w:color w:val="000000"/>
          <w:sz w:val="20"/>
          <w:szCs w:val="20"/>
        </w:rPr>
        <w:t xml:space="preserve"> C, Stewart E, Wong I, et al. An Evidence Informed National Seniors' Strategy for Canada [Internet]. An Evidence Informed National Seniors' Strategy for Canada. Alliance for a National Seniors' Strategy; 2016 Jan. Available from:</w:t>
      </w:r>
      <w:hyperlink r:id="rId20" w:history="1">
        <w:r w:rsidRPr="00742B27">
          <w:rPr>
            <w:rStyle w:val="Hyperlink"/>
            <w:rFonts w:ascii="Arial" w:hAnsi="Arial" w:cs="Arial"/>
            <w:color w:val="000000"/>
            <w:sz w:val="20"/>
            <w:szCs w:val="20"/>
          </w:rPr>
          <w:t xml:space="preserve"> </w:t>
        </w:r>
      </w:hyperlink>
      <w:hyperlink r:id="rId21" w:history="1">
        <w:r w:rsidRPr="00742B27">
          <w:rPr>
            <w:rStyle w:val="Hyperlink"/>
            <w:rFonts w:ascii="Arial" w:hAnsi="Arial" w:cs="Arial"/>
            <w:color w:val="1155CC"/>
            <w:sz w:val="20"/>
            <w:szCs w:val="20"/>
          </w:rPr>
          <w:t>http://nationalseniorsstrategy.ca/wp-content/uploads/2016/10/National-Seniors-Strategy-Second-Edition.pd</w:t>
        </w:r>
      </w:hyperlink>
    </w:p>
    <w:p w14:paraId="0B829F5C" w14:textId="0DEFFBBB" w:rsidR="00EA7B65" w:rsidRPr="00742B27" w:rsidRDefault="00EA7B65" w:rsidP="00742B27">
      <w:pPr>
        <w:pStyle w:val="NormalWeb"/>
        <w:numPr>
          <w:ilvl w:val="0"/>
          <w:numId w:val="5"/>
        </w:numPr>
        <w:tabs>
          <w:tab w:val="num" w:pos="426"/>
        </w:tabs>
        <w:spacing w:before="0" w:beforeAutospacing="0" w:after="160" w:afterAutospacing="0"/>
        <w:ind w:left="425" w:hanging="425"/>
        <w:textAlignment w:val="baseline"/>
        <w:rPr>
          <w:rFonts w:ascii="Arial" w:hAnsi="Arial" w:cs="Arial"/>
          <w:color w:val="000000"/>
          <w:sz w:val="20"/>
          <w:szCs w:val="20"/>
        </w:rPr>
      </w:pPr>
      <w:r w:rsidRPr="00742B27">
        <w:rPr>
          <w:rFonts w:ascii="Arial" w:hAnsi="Arial" w:cs="Arial"/>
          <w:color w:val="000000"/>
          <w:sz w:val="20"/>
          <w:szCs w:val="20"/>
        </w:rPr>
        <w:t>Caregiver Allowance [Internet]. Ontario Caregiver Coalition. Ontario Caregiver Coalition; [cited 2019Mar2]. Available from:</w:t>
      </w:r>
      <w:hyperlink r:id="rId22" w:history="1">
        <w:r w:rsidRPr="00742B27">
          <w:rPr>
            <w:rStyle w:val="Hyperlink"/>
            <w:rFonts w:ascii="Arial" w:hAnsi="Arial" w:cs="Arial"/>
            <w:color w:val="000000"/>
            <w:sz w:val="20"/>
            <w:szCs w:val="20"/>
          </w:rPr>
          <w:t xml:space="preserve"> </w:t>
        </w:r>
        <w:r w:rsidRPr="00742B27">
          <w:rPr>
            <w:rStyle w:val="Hyperlink"/>
            <w:rFonts w:ascii="Arial" w:hAnsi="Arial" w:cs="Arial"/>
            <w:color w:val="1155CC"/>
            <w:sz w:val="20"/>
            <w:szCs w:val="20"/>
          </w:rPr>
          <w:t>http://www.ontariocaregivercoalition.ca/caregiver-allowance.html</w:t>
        </w:r>
      </w:hyperlink>
    </w:p>
    <w:p w14:paraId="7C4AAAAC" w14:textId="53362ED1" w:rsidR="00EA7B65" w:rsidRPr="00742B27" w:rsidRDefault="00EA7B65" w:rsidP="00742B27">
      <w:pPr>
        <w:pStyle w:val="NormalWeb"/>
        <w:numPr>
          <w:ilvl w:val="0"/>
          <w:numId w:val="6"/>
        </w:numPr>
        <w:tabs>
          <w:tab w:val="num" w:pos="426"/>
        </w:tabs>
        <w:spacing w:before="0" w:beforeAutospacing="0" w:after="160" w:afterAutospacing="0"/>
        <w:ind w:left="425" w:hanging="425"/>
        <w:textAlignment w:val="baseline"/>
        <w:rPr>
          <w:rFonts w:ascii="Arial" w:hAnsi="Arial" w:cs="Arial"/>
          <w:color w:val="000000"/>
          <w:sz w:val="20"/>
          <w:szCs w:val="20"/>
        </w:rPr>
      </w:pPr>
      <w:r w:rsidRPr="00742B27">
        <w:rPr>
          <w:rFonts w:ascii="Arial" w:hAnsi="Arial" w:cs="Arial"/>
          <w:color w:val="000000"/>
          <w:sz w:val="20"/>
          <w:szCs w:val="20"/>
        </w:rPr>
        <w:t>Canadian Caregiver Coalition [Internet]. A Canadian Caregiver Strategy. The Coalition; 2013 [cited 2019 Feb 18]. Available from:</w:t>
      </w:r>
      <w:hyperlink r:id="rId23" w:anchor="caregiver-strategy" w:history="1">
        <w:r w:rsidRPr="00742B27">
          <w:rPr>
            <w:rStyle w:val="Hyperlink"/>
            <w:rFonts w:ascii="Arial" w:hAnsi="Arial" w:cs="Arial"/>
            <w:color w:val="000000"/>
            <w:sz w:val="20"/>
            <w:szCs w:val="20"/>
          </w:rPr>
          <w:t xml:space="preserve"> </w:t>
        </w:r>
        <w:r w:rsidRPr="00742B27">
          <w:rPr>
            <w:rStyle w:val="Hyperlink"/>
            <w:rFonts w:ascii="Arial" w:hAnsi="Arial" w:cs="Arial"/>
            <w:color w:val="1155CC"/>
            <w:sz w:val="20"/>
            <w:szCs w:val="20"/>
          </w:rPr>
          <w:t>https://www.carerscanada.ca/priorities/#caregiver-strategy</w:t>
        </w:r>
      </w:hyperlink>
    </w:p>
    <w:p w14:paraId="4407ED9A" w14:textId="21AF6C57" w:rsidR="00EA7B65" w:rsidRPr="00742B27" w:rsidRDefault="00EA7B65" w:rsidP="00742B27">
      <w:pPr>
        <w:pStyle w:val="NormalWeb"/>
        <w:numPr>
          <w:ilvl w:val="0"/>
          <w:numId w:val="7"/>
        </w:numPr>
        <w:tabs>
          <w:tab w:val="num" w:pos="426"/>
        </w:tabs>
        <w:spacing w:before="0" w:beforeAutospacing="0" w:after="160" w:afterAutospacing="0"/>
        <w:ind w:left="425" w:hanging="425"/>
        <w:textAlignment w:val="baseline"/>
        <w:rPr>
          <w:rFonts w:ascii="Arial" w:hAnsi="Arial" w:cs="Arial"/>
          <w:color w:val="000000"/>
          <w:sz w:val="20"/>
          <w:szCs w:val="20"/>
        </w:rPr>
      </w:pPr>
      <w:r w:rsidRPr="00742B27">
        <w:rPr>
          <w:rFonts w:ascii="Arial" w:hAnsi="Arial" w:cs="Arial"/>
          <w:color w:val="000000"/>
          <w:sz w:val="20"/>
          <w:szCs w:val="20"/>
        </w:rPr>
        <w:t>Eliminating Code Gridlock in Canada's Health Care System: Wait Time Alliance Report Card 2015 [Internet]. Wait Time Alliance; 2015. Available from:</w:t>
      </w:r>
      <w:hyperlink r:id="rId24" w:history="1">
        <w:r w:rsidRPr="00742B27">
          <w:rPr>
            <w:rStyle w:val="Hyperlink"/>
            <w:rFonts w:ascii="Arial" w:hAnsi="Arial" w:cs="Arial"/>
            <w:color w:val="000000"/>
            <w:sz w:val="20"/>
            <w:szCs w:val="20"/>
          </w:rPr>
          <w:t xml:space="preserve"> </w:t>
        </w:r>
        <w:r w:rsidRPr="00742B27">
          <w:rPr>
            <w:rStyle w:val="Hyperlink"/>
            <w:rFonts w:ascii="Arial" w:hAnsi="Arial" w:cs="Arial"/>
            <w:color w:val="1155CC"/>
            <w:sz w:val="20"/>
            <w:szCs w:val="20"/>
          </w:rPr>
          <w:t>http://www.waittimealliance.ca/wp-content/uploads/2015/12/EN-FINAL-2015-WTA-Report-Card_REV.pdf</w:t>
        </w:r>
      </w:hyperlink>
    </w:p>
    <w:p w14:paraId="61F191B3" w14:textId="0211B312" w:rsidR="00EA7B65" w:rsidRPr="00742B27" w:rsidRDefault="00EA7B65" w:rsidP="00742B27">
      <w:pPr>
        <w:pStyle w:val="NormalWeb"/>
        <w:numPr>
          <w:ilvl w:val="0"/>
          <w:numId w:val="8"/>
        </w:numPr>
        <w:tabs>
          <w:tab w:val="num" w:pos="426"/>
        </w:tabs>
        <w:spacing w:before="0" w:beforeAutospacing="0" w:after="160" w:afterAutospacing="0"/>
        <w:ind w:left="425" w:hanging="425"/>
        <w:textAlignment w:val="baseline"/>
        <w:rPr>
          <w:rFonts w:ascii="Arial" w:hAnsi="Arial" w:cs="Arial"/>
          <w:color w:val="000000"/>
          <w:sz w:val="20"/>
          <w:szCs w:val="20"/>
        </w:rPr>
      </w:pPr>
      <w:r w:rsidRPr="00742B27">
        <w:rPr>
          <w:rFonts w:ascii="Arial" w:hAnsi="Arial" w:cs="Arial"/>
          <w:color w:val="000000"/>
          <w:sz w:val="20"/>
          <w:szCs w:val="20"/>
        </w:rPr>
        <w:t xml:space="preserve">Report on the Social Isolation of </w:t>
      </w:r>
      <w:proofErr w:type="gramStart"/>
      <w:r w:rsidRPr="00742B27">
        <w:rPr>
          <w:rFonts w:ascii="Arial" w:hAnsi="Arial" w:cs="Arial"/>
          <w:color w:val="000000"/>
          <w:sz w:val="20"/>
          <w:szCs w:val="20"/>
        </w:rPr>
        <w:t>Seniors</w:t>
      </w:r>
      <w:proofErr w:type="gramEnd"/>
      <w:r w:rsidRPr="00742B27">
        <w:rPr>
          <w:rFonts w:ascii="Arial" w:hAnsi="Arial" w:cs="Arial"/>
          <w:color w:val="000000"/>
          <w:sz w:val="20"/>
          <w:szCs w:val="20"/>
        </w:rPr>
        <w:t xml:space="preserve"> [Internet]. Government of Canada. Innovation, Science and Economic Development Canada; 2016 [cited 2019Mar3]. Available from:</w:t>
      </w:r>
      <w:hyperlink r:id="rId25" w:history="1">
        <w:r w:rsidRPr="00742B27">
          <w:rPr>
            <w:rStyle w:val="Hyperlink"/>
            <w:rFonts w:ascii="Arial" w:hAnsi="Arial" w:cs="Arial"/>
            <w:color w:val="000000"/>
            <w:sz w:val="20"/>
            <w:szCs w:val="20"/>
          </w:rPr>
          <w:t xml:space="preserve"> </w:t>
        </w:r>
        <w:r w:rsidRPr="00742B27">
          <w:rPr>
            <w:rStyle w:val="Hyperlink"/>
            <w:rFonts w:ascii="Arial" w:hAnsi="Arial" w:cs="Arial"/>
            <w:color w:val="1155CC"/>
            <w:sz w:val="20"/>
            <w:szCs w:val="20"/>
          </w:rPr>
          <w:t>https://www.canada.ca/en/national-seniors-council/programs/publications-reports/2014/social-isolation-seniors/page05.html</w:t>
        </w:r>
      </w:hyperlink>
    </w:p>
    <w:p w14:paraId="4E553797" w14:textId="0DFA4C6D" w:rsidR="00EA7B65" w:rsidRPr="00742B27" w:rsidRDefault="00EA7B65" w:rsidP="00742B27">
      <w:pPr>
        <w:pStyle w:val="NormalWeb"/>
        <w:numPr>
          <w:ilvl w:val="0"/>
          <w:numId w:val="9"/>
        </w:numPr>
        <w:tabs>
          <w:tab w:val="num" w:pos="426"/>
        </w:tabs>
        <w:spacing w:before="0" w:beforeAutospacing="0" w:after="160" w:afterAutospacing="0"/>
        <w:ind w:left="425" w:hanging="425"/>
        <w:textAlignment w:val="baseline"/>
        <w:rPr>
          <w:rFonts w:ascii="Arial" w:hAnsi="Arial" w:cs="Arial"/>
          <w:color w:val="000000"/>
          <w:sz w:val="20"/>
          <w:szCs w:val="20"/>
        </w:rPr>
      </w:pPr>
      <w:r w:rsidRPr="00742B27">
        <w:rPr>
          <w:rFonts w:ascii="Arial" w:hAnsi="Arial" w:cs="Arial"/>
          <w:color w:val="000000"/>
          <w:sz w:val="20"/>
          <w:szCs w:val="20"/>
        </w:rPr>
        <w:t>Towards an Age Friendly World [Internet]. Ageing and Life-Course. World Health Organization</w:t>
      </w:r>
      <w:proofErr w:type="gramStart"/>
      <w:r w:rsidRPr="00742B27">
        <w:rPr>
          <w:rFonts w:ascii="Arial" w:hAnsi="Arial" w:cs="Arial"/>
          <w:color w:val="000000"/>
          <w:sz w:val="20"/>
          <w:szCs w:val="20"/>
        </w:rPr>
        <w:t>;2019</w:t>
      </w:r>
      <w:proofErr w:type="gramEnd"/>
      <w:r w:rsidRPr="00742B27">
        <w:rPr>
          <w:rFonts w:ascii="Arial" w:hAnsi="Arial" w:cs="Arial"/>
          <w:color w:val="000000"/>
          <w:sz w:val="20"/>
          <w:szCs w:val="20"/>
        </w:rPr>
        <w:t xml:space="preserve"> [cited 2019Mar4]. Available from: </w:t>
      </w:r>
      <w:hyperlink r:id="rId26" w:history="1">
        <w:r w:rsidR="00742B27" w:rsidRPr="00742B27">
          <w:rPr>
            <w:rStyle w:val="Hyperlink"/>
            <w:rFonts w:ascii="Arial" w:hAnsi="Arial" w:cs="Arial"/>
            <w:sz w:val="20"/>
            <w:szCs w:val="20"/>
          </w:rPr>
          <w:t>https://www.who.int/ageing/en/</w:t>
        </w:r>
      </w:hyperlink>
      <w:r w:rsidR="00742B27" w:rsidRPr="00742B27">
        <w:rPr>
          <w:rFonts w:ascii="Arial" w:hAnsi="Arial" w:cs="Arial"/>
          <w:color w:val="000000"/>
          <w:sz w:val="20"/>
          <w:szCs w:val="20"/>
        </w:rPr>
        <w:t xml:space="preserve"> </w:t>
      </w:r>
    </w:p>
    <w:p w14:paraId="2EC6BE0B" w14:textId="6D39FD9F" w:rsidR="00EA7B65" w:rsidRPr="00742B27" w:rsidRDefault="00EA7B65" w:rsidP="00742B27">
      <w:pPr>
        <w:pStyle w:val="NormalWeb"/>
        <w:numPr>
          <w:ilvl w:val="0"/>
          <w:numId w:val="10"/>
        </w:numPr>
        <w:tabs>
          <w:tab w:val="num" w:pos="426"/>
        </w:tabs>
        <w:spacing w:before="0" w:beforeAutospacing="0" w:after="160" w:afterAutospacing="0"/>
        <w:ind w:left="425" w:hanging="425"/>
        <w:textAlignment w:val="baseline"/>
        <w:rPr>
          <w:rFonts w:ascii="Arial" w:hAnsi="Arial" w:cs="Arial"/>
          <w:color w:val="000000"/>
          <w:sz w:val="20"/>
          <w:szCs w:val="20"/>
        </w:rPr>
      </w:pPr>
      <w:proofErr w:type="spellStart"/>
      <w:r w:rsidRPr="00742B27">
        <w:rPr>
          <w:rFonts w:ascii="Arial" w:hAnsi="Arial" w:cs="Arial"/>
          <w:color w:val="000000"/>
          <w:sz w:val="20"/>
          <w:szCs w:val="20"/>
        </w:rPr>
        <w:t>BenefitsCanada</w:t>
      </w:r>
      <w:proofErr w:type="spellEnd"/>
      <w:r w:rsidRPr="00742B27">
        <w:rPr>
          <w:rFonts w:ascii="Arial" w:hAnsi="Arial" w:cs="Arial"/>
          <w:color w:val="000000"/>
          <w:sz w:val="20"/>
          <w:szCs w:val="20"/>
        </w:rPr>
        <w:t>. Trudeau says budget will commit to returning eligibility for OAS to 65 [Internet]. BenefitsCanada.com. Transcontinental Media G.P.; 2019 [cited 2019Mar9]. Available from:</w:t>
      </w:r>
      <w:hyperlink r:id="rId27" w:history="1">
        <w:r w:rsidRPr="00742B27">
          <w:rPr>
            <w:rStyle w:val="Hyperlink"/>
            <w:rFonts w:ascii="Arial" w:hAnsi="Arial" w:cs="Arial"/>
            <w:color w:val="000000"/>
            <w:sz w:val="20"/>
            <w:szCs w:val="20"/>
          </w:rPr>
          <w:t xml:space="preserve"> </w:t>
        </w:r>
        <w:r w:rsidRPr="00742B27">
          <w:rPr>
            <w:rStyle w:val="Hyperlink"/>
            <w:rFonts w:ascii="Arial" w:hAnsi="Arial" w:cs="Arial"/>
            <w:color w:val="1155CC"/>
            <w:sz w:val="20"/>
            <w:szCs w:val="20"/>
          </w:rPr>
          <w:t>https://www.benefitscanada.com/pensions/governance-law/trudeau-says-budget-will-commit-to-returning-eligibility-for-oas-to-65-78567</w:t>
        </w:r>
      </w:hyperlink>
    </w:p>
    <w:p w14:paraId="4C1DBA1B" w14:textId="52F1CDAE" w:rsidR="00EA7B65" w:rsidRPr="00742B27" w:rsidRDefault="00EA7B65" w:rsidP="00742B27">
      <w:pPr>
        <w:pStyle w:val="NormalWeb"/>
        <w:numPr>
          <w:ilvl w:val="0"/>
          <w:numId w:val="11"/>
        </w:numPr>
        <w:tabs>
          <w:tab w:val="num" w:pos="426"/>
        </w:tabs>
        <w:spacing w:before="0" w:beforeAutospacing="0" w:after="160" w:afterAutospacing="0"/>
        <w:ind w:left="425" w:hanging="425"/>
        <w:textAlignment w:val="baseline"/>
        <w:rPr>
          <w:rFonts w:ascii="Arial" w:hAnsi="Arial" w:cs="Arial"/>
          <w:color w:val="000000"/>
          <w:sz w:val="20"/>
          <w:szCs w:val="20"/>
        </w:rPr>
      </w:pPr>
      <w:r w:rsidRPr="00742B27">
        <w:rPr>
          <w:rFonts w:ascii="Arial" w:hAnsi="Arial" w:cs="Arial"/>
          <w:color w:val="222222"/>
          <w:sz w:val="20"/>
          <w:szCs w:val="20"/>
          <w:shd w:val="clear" w:color="auto" w:fill="FFFFFF"/>
        </w:rPr>
        <w:t>Budget 2018: Equality and Growth for a Strong Middle Class [Internet]. Government of Canada; 2018 Feb [cited 2019Apr12]. Available from:</w:t>
      </w:r>
      <w:hyperlink r:id="rId28" w:history="1">
        <w:r w:rsidRPr="00742B27">
          <w:rPr>
            <w:rStyle w:val="Hyperlink"/>
            <w:rFonts w:ascii="Arial" w:hAnsi="Arial" w:cs="Arial"/>
            <w:color w:val="222222"/>
            <w:sz w:val="20"/>
            <w:szCs w:val="20"/>
            <w:shd w:val="clear" w:color="auto" w:fill="FFFFFF"/>
          </w:rPr>
          <w:t xml:space="preserve"> </w:t>
        </w:r>
        <w:r w:rsidRPr="00742B27">
          <w:rPr>
            <w:rStyle w:val="Hyperlink"/>
            <w:rFonts w:ascii="Arial" w:hAnsi="Arial" w:cs="Arial"/>
            <w:color w:val="1155CC"/>
            <w:sz w:val="20"/>
            <w:szCs w:val="20"/>
            <w:shd w:val="clear" w:color="auto" w:fill="FFFFFF"/>
          </w:rPr>
          <w:t>https://www.budget.gc.ca/2018/docs/plan/toc-tdm-en.html</w:t>
        </w:r>
      </w:hyperlink>
    </w:p>
    <w:p w14:paraId="6C4C3FDB" w14:textId="36BB29DA" w:rsidR="00EA7B65" w:rsidRPr="00742B27" w:rsidRDefault="00EA7B65" w:rsidP="00742B27">
      <w:pPr>
        <w:pStyle w:val="NormalWeb"/>
        <w:numPr>
          <w:ilvl w:val="0"/>
          <w:numId w:val="12"/>
        </w:numPr>
        <w:tabs>
          <w:tab w:val="num" w:pos="426"/>
        </w:tabs>
        <w:spacing w:before="0" w:beforeAutospacing="0" w:after="160" w:afterAutospacing="0"/>
        <w:ind w:left="425" w:hanging="425"/>
        <w:textAlignment w:val="baseline"/>
        <w:rPr>
          <w:rFonts w:ascii="Arial" w:hAnsi="Arial" w:cs="Arial"/>
          <w:color w:val="000000"/>
          <w:sz w:val="20"/>
          <w:szCs w:val="20"/>
        </w:rPr>
      </w:pPr>
      <w:r w:rsidRPr="00742B27">
        <w:rPr>
          <w:rFonts w:ascii="Arial" w:hAnsi="Arial" w:cs="Arial"/>
          <w:color w:val="222222"/>
          <w:sz w:val="20"/>
          <w:szCs w:val="20"/>
          <w:shd w:val="clear" w:color="auto" w:fill="FFFFFF"/>
        </w:rPr>
        <w:t xml:space="preserve">Fraser HC, </w:t>
      </w:r>
      <w:proofErr w:type="spellStart"/>
      <w:r w:rsidRPr="00742B27">
        <w:rPr>
          <w:rFonts w:ascii="Arial" w:hAnsi="Arial" w:cs="Arial"/>
          <w:color w:val="222222"/>
          <w:sz w:val="20"/>
          <w:szCs w:val="20"/>
          <w:shd w:val="clear" w:color="auto" w:fill="FFFFFF"/>
        </w:rPr>
        <w:t>Kutner</w:t>
      </w:r>
      <w:proofErr w:type="spellEnd"/>
      <w:r w:rsidRPr="00742B27">
        <w:rPr>
          <w:rFonts w:ascii="Arial" w:hAnsi="Arial" w:cs="Arial"/>
          <w:color w:val="222222"/>
          <w:sz w:val="20"/>
          <w:szCs w:val="20"/>
          <w:shd w:val="clear" w:color="auto" w:fill="FFFFFF"/>
        </w:rPr>
        <w:t xml:space="preserve"> JS, Pfeifer MP. Senior medical students' perceptions of the adequacy of education on end-of-life issues. Journal of palliative medicine. 2001 Sep 1</w:t>
      </w:r>
      <w:proofErr w:type="gramStart"/>
      <w:r w:rsidRPr="00742B27">
        <w:rPr>
          <w:rFonts w:ascii="Arial" w:hAnsi="Arial" w:cs="Arial"/>
          <w:color w:val="222222"/>
          <w:sz w:val="20"/>
          <w:szCs w:val="20"/>
          <w:shd w:val="clear" w:color="auto" w:fill="FFFFFF"/>
        </w:rPr>
        <w:t>;4</w:t>
      </w:r>
      <w:proofErr w:type="gramEnd"/>
      <w:r w:rsidRPr="00742B27">
        <w:rPr>
          <w:rFonts w:ascii="Arial" w:hAnsi="Arial" w:cs="Arial"/>
          <w:color w:val="222222"/>
          <w:sz w:val="20"/>
          <w:szCs w:val="20"/>
          <w:shd w:val="clear" w:color="auto" w:fill="FFFFFF"/>
        </w:rPr>
        <w:t>(3):337-43.</w:t>
      </w:r>
    </w:p>
    <w:p w14:paraId="49881C3B" w14:textId="19259B8B" w:rsidR="00EA7B65" w:rsidRPr="00742B27" w:rsidRDefault="00EA7B65" w:rsidP="00742B27">
      <w:pPr>
        <w:pStyle w:val="NormalWeb"/>
        <w:numPr>
          <w:ilvl w:val="0"/>
          <w:numId w:val="13"/>
        </w:numPr>
        <w:tabs>
          <w:tab w:val="num" w:pos="426"/>
        </w:tabs>
        <w:spacing w:before="0" w:beforeAutospacing="0" w:after="160" w:afterAutospacing="0"/>
        <w:ind w:left="425" w:hanging="425"/>
        <w:textAlignment w:val="baseline"/>
        <w:rPr>
          <w:rFonts w:ascii="Arial" w:hAnsi="Arial" w:cs="Arial"/>
          <w:color w:val="000000"/>
          <w:sz w:val="20"/>
          <w:szCs w:val="20"/>
        </w:rPr>
      </w:pPr>
      <w:proofErr w:type="spellStart"/>
      <w:r w:rsidRPr="00742B27">
        <w:rPr>
          <w:rFonts w:ascii="Arial" w:hAnsi="Arial" w:cs="Arial"/>
          <w:color w:val="000000"/>
          <w:sz w:val="20"/>
          <w:szCs w:val="20"/>
        </w:rPr>
        <w:t>Yemm</w:t>
      </w:r>
      <w:proofErr w:type="spellEnd"/>
      <w:r w:rsidRPr="00742B27">
        <w:rPr>
          <w:rFonts w:ascii="Arial" w:hAnsi="Arial" w:cs="Arial"/>
          <w:color w:val="000000"/>
          <w:sz w:val="20"/>
          <w:szCs w:val="20"/>
        </w:rPr>
        <w:t xml:space="preserve"> R, Bhattacharya D, Wright D, Poland F. What constitutes a high quality discharge summary? </w:t>
      </w:r>
      <w:proofErr w:type="gramStart"/>
      <w:r w:rsidRPr="00742B27">
        <w:rPr>
          <w:rFonts w:ascii="Arial" w:hAnsi="Arial" w:cs="Arial"/>
          <w:color w:val="000000"/>
          <w:sz w:val="20"/>
          <w:szCs w:val="20"/>
        </w:rPr>
        <w:t>A comparison between the views of secondary and primary care</w:t>
      </w:r>
      <w:proofErr w:type="gramEnd"/>
      <w:r w:rsidRPr="00742B27">
        <w:rPr>
          <w:rFonts w:ascii="Arial" w:hAnsi="Arial" w:cs="Arial"/>
          <w:color w:val="000000"/>
          <w:sz w:val="20"/>
          <w:szCs w:val="20"/>
        </w:rPr>
        <w:t xml:space="preserve"> doctors. </w:t>
      </w:r>
      <w:proofErr w:type="spellStart"/>
      <w:r w:rsidRPr="00742B27">
        <w:rPr>
          <w:rFonts w:ascii="Arial" w:hAnsi="Arial" w:cs="Arial"/>
          <w:color w:val="000000"/>
          <w:sz w:val="20"/>
          <w:szCs w:val="20"/>
        </w:rPr>
        <w:t>Int</w:t>
      </w:r>
      <w:proofErr w:type="spellEnd"/>
      <w:r w:rsidRPr="00742B27">
        <w:rPr>
          <w:rFonts w:ascii="Arial" w:hAnsi="Arial" w:cs="Arial"/>
          <w:color w:val="000000"/>
          <w:sz w:val="20"/>
          <w:szCs w:val="20"/>
        </w:rPr>
        <w:t xml:space="preserve"> J Med Educ. 2014</w:t>
      </w:r>
      <w:proofErr w:type="gramStart"/>
      <w:r w:rsidRPr="00742B27">
        <w:rPr>
          <w:rFonts w:ascii="Arial" w:hAnsi="Arial" w:cs="Arial"/>
          <w:color w:val="000000"/>
          <w:sz w:val="20"/>
          <w:szCs w:val="20"/>
        </w:rPr>
        <w:t>;5:125</w:t>
      </w:r>
      <w:proofErr w:type="gramEnd"/>
      <w:r w:rsidRPr="00742B27">
        <w:rPr>
          <w:rFonts w:ascii="Arial" w:hAnsi="Arial" w:cs="Arial"/>
          <w:color w:val="000000"/>
          <w:sz w:val="20"/>
          <w:szCs w:val="20"/>
        </w:rPr>
        <w:t>–131.</w:t>
      </w:r>
    </w:p>
    <w:p w14:paraId="44EFF675" w14:textId="4DD5EDA7" w:rsidR="00A806F1" w:rsidRPr="00EA7B65" w:rsidRDefault="00EA7B65" w:rsidP="00742B27">
      <w:pPr>
        <w:pStyle w:val="NormalWeb"/>
        <w:numPr>
          <w:ilvl w:val="0"/>
          <w:numId w:val="13"/>
        </w:numPr>
        <w:tabs>
          <w:tab w:val="num" w:pos="426"/>
        </w:tabs>
        <w:spacing w:before="0" w:beforeAutospacing="0" w:after="160" w:afterAutospacing="0"/>
        <w:ind w:left="425" w:hanging="425"/>
        <w:textAlignment w:val="baseline"/>
        <w:rPr>
          <w:rFonts w:ascii="Arial" w:hAnsi="Arial" w:cs="Arial"/>
          <w:color w:val="000000"/>
          <w:sz w:val="20"/>
          <w:szCs w:val="20"/>
        </w:rPr>
      </w:pPr>
      <w:proofErr w:type="spellStart"/>
      <w:r w:rsidRPr="00742B27">
        <w:rPr>
          <w:rFonts w:ascii="Arial" w:eastAsia="Times New Roman" w:hAnsi="Arial" w:cs="Arial"/>
          <w:color w:val="000000"/>
          <w:sz w:val="20"/>
          <w:szCs w:val="20"/>
        </w:rPr>
        <w:t>McCleary</w:t>
      </w:r>
      <w:proofErr w:type="spellEnd"/>
      <w:r w:rsidRPr="00742B27">
        <w:rPr>
          <w:rFonts w:ascii="Arial" w:eastAsia="Times New Roman" w:hAnsi="Arial" w:cs="Arial"/>
          <w:color w:val="000000"/>
          <w:sz w:val="20"/>
          <w:szCs w:val="20"/>
        </w:rPr>
        <w:t xml:space="preserve"> L, </w:t>
      </w:r>
      <w:proofErr w:type="spellStart"/>
      <w:r w:rsidRPr="00742B27">
        <w:rPr>
          <w:rFonts w:ascii="Arial" w:eastAsia="Times New Roman" w:hAnsi="Arial" w:cs="Arial"/>
          <w:color w:val="000000"/>
          <w:sz w:val="20"/>
          <w:szCs w:val="20"/>
        </w:rPr>
        <w:t>Boscart</w:t>
      </w:r>
      <w:proofErr w:type="spellEnd"/>
      <w:r w:rsidRPr="00742B27">
        <w:rPr>
          <w:rFonts w:ascii="Arial" w:eastAsia="Times New Roman" w:hAnsi="Arial" w:cs="Arial"/>
          <w:color w:val="000000"/>
          <w:sz w:val="20"/>
          <w:szCs w:val="20"/>
        </w:rPr>
        <w:t xml:space="preserve"> V, Donahue P, Harvey K. Core Curricula for Entry-to-Practice Health and Social Care Worker Education in Ontario: Needs Assessment for the Council of Ontario Universities [Internet]. Council of Ontario Universities; 2014 Aug. Available from:</w:t>
      </w:r>
      <w:hyperlink r:id="rId29" w:history="1">
        <w:r w:rsidRPr="00742B27">
          <w:rPr>
            <w:rStyle w:val="Hyperlink"/>
            <w:rFonts w:ascii="Arial" w:eastAsia="Times New Roman" w:hAnsi="Arial" w:cs="Arial"/>
            <w:color w:val="000000"/>
            <w:sz w:val="20"/>
            <w:szCs w:val="20"/>
          </w:rPr>
          <w:t xml:space="preserve"> </w:t>
        </w:r>
        <w:r w:rsidRPr="00742B27">
          <w:rPr>
            <w:rStyle w:val="Hyperlink"/>
            <w:rFonts w:ascii="Arial" w:eastAsia="Times New Roman" w:hAnsi="Arial" w:cs="Arial"/>
            <w:color w:val="1155CC"/>
            <w:sz w:val="20"/>
            <w:szCs w:val="20"/>
          </w:rPr>
          <w:t>https://cou.ca/wp-content/uploads/2015/05/Core-Curricula-for-Entry-to-Practice-Health-and-Social-Care-Worker-Education-in-Ontario.pdf</w:t>
        </w:r>
      </w:hyperlink>
      <w:r w:rsidR="00742B27">
        <w:rPr>
          <w:rFonts w:ascii="Arial" w:eastAsia="Times New Roman" w:hAnsi="Arial" w:cs="Arial"/>
          <w:color w:val="000000"/>
          <w:sz w:val="20"/>
          <w:szCs w:val="20"/>
        </w:rPr>
        <w:tab/>
      </w:r>
      <w:r w:rsidR="009343A6" w:rsidRPr="00EA7B65">
        <w:rPr>
          <w:rFonts w:ascii="Arial" w:eastAsia="Times New Roman" w:hAnsi="Arial" w:cs="Arial"/>
          <w:color w:val="000000"/>
          <w:sz w:val="20"/>
          <w:szCs w:val="20"/>
        </w:rPr>
        <w:tab/>
      </w:r>
      <w:r w:rsidR="009343A6" w:rsidRPr="00EA7B65">
        <w:rPr>
          <w:rFonts w:ascii="Arial" w:eastAsia="Times New Roman" w:hAnsi="Arial" w:cs="Arial"/>
          <w:color w:val="000000"/>
          <w:sz w:val="20"/>
          <w:szCs w:val="20"/>
        </w:rPr>
        <w:tab/>
      </w:r>
    </w:p>
    <w:sectPr w:rsidR="00A806F1" w:rsidRPr="00EA7B65" w:rsidSect="00031652">
      <w:headerReference w:type="even" r:id="rId30"/>
      <w:headerReference w:type="default" r:id="rId31"/>
      <w:footerReference w:type="even" r:id="rId32"/>
      <w:footerReference w:type="default" r:id="rId33"/>
      <w:headerReference w:type="first" r:id="rId34"/>
      <w:footerReference w:type="first" r:id="rId35"/>
      <w:pgSz w:w="12240" w:h="15840"/>
      <w:pgMar w:top="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9CDE3" w14:textId="77777777" w:rsidR="00691EB8" w:rsidRDefault="00691EB8" w:rsidP="002607F2">
      <w:pPr>
        <w:spacing w:after="0" w:line="240" w:lineRule="auto"/>
      </w:pPr>
      <w:r>
        <w:separator/>
      </w:r>
    </w:p>
  </w:endnote>
  <w:endnote w:type="continuationSeparator" w:id="0">
    <w:p w14:paraId="1A5589B3" w14:textId="77777777" w:rsidR="00691EB8" w:rsidRDefault="00691EB8" w:rsidP="0026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FBEBC" w14:textId="77777777" w:rsidR="00691EB8" w:rsidRDefault="00691EB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61468" w14:textId="77777777" w:rsidR="00691EB8" w:rsidRDefault="00691EB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95960" w14:textId="77777777" w:rsidR="00691EB8" w:rsidRDefault="00691EB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9906A" w14:textId="77777777" w:rsidR="00691EB8" w:rsidRDefault="00691EB8">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EB3B6" w14:textId="77777777" w:rsidR="00691EB8" w:rsidRDefault="00691EB8">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9ADB0" w14:textId="77777777" w:rsidR="00691EB8" w:rsidRDefault="00691E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CE37E" w14:textId="77777777" w:rsidR="00691EB8" w:rsidRDefault="00691EB8" w:rsidP="002607F2">
      <w:pPr>
        <w:spacing w:after="0" w:line="240" w:lineRule="auto"/>
      </w:pPr>
      <w:r>
        <w:separator/>
      </w:r>
    </w:p>
  </w:footnote>
  <w:footnote w:type="continuationSeparator" w:id="0">
    <w:p w14:paraId="73F4761F" w14:textId="77777777" w:rsidR="00691EB8" w:rsidRDefault="00691EB8" w:rsidP="002607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A2002" w14:textId="77777777" w:rsidR="00691EB8" w:rsidRDefault="00691E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B627E" w14:textId="77777777" w:rsidR="00691EB8" w:rsidRDefault="00691EB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37FE4" w14:textId="77777777" w:rsidR="00691EB8" w:rsidRDefault="00691EB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EFED8" w14:textId="77777777" w:rsidR="00691EB8" w:rsidRDefault="00691EB8">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C2B03" w14:textId="77777777" w:rsidR="00691EB8" w:rsidRDefault="00691EB8">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B7AE2" w14:textId="77777777" w:rsidR="00691EB8" w:rsidRDefault="00691E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26B4"/>
    <w:multiLevelType w:val="hybridMultilevel"/>
    <w:tmpl w:val="1E5AE30E"/>
    <w:lvl w:ilvl="0" w:tplc="113EDAC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56E9C"/>
    <w:multiLevelType w:val="multilevel"/>
    <w:tmpl w:val="514AF9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776F8"/>
    <w:multiLevelType w:val="multilevel"/>
    <w:tmpl w:val="9486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C3EF2"/>
    <w:multiLevelType w:val="multilevel"/>
    <w:tmpl w:val="1B5E6D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4D151B"/>
    <w:multiLevelType w:val="multilevel"/>
    <w:tmpl w:val="C4F2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4F484E"/>
    <w:multiLevelType w:val="multilevel"/>
    <w:tmpl w:val="2C1469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BF548E"/>
    <w:multiLevelType w:val="multilevel"/>
    <w:tmpl w:val="048AA2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C54947"/>
    <w:multiLevelType w:val="multilevel"/>
    <w:tmpl w:val="D13EC9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8C7B8F"/>
    <w:multiLevelType w:val="multilevel"/>
    <w:tmpl w:val="D80A74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143C1D"/>
    <w:multiLevelType w:val="multilevel"/>
    <w:tmpl w:val="C460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5B01C2"/>
    <w:multiLevelType w:val="multilevel"/>
    <w:tmpl w:val="3C58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0E6E84"/>
    <w:multiLevelType w:val="multilevel"/>
    <w:tmpl w:val="13B42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A04E3F"/>
    <w:multiLevelType w:val="multilevel"/>
    <w:tmpl w:val="2E527B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1F6CC6"/>
    <w:multiLevelType w:val="multilevel"/>
    <w:tmpl w:val="86D61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491377"/>
    <w:multiLevelType w:val="multilevel"/>
    <w:tmpl w:val="E41E16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lvlOverride w:ilvl="0">
      <w:lvl w:ilvl="0">
        <w:numFmt w:val="lowerLetter"/>
        <w:lvlText w:val="%1."/>
        <w:lvlJc w:val="left"/>
      </w:lvl>
    </w:lvlOverride>
  </w:num>
  <w:num w:numId="3">
    <w:abstractNumId w:val="4"/>
  </w:num>
  <w:num w:numId="4">
    <w:abstractNumId w:val="11"/>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0"/>
  </w:num>
  <w:num w:numId="1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6F1"/>
    <w:rsid w:val="00031652"/>
    <w:rsid w:val="00047263"/>
    <w:rsid w:val="000728E3"/>
    <w:rsid w:val="001107FA"/>
    <w:rsid w:val="0017616A"/>
    <w:rsid w:val="00187C79"/>
    <w:rsid w:val="00224245"/>
    <w:rsid w:val="00244441"/>
    <w:rsid w:val="002579B5"/>
    <w:rsid w:val="002607F2"/>
    <w:rsid w:val="00272910"/>
    <w:rsid w:val="002D4F7D"/>
    <w:rsid w:val="003075B1"/>
    <w:rsid w:val="0040697B"/>
    <w:rsid w:val="004A5501"/>
    <w:rsid w:val="00503E11"/>
    <w:rsid w:val="00527586"/>
    <w:rsid w:val="00582001"/>
    <w:rsid w:val="006509BE"/>
    <w:rsid w:val="00691EB8"/>
    <w:rsid w:val="006E077B"/>
    <w:rsid w:val="006E4B44"/>
    <w:rsid w:val="00702A8B"/>
    <w:rsid w:val="00742B27"/>
    <w:rsid w:val="007937DA"/>
    <w:rsid w:val="00850770"/>
    <w:rsid w:val="00862409"/>
    <w:rsid w:val="00862CCD"/>
    <w:rsid w:val="009343A6"/>
    <w:rsid w:val="009912FA"/>
    <w:rsid w:val="009D7A46"/>
    <w:rsid w:val="009F4471"/>
    <w:rsid w:val="00A10022"/>
    <w:rsid w:val="00A50770"/>
    <w:rsid w:val="00A806F1"/>
    <w:rsid w:val="00AF3065"/>
    <w:rsid w:val="00B56024"/>
    <w:rsid w:val="00C77CE4"/>
    <w:rsid w:val="00CA0A3B"/>
    <w:rsid w:val="00CC40B4"/>
    <w:rsid w:val="00DD358B"/>
    <w:rsid w:val="00DF33FD"/>
    <w:rsid w:val="00DF7A19"/>
    <w:rsid w:val="00EA7B65"/>
    <w:rsid w:val="00FB36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DA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contextualSpacing/>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contextualSpacing/>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contextualSpacing/>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contextualSpacing/>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contextualSpacing/>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contextualSpacing/>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contextualSpacing/>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60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7F2"/>
  </w:style>
  <w:style w:type="paragraph" w:styleId="Footer">
    <w:name w:val="footer"/>
    <w:basedOn w:val="Normal"/>
    <w:link w:val="FooterChar"/>
    <w:uiPriority w:val="99"/>
    <w:unhideWhenUsed/>
    <w:rsid w:val="00260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7F2"/>
  </w:style>
  <w:style w:type="paragraph" w:styleId="NormalWeb">
    <w:name w:val="Normal (Web)"/>
    <w:basedOn w:val="Normal"/>
    <w:uiPriority w:val="99"/>
    <w:unhideWhenUsed/>
    <w:rsid w:val="00862CCD"/>
    <w:pPr>
      <w:spacing w:before="100" w:beforeAutospacing="1" w:after="100" w:afterAutospacing="1" w:line="240" w:lineRule="auto"/>
    </w:pPr>
    <w:rPr>
      <w:rFonts w:ascii="Times New Roman" w:hAnsi="Times New Roman" w:cs="Times New Roman"/>
      <w:sz w:val="24"/>
      <w:szCs w:val="24"/>
      <w:lang w:val="en-US"/>
    </w:rPr>
  </w:style>
  <w:style w:type="character" w:customStyle="1" w:styleId="apple-tab-span">
    <w:name w:val="apple-tab-span"/>
    <w:basedOn w:val="DefaultParagraphFont"/>
    <w:rsid w:val="009343A6"/>
  </w:style>
  <w:style w:type="character" w:styleId="Hyperlink">
    <w:name w:val="Hyperlink"/>
    <w:basedOn w:val="DefaultParagraphFont"/>
    <w:uiPriority w:val="99"/>
    <w:unhideWhenUsed/>
    <w:rsid w:val="009343A6"/>
    <w:rPr>
      <w:color w:val="0000FF"/>
      <w:u w:val="single"/>
    </w:rPr>
  </w:style>
  <w:style w:type="paragraph" w:styleId="ListParagraph">
    <w:name w:val="List Paragraph"/>
    <w:basedOn w:val="Normal"/>
    <w:uiPriority w:val="34"/>
    <w:qFormat/>
    <w:rsid w:val="00691E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contextualSpacing/>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contextualSpacing/>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contextualSpacing/>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contextualSpacing/>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contextualSpacing/>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contextualSpacing/>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contextualSpacing/>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60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7F2"/>
  </w:style>
  <w:style w:type="paragraph" w:styleId="Footer">
    <w:name w:val="footer"/>
    <w:basedOn w:val="Normal"/>
    <w:link w:val="FooterChar"/>
    <w:uiPriority w:val="99"/>
    <w:unhideWhenUsed/>
    <w:rsid w:val="00260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7F2"/>
  </w:style>
  <w:style w:type="paragraph" w:styleId="NormalWeb">
    <w:name w:val="Normal (Web)"/>
    <w:basedOn w:val="Normal"/>
    <w:uiPriority w:val="99"/>
    <w:unhideWhenUsed/>
    <w:rsid w:val="00862CCD"/>
    <w:pPr>
      <w:spacing w:before="100" w:beforeAutospacing="1" w:after="100" w:afterAutospacing="1" w:line="240" w:lineRule="auto"/>
    </w:pPr>
    <w:rPr>
      <w:rFonts w:ascii="Times New Roman" w:hAnsi="Times New Roman" w:cs="Times New Roman"/>
      <w:sz w:val="24"/>
      <w:szCs w:val="24"/>
      <w:lang w:val="en-US"/>
    </w:rPr>
  </w:style>
  <w:style w:type="character" w:customStyle="1" w:styleId="apple-tab-span">
    <w:name w:val="apple-tab-span"/>
    <w:basedOn w:val="DefaultParagraphFont"/>
    <w:rsid w:val="009343A6"/>
  </w:style>
  <w:style w:type="character" w:styleId="Hyperlink">
    <w:name w:val="Hyperlink"/>
    <w:basedOn w:val="DefaultParagraphFont"/>
    <w:uiPriority w:val="99"/>
    <w:unhideWhenUsed/>
    <w:rsid w:val="009343A6"/>
    <w:rPr>
      <w:color w:val="0000FF"/>
      <w:u w:val="single"/>
    </w:rPr>
  </w:style>
  <w:style w:type="paragraph" w:styleId="ListParagraph">
    <w:name w:val="List Paragraph"/>
    <w:basedOn w:val="Normal"/>
    <w:uiPriority w:val="34"/>
    <w:qFormat/>
    <w:rsid w:val="00691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6183">
      <w:bodyDiv w:val="1"/>
      <w:marLeft w:val="0"/>
      <w:marRight w:val="0"/>
      <w:marTop w:val="0"/>
      <w:marBottom w:val="0"/>
      <w:divBdr>
        <w:top w:val="none" w:sz="0" w:space="0" w:color="auto"/>
        <w:left w:val="none" w:sz="0" w:space="0" w:color="auto"/>
        <w:bottom w:val="none" w:sz="0" w:space="0" w:color="auto"/>
        <w:right w:val="none" w:sz="0" w:space="0" w:color="auto"/>
      </w:divBdr>
    </w:div>
    <w:div w:id="94831852">
      <w:bodyDiv w:val="1"/>
      <w:marLeft w:val="0"/>
      <w:marRight w:val="0"/>
      <w:marTop w:val="0"/>
      <w:marBottom w:val="0"/>
      <w:divBdr>
        <w:top w:val="none" w:sz="0" w:space="0" w:color="auto"/>
        <w:left w:val="none" w:sz="0" w:space="0" w:color="auto"/>
        <w:bottom w:val="none" w:sz="0" w:space="0" w:color="auto"/>
        <w:right w:val="none" w:sz="0" w:space="0" w:color="auto"/>
      </w:divBdr>
    </w:div>
    <w:div w:id="610429410">
      <w:bodyDiv w:val="1"/>
      <w:marLeft w:val="0"/>
      <w:marRight w:val="0"/>
      <w:marTop w:val="0"/>
      <w:marBottom w:val="0"/>
      <w:divBdr>
        <w:top w:val="none" w:sz="0" w:space="0" w:color="auto"/>
        <w:left w:val="none" w:sz="0" w:space="0" w:color="auto"/>
        <w:bottom w:val="none" w:sz="0" w:space="0" w:color="auto"/>
        <w:right w:val="none" w:sz="0" w:space="0" w:color="auto"/>
      </w:divBdr>
    </w:div>
    <w:div w:id="612514255">
      <w:bodyDiv w:val="1"/>
      <w:marLeft w:val="0"/>
      <w:marRight w:val="0"/>
      <w:marTop w:val="0"/>
      <w:marBottom w:val="0"/>
      <w:divBdr>
        <w:top w:val="none" w:sz="0" w:space="0" w:color="auto"/>
        <w:left w:val="none" w:sz="0" w:space="0" w:color="auto"/>
        <w:bottom w:val="none" w:sz="0" w:space="0" w:color="auto"/>
        <w:right w:val="none" w:sz="0" w:space="0" w:color="auto"/>
      </w:divBdr>
    </w:div>
    <w:div w:id="675809896">
      <w:bodyDiv w:val="1"/>
      <w:marLeft w:val="0"/>
      <w:marRight w:val="0"/>
      <w:marTop w:val="0"/>
      <w:marBottom w:val="0"/>
      <w:divBdr>
        <w:top w:val="none" w:sz="0" w:space="0" w:color="auto"/>
        <w:left w:val="none" w:sz="0" w:space="0" w:color="auto"/>
        <w:bottom w:val="none" w:sz="0" w:space="0" w:color="auto"/>
        <w:right w:val="none" w:sz="0" w:space="0" w:color="auto"/>
      </w:divBdr>
    </w:div>
    <w:div w:id="978992952">
      <w:bodyDiv w:val="1"/>
      <w:marLeft w:val="0"/>
      <w:marRight w:val="0"/>
      <w:marTop w:val="0"/>
      <w:marBottom w:val="0"/>
      <w:divBdr>
        <w:top w:val="none" w:sz="0" w:space="0" w:color="auto"/>
        <w:left w:val="none" w:sz="0" w:space="0" w:color="auto"/>
        <w:bottom w:val="none" w:sz="0" w:space="0" w:color="auto"/>
        <w:right w:val="none" w:sz="0" w:space="0" w:color="auto"/>
      </w:divBdr>
    </w:div>
    <w:div w:id="1602444839">
      <w:bodyDiv w:val="1"/>
      <w:marLeft w:val="0"/>
      <w:marRight w:val="0"/>
      <w:marTop w:val="0"/>
      <w:marBottom w:val="0"/>
      <w:divBdr>
        <w:top w:val="none" w:sz="0" w:space="0" w:color="auto"/>
        <w:left w:val="none" w:sz="0" w:space="0" w:color="auto"/>
        <w:bottom w:val="none" w:sz="0" w:space="0" w:color="auto"/>
        <w:right w:val="none" w:sz="0" w:space="0" w:color="auto"/>
      </w:divBdr>
    </w:div>
    <w:div w:id="1855915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nationalseniorsstrategy.ca/wp-content/uploads/2016/10/National-Seniors-Strategy-Second-Edition.pdf" TargetMode="External"/><Relationship Id="rId21" Type="http://schemas.openxmlformats.org/officeDocument/2006/relationships/hyperlink" Target="http://nationalseniorsstrategy.ca/wp-content/uploads/2016/10/National-Seniors-Strategy-Second-Edition.pd" TargetMode="External"/><Relationship Id="rId22" Type="http://schemas.openxmlformats.org/officeDocument/2006/relationships/hyperlink" Target="http://www.ontariocaregivercoalition.ca/caregiver-allowance.html" TargetMode="External"/><Relationship Id="rId23" Type="http://schemas.openxmlformats.org/officeDocument/2006/relationships/hyperlink" Target="https://www.carerscanada.ca/priorities/" TargetMode="External"/><Relationship Id="rId24" Type="http://schemas.openxmlformats.org/officeDocument/2006/relationships/hyperlink" Target="http://www.waittimealliance.ca/wp-content/uploads/2015/12/EN-FINAL-2015-WTA-Report-Card_REV.pdf" TargetMode="External"/><Relationship Id="rId25" Type="http://schemas.openxmlformats.org/officeDocument/2006/relationships/hyperlink" Target="https://www.canada.ca/en/national-seniors-council/programs/publications-reports/2014/social-isolation-seniors/page05.html" TargetMode="External"/><Relationship Id="rId26" Type="http://schemas.openxmlformats.org/officeDocument/2006/relationships/hyperlink" Target="https://www.who.int/ageing/en/" TargetMode="External"/><Relationship Id="rId27" Type="http://schemas.openxmlformats.org/officeDocument/2006/relationships/hyperlink" Target="https://www.benefitscanada.com/pensions/governance-law/trudeau-says-budget-will-commit-to-returning-eligibility-for-oas-to-65-78567" TargetMode="External"/><Relationship Id="rId28" Type="http://schemas.openxmlformats.org/officeDocument/2006/relationships/hyperlink" Target="https://www.budget.gc.ca/2018/docs/plan/toc-tdm-en.html" TargetMode="External"/><Relationship Id="rId29" Type="http://schemas.openxmlformats.org/officeDocument/2006/relationships/hyperlink" Target="https://cou.ca/wp-content/uploads/2015/05/Core-Curricula-for-Entry-to-Practice-Health-and-Social-Care-Worker-Education-in-Ontario.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4.xml"/><Relationship Id="rId31" Type="http://schemas.openxmlformats.org/officeDocument/2006/relationships/header" Target="header5.xml"/><Relationship Id="rId32" Type="http://schemas.openxmlformats.org/officeDocument/2006/relationships/footer" Target="footer4.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5.xml"/><Relationship Id="rId34" Type="http://schemas.openxmlformats.org/officeDocument/2006/relationships/header" Target="header6.xml"/><Relationship Id="rId35" Type="http://schemas.openxmlformats.org/officeDocument/2006/relationships/footer" Target="footer6.xml"/><Relationship Id="rId36"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yperlink" Target="mailto:info@residentdoctors.ca" TargetMode="External"/><Relationship Id="rId19" Type="http://schemas.openxmlformats.org/officeDocument/2006/relationships/hyperlink" Target="https://canadiangeriatrics.ca/undergraduate-competencies/"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2826</Words>
  <Characters>16111</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Sachin Pasricha</cp:lastModifiedBy>
  <cp:revision>18</cp:revision>
  <dcterms:created xsi:type="dcterms:W3CDTF">2019-04-12T17:06:00Z</dcterms:created>
  <dcterms:modified xsi:type="dcterms:W3CDTF">2019-04-12T18:30:00Z</dcterms:modified>
</cp:coreProperties>
</file>