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7539" w14:textId="0BA4FE5E" w:rsidR="00876325" w:rsidRPr="00CD4DCA" w:rsidRDefault="00F23829" w:rsidP="00EF23CF">
      <w:pPr>
        <w:jc w:val="center"/>
        <w:rPr>
          <w:b/>
          <w:bCs/>
          <w:sz w:val="72"/>
          <w:szCs w:val="72"/>
        </w:rPr>
      </w:pPr>
      <w:r w:rsidRPr="00CD4DCA">
        <w:rPr>
          <w:rFonts w:ascii="Bauhaus 93" w:hAnsi="Bauhaus 93"/>
          <w:noProof/>
          <w:color w:val="000000" w:themeColor="text1"/>
          <w:sz w:val="32"/>
          <w:lang w:eastAsia="en-AU"/>
        </w:rPr>
        <w:drawing>
          <wp:inline distT="0" distB="0" distL="0" distR="0" wp14:anchorId="53BF10BF" wp14:editId="63F25CDB">
            <wp:extent cx="5731510" cy="1806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inline>
        </w:drawing>
      </w:r>
    </w:p>
    <w:p w14:paraId="4BA739CD" w14:textId="54326C45" w:rsidR="00EF23CF" w:rsidRPr="00CD4DCA" w:rsidRDefault="00EF23CF" w:rsidP="00EF23CF">
      <w:pPr>
        <w:jc w:val="center"/>
        <w:rPr>
          <w:b/>
          <w:bCs/>
          <w:sz w:val="72"/>
          <w:szCs w:val="72"/>
        </w:rPr>
      </w:pPr>
      <w:r w:rsidRPr="00CD4DCA">
        <w:rPr>
          <w:b/>
          <w:bCs/>
          <w:sz w:val="72"/>
          <w:szCs w:val="72"/>
        </w:rPr>
        <w:t>Evaluating Virtualisation Platforms</w:t>
      </w:r>
    </w:p>
    <w:p w14:paraId="080AF589" w14:textId="1547DB0D" w:rsidR="00911165" w:rsidRPr="00CD4DCA" w:rsidRDefault="00911165" w:rsidP="00EF23CF">
      <w:pPr>
        <w:jc w:val="center"/>
        <w:rPr>
          <w:b/>
          <w:bCs/>
          <w:sz w:val="44"/>
          <w:szCs w:val="52"/>
        </w:rPr>
      </w:pPr>
    </w:p>
    <w:p w14:paraId="1504A9FB" w14:textId="77777777" w:rsidR="00911165" w:rsidRPr="00CD4DCA" w:rsidRDefault="00911165" w:rsidP="00EF23CF">
      <w:pPr>
        <w:jc w:val="center"/>
        <w:rPr>
          <w:b/>
          <w:bCs/>
          <w:sz w:val="44"/>
          <w:szCs w:val="52"/>
        </w:rPr>
      </w:pPr>
    </w:p>
    <w:p w14:paraId="7B5C35D7" w14:textId="77777777" w:rsidR="00911165" w:rsidRPr="00CD4DCA" w:rsidRDefault="00911165" w:rsidP="00EF23CF">
      <w:pPr>
        <w:jc w:val="center"/>
        <w:rPr>
          <w:b/>
          <w:bCs/>
          <w:sz w:val="44"/>
          <w:szCs w:val="52"/>
        </w:rPr>
      </w:pPr>
    </w:p>
    <w:p w14:paraId="2A2689E4" w14:textId="77777777" w:rsidR="00911165" w:rsidRPr="00CD4DCA" w:rsidRDefault="00911165" w:rsidP="00EF23CF">
      <w:pPr>
        <w:jc w:val="center"/>
        <w:rPr>
          <w:b/>
          <w:bCs/>
          <w:sz w:val="44"/>
          <w:szCs w:val="52"/>
        </w:rPr>
      </w:pPr>
    </w:p>
    <w:p w14:paraId="378CFE8E" w14:textId="77777777" w:rsidR="00911165" w:rsidRPr="00CD4DCA" w:rsidRDefault="00911165" w:rsidP="00EF23CF">
      <w:pPr>
        <w:jc w:val="center"/>
        <w:rPr>
          <w:b/>
          <w:bCs/>
          <w:sz w:val="44"/>
          <w:szCs w:val="52"/>
        </w:rPr>
      </w:pPr>
    </w:p>
    <w:p w14:paraId="3B60F7C6" w14:textId="77777777" w:rsidR="00911165" w:rsidRPr="00CD4DCA" w:rsidRDefault="00911165" w:rsidP="00EF23CF">
      <w:pPr>
        <w:jc w:val="center"/>
        <w:rPr>
          <w:b/>
          <w:bCs/>
          <w:sz w:val="44"/>
          <w:szCs w:val="52"/>
        </w:rPr>
      </w:pPr>
    </w:p>
    <w:p w14:paraId="48A68DED" w14:textId="77777777" w:rsidR="00911165" w:rsidRPr="00CD4DCA" w:rsidRDefault="00911165" w:rsidP="00EF23CF">
      <w:pPr>
        <w:jc w:val="center"/>
        <w:rPr>
          <w:b/>
          <w:bCs/>
          <w:sz w:val="44"/>
          <w:szCs w:val="52"/>
        </w:rPr>
      </w:pPr>
    </w:p>
    <w:p w14:paraId="5EE3F60C" w14:textId="77777777" w:rsidR="00911165" w:rsidRPr="00CD4DCA" w:rsidRDefault="00911165" w:rsidP="00EF23CF">
      <w:pPr>
        <w:jc w:val="center"/>
        <w:rPr>
          <w:b/>
          <w:bCs/>
          <w:sz w:val="44"/>
          <w:szCs w:val="52"/>
        </w:rPr>
      </w:pPr>
    </w:p>
    <w:p w14:paraId="73C768A5" w14:textId="77777777" w:rsidR="00911165" w:rsidRPr="00CD4DCA" w:rsidRDefault="00911165" w:rsidP="00EF23CF">
      <w:pPr>
        <w:jc w:val="center"/>
        <w:rPr>
          <w:b/>
          <w:bCs/>
          <w:sz w:val="44"/>
          <w:szCs w:val="52"/>
        </w:rPr>
      </w:pPr>
    </w:p>
    <w:p w14:paraId="5A4F24C1" w14:textId="03DBB67F" w:rsidR="00EF23CF" w:rsidRPr="00CD4DCA" w:rsidRDefault="00EF23CF" w:rsidP="00EF23CF">
      <w:pPr>
        <w:rPr>
          <w:sz w:val="24"/>
          <w:szCs w:val="32"/>
        </w:rPr>
      </w:pPr>
      <w:r w:rsidRPr="00CD4DCA">
        <w:rPr>
          <w:b/>
          <w:bCs/>
          <w:sz w:val="24"/>
          <w:szCs w:val="32"/>
        </w:rPr>
        <w:t>Name</w:t>
      </w:r>
      <w:r w:rsidRPr="00CD4DCA">
        <w:rPr>
          <w:sz w:val="24"/>
          <w:szCs w:val="32"/>
        </w:rPr>
        <w:t>: Thong Thao</w:t>
      </w:r>
    </w:p>
    <w:p w14:paraId="314D5938" w14:textId="2A91E6D4" w:rsidR="00EF23CF" w:rsidRPr="00CD4DCA" w:rsidRDefault="00EF23CF" w:rsidP="00EF23CF">
      <w:pPr>
        <w:rPr>
          <w:sz w:val="24"/>
          <w:szCs w:val="32"/>
        </w:rPr>
      </w:pPr>
      <w:r w:rsidRPr="00CD4DCA">
        <w:rPr>
          <w:b/>
          <w:bCs/>
          <w:sz w:val="24"/>
          <w:szCs w:val="32"/>
        </w:rPr>
        <w:t>Student ID</w:t>
      </w:r>
      <w:r w:rsidRPr="00CD4DCA">
        <w:rPr>
          <w:sz w:val="24"/>
          <w:szCs w:val="32"/>
        </w:rPr>
        <w:t>: 474587265</w:t>
      </w:r>
    </w:p>
    <w:p w14:paraId="04D7CA8F" w14:textId="3E5C5ADD" w:rsidR="00590A73" w:rsidRPr="00CD4DCA" w:rsidRDefault="00EF23CF" w:rsidP="00EF23CF">
      <w:pPr>
        <w:rPr>
          <w:sz w:val="24"/>
          <w:szCs w:val="32"/>
        </w:rPr>
      </w:pPr>
      <w:r w:rsidRPr="00CD4DCA">
        <w:rPr>
          <w:b/>
          <w:bCs/>
          <w:sz w:val="24"/>
          <w:szCs w:val="32"/>
        </w:rPr>
        <w:t>Date</w:t>
      </w:r>
      <w:r w:rsidRPr="00CD4DCA">
        <w:rPr>
          <w:sz w:val="24"/>
          <w:szCs w:val="32"/>
        </w:rPr>
        <w:t xml:space="preserve">: </w:t>
      </w:r>
      <w:r w:rsidR="006E171D">
        <w:rPr>
          <w:sz w:val="24"/>
          <w:szCs w:val="32"/>
        </w:rPr>
        <w:t>29</w:t>
      </w:r>
      <w:r w:rsidR="001733F1" w:rsidRPr="00CD4DCA">
        <w:rPr>
          <w:sz w:val="24"/>
          <w:szCs w:val="32"/>
        </w:rPr>
        <w:t>/1</w:t>
      </w:r>
      <w:r w:rsidR="008325AE">
        <w:rPr>
          <w:sz w:val="24"/>
          <w:szCs w:val="32"/>
        </w:rPr>
        <w:t>1</w:t>
      </w:r>
      <w:r w:rsidR="001733F1" w:rsidRPr="00CD4DCA">
        <w:rPr>
          <w:sz w:val="24"/>
          <w:szCs w:val="32"/>
        </w:rPr>
        <w:t>/2023</w:t>
      </w:r>
    </w:p>
    <w:p w14:paraId="60F838C1" w14:textId="77777777" w:rsidR="00590A73" w:rsidRPr="00CD4DCA" w:rsidRDefault="00590A73">
      <w:pPr>
        <w:rPr>
          <w:sz w:val="24"/>
          <w:szCs w:val="32"/>
        </w:rPr>
      </w:pPr>
      <w:r w:rsidRPr="00CD4DCA">
        <w:rPr>
          <w:sz w:val="24"/>
          <w:szCs w:val="32"/>
        </w:rPr>
        <w:br w:type="page"/>
      </w:r>
    </w:p>
    <w:bookmarkStart w:id="0" w:name="_Toc152168490" w:displacedByCustomXml="next"/>
    <w:sdt>
      <w:sdtPr>
        <w:rPr>
          <w:rFonts w:asciiTheme="minorHAnsi" w:eastAsiaTheme="minorHAnsi" w:hAnsiTheme="minorHAnsi" w:cstheme="minorBidi"/>
          <w:color w:val="auto"/>
          <w:kern w:val="2"/>
          <w:sz w:val="22"/>
          <w:szCs w:val="28"/>
          <w:lang w:val="en-AU" w:bidi="th-TH"/>
          <w14:ligatures w14:val="standardContextual"/>
        </w:rPr>
        <w:id w:val="562919942"/>
        <w:docPartObj>
          <w:docPartGallery w:val="Table of Contents"/>
          <w:docPartUnique/>
        </w:docPartObj>
      </w:sdtPr>
      <w:sdtEndPr>
        <w:rPr>
          <w:b/>
          <w:bCs/>
        </w:rPr>
      </w:sdtEndPr>
      <w:sdtContent>
        <w:p w14:paraId="5A887CCE" w14:textId="160D2166" w:rsidR="00590EDD" w:rsidRPr="00CD4DCA" w:rsidRDefault="00590EDD" w:rsidP="00394D0B">
          <w:pPr>
            <w:pStyle w:val="TOCHeading"/>
            <w:jc w:val="center"/>
            <w:outlineLvl w:val="0"/>
            <w:rPr>
              <w:b/>
              <w:bCs/>
              <w:lang w:val="en-AU"/>
            </w:rPr>
          </w:pPr>
          <w:r w:rsidRPr="00CD4DCA">
            <w:rPr>
              <w:b/>
              <w:bCs/>
              <w:lang w:val="en-AU"/>
            </w:rPr>
            <w:t>Contents</w:t>
          </w:r>
          <w:bookmarkEnd w:id="0"/>
        </w:p>
        <w:p w14:paraId="1755C3B1" w14:textId="0C397544" w:rsidR="00987773" w:rsidRDefault="00590EDD">
          <w:pPr>
            <w:pStyle w:val="TOC1"/>
            <w:tabs>
              <w:tab w:val="right" w:leader="dot" w:pos="9016"/>
            </w:tabs>
            <w:rPr>
              <w:rFonts w:eastAsiaTheme="minorEastAsia"/>
              <w:noProof/>
              <w:lang w:val="en-US"/>
            </w:rPr>
          </w:pPr>
          <w:r w:rsidRPr="00CD4DCA">
            <w:fldChar w:fldCharType="begin"/>
          </w:r>
          <w:r w:rsidRPr="00CD4DCA">
            <w:instrText xml:space="preserve"> TOC \o "1-3" \h \z \u </w:instrText>
          </w:r>
          <w:r w:rsidRPr="00CD4DCA">
            <w:fldChar w:fldCharType="separate"/>
          </w:r>
          <w:hyperlink w:anchor="_Toc152168490" w:history="1">
            <w:r w:rsidR="00987773" w:rsidRPr="00994542">
              <w:rPr>
                <w:rStyle w:val="Hyperlink"/>
                <w:b/>
                <w:bCs/>
                <w:noProof/>
                <w:lang w:bidi="ar-SA"/>
              </w:rPr>
              <w:t>Contents</w:t>
            </w:r>
            <w:r w:rsidR="00987773">
              <w:rPr>
                <w:noProof/>
                <w:webHidden/>
              </w:rPr>
              <w:tab/>
            </w:r>
            <w:r w:rsidR="00987773">
              <w:rPr>
                <w:noProof/>
                <w:webHidden/>
              </w:rPr>
              <w:fldChar w:fldCharType="begin"/>
            </w:r>
            <w:r w:rsidR="00987773">
              <w:rPr>
                <w:noProof/>
                <w:webHidden/>
              </w:rPr>
              <w:instrText xml:space="preserve"> PAGEREF _Toc152168490 \h </w:instrText>
            </w:r>
            <w:r w:rsidR="00987773">
              <w:rPr>
                <w:noProof/>
                <w:webHidden/>
              </w:rPr>
            </w:r>
            <w:r w:rsidR="00987773">
              <w:rPr>
                <w:noProof/>
                <w:webHidden/>
              </w:rPr>
              <w:fldChar w:fldCharType="separate"/>
            </w:r>
            <w:r w:rsidR="00987773">
              <w:rPr>
                <w:noProof/>
                <w:webHidden/>
              </w:rPr>
              <w:t>1</w:t>
            </w:r>
            <w:r w:rsidR="00987773">
              <w:rPr>
                <w:noProof/>
                <w:webHidden/>
              </w:rPr>
              <w:fldChar w:fldCharType="end"/>
            </w:r>
          </w:hyperlink>
        </w:p>
        <w:p w14:paraId="504109A8" w14:textId="0991C318" w:rsidR="00987773" w:rsidRDefault="00C91808">
          <w:pPr>
            <w:pStyle w:val="TOC1"/>
            <w:tabs>
              <w:tab w:val="right" w:leader="dot" w:pos="9016"/>
            </w:tabs>
            <w:rPr>
              <w:rFonts w:eastAsiaTheme="minorEastAsia"/>
              <w:noProof/>
              <w:lang w:val="en-US"/>
            </w:rPr>
          </w:pPr>
          <w:hyperlink w:anchor="_Toc152168491" w:history="1">
            <w:r w:rsidR="00987773" w:rsidRPr="00994542">
              <w:rPr>
                <w:rStyle w:val="Hyperlink"/>
                <w:noProof/>
                <w:lang w:bidi="hi-IN"/>
              </w:rPr>
              <w:t>PART 1 - Virtualisation Evaluation</w:t>
            </w:r>
            <w:r w:rsidR="00987773">
              <w:rPr>
                <w:noProof/>
                <w:webHidden/>
              </w:rPr>
              <w:tab/>
            </w:r>
            <w:r w:rsidR="00987773">
              <w:rPr>
                <w:noProof/>
                <w:webHidden/>
              </w:rPr>
              <w:fldChar w:fldCharType="begin"/>
            </w:r>
            <w:r w:rsidR="00987773">
              <w:rPr>
                <w:noProof/>
                <w:webHidden/>
              </w:rPr>
              <w:instrText xml:space="preserve"> PAGEREF _Toc152168491 \h </w:instrText>
            </w:r>
            <w:r w:rsidR="00987773">
              <w:rPr>
                <w:noProof/>
                <w:webHidden/>
              </w:rPr>
            </w:r>
            <w:r w:rsidR="00987773">
              <w:rPr>
                <w:noProof/>
                <w:webHidden/>
              </w:rPr>
              <w:fldChar w:fldCharType="separate"/>
            </w:r>
            <w:r w:rsidR="00987773">
              <w:rPr>
                <w:noProof/>
                <w:webHidden/>
              </w:rPr>
              <w:t>2</w:t>
            </w:r>
            <w:r w:rsidR="00987773">
              <w:rPr>
                <w:noProof/>
                <w:webHidden/>
              </w:rPr>
              <w:fldChar w:fldCharType="end"/>
            </w:r>
          </w:hyperlink>
        </w:p>
        <w:p w14:paraId="6A1C6040" w14:textId="0F323F8E" w:rsidR="00987773" w:rsidRDefault="00C91808">
          <w:pPr>
            <w:pStyle w:val="TOC2"/>
            <w:tabs>
              <w:tab w:val="left" w:pos="660"/>
              <w:tab w:val="right" w:leader="dot" w:pos="9016"/>
            </w:tabs>
            <w:rPr>
              <w:rFonts w:eastAsiaTheme="minorEastAsia"/>
              <w:noProof/>
              <w:lang w:val="en-US"/>
            </w:rPr>
          </w:pPr>
          <w:hyperlink w:anchor="_Toc152168492" w:history="1">
            <w:r w:rsidR="00987773" w:rsidRPr="00994542">
              <w:rPr>
                <w:rStyle w:val="Hyperlink"/>
                <w:noProof/>
                <w:lang w:bidi="hi-IN"/>
              </w:rPr>
              <w:t>1.</w:t>
            </w:r>
            <w:r w:rsidR="00987773">
              <w:rPr>
                <w:rFonts w:eastAsiaTheme="minorEastAsia"/>
                <w:noProof/>
                <w:lang w:val="en-US"/>
              </w:rPr>
              <w:tab/>
            </w:r>
            <w:r w:rsidR="00987773" w:rsidRPr="00994542">
              <w:rPr>
                <w:rStyle w:val="Hyperlink"/>
                <w:noProof/>
                <w:lang w:bidi="hi-IN"/>
              </w:rPr>
              <w:t>Evaluating Virtualisation Platforms</w:t>
            </w:r>
            <w:r w:rsidR="00987773">
              <w:rPr>
                <w:noProof/>
                <w:webHidden/>
              </w:rPr>
              <w:tab/>
            </w:r>
            <w:r w:rsidR="00987773">
              <w:rPr>
                <w:noProof/>
                <w:webHidden/>
              </w:rPr>
              <w:fldChar w:fldCharType="begin"/>
            </w:r>
            <w:r w:rsidR="00987773">
              <w:rPr>
                <w:noProof/>
                <w:webHidden/>
              </w:rPr>
              <w:instrText xml:space="preserve"> PAGEREF _Toc152168492 \h </w:instrText>
            </w:r>
            <w:r w:rsidR="00987773">
              <w:rPr>
                <w:noProof/>
                <w:webHidden/>
              </w:rPr>
            </w:r>
            <w:r w:rsidR="00987773">
              <w:rPr>
                <w:noProof/>
                <w:webHidden/>
              </w:rPr>
              <w:fldChar w:fldCharType="separate"/>
            </w:r>
            <w:r w:rsidR="00987773">
              <w:rPr>
                <w:noProof/>
                <w:webHidden/>
              </w:rPr>
              <w:t>2</w:t>
            </w:r>
            <w:r w:rsidR="00987773">
              <w:rPr>
                <w:noProof/>
                <w:webHidden/>
              </w:rPr>
              <w:fldChar w:fldCharType="end"/>
            </w:r>
          </w:hyperlink>
        </w:p>
        <w:p w14:paraId="5DA55881" w14:textId="454D227F" w:rsidR="00987773" w:rsidRDefault="00C91808">
          <w:pPr>
            <w:pStyle w:val="TOC2"/>
            <w:tabs>
              <w:tab w:val="left" w:pos="660"/>
              <w:tab w:val="right" w:leader="dot" w:pos="9016"/>
            </w:tabs>
            <w:rPr>
              <w:rFonts w:eastAsiaTheme="minorEastAsia"/>
              <w:noProof/>
              <w:lang w:val="en-US"/>
            </w:rPr>
          </w:pPr>
          <w:hyperlink w:anchor="_Toc152168493" w:history="1">
            <w:r w:rsidR="00987773" w:rsidRPr="00994542">
              <w:rPr>
                <w:rStyle w:val="Hyperlink"/>
                <w:noProof/>
                <w:lang w:bidi="hi-IN"/>
              </w:rPr>
              <w:t>2.</w:t>
            </w:r>
            <w:r w:rsidR="00987773">
              <w:rPr>
                <w:rFonts w:eastAsiaTheme="minorEastAsia"/>
                <w:noProof/>
                <w:lang w:val="en-US"/>
              </w:rPr>
              <w:tab/>
            </w:r>
            <w:r w:rsidR="00987773" w:rsidRPr="00994542">
              <w:rPr>
                <w:rStyle w:val="Hyperlink"/>
                <w:noProof/>
                <w:lang w:bidi="hi-IN"/>
              </w:rPr>
              <w:t>Recommendation</w:t>
            </w:r>
            <w:r w:rsidR="00987773">
              <w:rPr>
                <w:noProof/>
                <w:webHidden/>
              </w:rPr>
              <w:tab/>
            </w:r>
            <w:r w:rsidR="00987773">
              <w:rPr>
                <w:noProof/>
                <w:webHidden/>
              </w:rPr>
              <w:fldChar w:fldCharType="begin"/>
            </w:r>
            <w:r w:rsidR="00987773">
              <w:rPr>
                <w:noProof/>
                <w:webHidden/>
              </w:rPr>
              <w:instrText xml:space="preserve"> PAGEREF _Toc152168493 \h </w:instrText>
            </w:r>
            <w:r w:rsidR="00987773">
              <w:rPr>
                <w:noProof/>
                <w:webHidden/>
              </w:rPr>
            </w:r>
            <w:r w:rsidR="00987773">
              <w:rPr>
                <w:noProof/>
                <w:webHidden/>
              </w:rPr>
              <w:fldChar w:fldCharType="separate"/>
            </w:r>
            <w:r w:rsidR="00987773">
              <w:rPr>
                <w:noProof/>
                <w:webHidden/>
              </w:rPr>
              <w:t>3</w:t>
            </w:r>
            <w:r w:rsidR="00987773">
              <w:rPr>
                <w:noProof/>
                <w:webHidden/>
              </w:rPr>
              <w:fldChar w:fldCharType="end"/>
            </w:r>
          </w:hyperlink>
        </w:p>
        <w:p w14:paraId="2B41443A" w14:textId="43F9F870" w:rsidR="00987773" w:rsidRDefault="00C91808">
          <w:pPr>
            <w:pStyle w:val="TOC2"/>
            <w:tabs>
              <w:tab w:val="left" w:pos="660"/>
              <w:tab w:val="right" w:leader="dot" w:pos="9016"/>
            </w:tabs>
            <w:rPr>
              <w:rFonts w:eastAsiaTheme="minorEastAsia"/>
              <w:noProof/>
              <w:lang w:val="en-US"/>
            </w:rPr>
          </w:pPr>
          <w:hyperlink w:anchor="_Toc152168494" w:history="1">
            <w:r w:rsidR="00987773" w:rsidRPr="00994542">
              <w:rPr>
                <w:rStyle w:val="Hyperlink"/>
                <w:noProof/>
                <w:lang w:bidi="hi-IN"/>
              </w:rPr>
              <w:t>3.</w:t>
            </w:r>
            <w:r w:rsidR="00987773">
              <w:rPr>
                <w:rFonts w:eastAsiaTheme="minorEastAsia"/>
                <w:noProof/>
                <w:lang w:val="en-US"/>
              </w:rPr>
              <w:tab/>
            </w:r>
            <w:r w:rsidR="00987773" w:rsidRPr="00994542">
              <w:rPr>
                <w:rStyle w:val="Hyperlink"/>
                <w:noProof/>
                <w:lang w:bidi="hi-IN"/>
              </w:rPr>
              <w:t>Sustainable Guidelines</w:t>
            </w:r>
            <w:r w:rsidR="00987773">
              <w:rPr>
                <w:noProof/>
                <w:webHidden/>
              </w:rPr>
              <w:tab/>
            </w:r>
            <w:r w:rsidR="00987773">
              <w:rPr>
                <w:noProof/>
                <w:webHidden/>
              </w:rPr>
              <w:fldChar w:fldCharType="begin"/>
            </w:r>
            <w:r w:rsidR="00987773">
              <w:rPr>
                <w:noProof/>
                <w:webHidden/>
              </w:rPr>
              <w:instrText xml:space="preserve"> PAGEREF _Toc152168494 \h </w:instrText>
            </w:r>
            <w:r w:rsidR="00987773">
              <w:rPr>
                <w:noProof/>
                <w:webHidden/>
              </w:rPr>
            </w:r>
            <w:r w:rsidR="00987773">
              <w:rPr>
                <w:noProof/>
                <w:webHidden/>
              </w:rPr>
              <w:fldChar w:fldCharType="separate"/>
            </w:r>
            <w:r w:rsidR="00987773">
              <w:rPr>
                <w:noProof/>
                <w:webHidden/>
              </w:rPr>
              <w:t>4</w:t>
            </w:r>
            <w:r w:rsidR="00987773">
              <w:rPr>
                <w:noProof/>
                <w:webHidden/>
              </w:rPr>
              <w:fldChar w:fldCharType="end"/>
            </w:r>
          </w:hyperlink>
        </w:p>
        <w:p w14:paraId="01E3261D" w14:textId="4B239DEE" w:rsidR="00987773" w:rsidRDefault="00C91808">
          <w:pPr>
            <w:pStyle w:val="TOC2"/>
            <w:tabs>
              <w:tab w:val="right" w:leader="dot" w:pos="9016"/>
            </w:tabs>
            <w:rPr>
              <w:rFonts w:eastAsiaTheme="minorEastAsia"/>
              <w:noProof/>
              <w:lang w:val="en-US"/>
            </w:rPr>
          </w:pPr>
          <w:hyperlink w:anchor="_Toc152168495" w:history="1">
            <w:r w:rsidR="00987773" w:rsidRPr="00994542">
              <w:rPr>
                <w:rStyle w:val="Hyperlink"/>
                <w:noProof/>
                <w:lang w:bidi="hi-IN"/>
              </w:rPr>
              <w:t>4.     Client Approval</w:t>
            </w:r>
            <w:r w:rsidR="00987773">
              <w:rPr>
                <w:noProof/>
                <w:webHidden/>
              </w:rPr>
              <w:tab/>
            </w:r>
            <w:r w:rsidR="00987773">
              <w:rPr>
                <w:noProof/>
                <w:webHidden/>
              </w:rPr>
              <w:fldChar w:fldCharType="begin"/>
            </w:r>
            <w:r w:rsidR="00987773">
              <w:rPr>
                <w:noProof/>
                <w:webHidden/>
              </w:rPr>
              <w:instrText xml:space="preserve"> PAGEREF _Toc152168495 \h </w:instrText>
            </w:r>
            <w:r w:rsidR="00987773">
              <w:rPr>
                <w:noProof/>
                <w:webHidden/>
              </w:rPr>
            </w:r>
            <w:r w:rsidR="00987773">
              <w:rPr>
                <w:noProof/>
                <w:webHidden/>
              </w:rPr>
              <w:fldChar w:fldCharType="separate"/>
            </w:r>
            <w:r w:rsidR="00987773">
              <w:rPr>
                <w:noProof/>
                <w:webHidden/>
              </w:rPr>
              <w:t>6</w:t>
            </w:r>
            <w:r w:rsidR="00987773">
              <w:rPr>
                <w:noProof/>
                <w:webHidden/>
              </w:rPr>
              <w:fldChar w:fldCharType="end"/>
            </w:r>
          </w:hyperlink>
        </w:p>
        <w:p w14:paraId="0239CD21" w14:textId="0A11BC99" w:rsidR="00987773" w:rsidRDefault="00C91808">
          <w:pPr>
            <w:pStyle w:val="TOC2"/>
            <w:tabs>
              <w:tab w:val="left" w:pos="660"/>
              <w:tab w:val="right" w:leader="dot" w:pos="9016"/>
            </w:tabs>
            <w:rPr>
              <w:rFonts w:eastAsiaTheme="minorEastAsia"/>
              <w:noProof/>
              <w:lang w:val="en-US"/>
            </w:rPr>
          </w:pPr>
          <w:hyperlink w:anchor="_Toc152168496" w:history="1">
            <w:r w:rsidR="00987773" w:rsidRPr="00994542">
              <w:rPr>
                <w:rStyle w:val="Hyperlink"/>
                <w:noProof/>
                <w:lang w:bidi="hi-IN"/>
              </w:rPr>
              <w:t>4.</w:t>
            </w:r>
            <w:r w:rsidR="00987773">
              <w:rPr>
                <w:rFonts w:eastAsiaTheme="minorEastAsia"/>
                <w:noProof/>
                <w:lang w:val="en-US"/>
              </w:rPr>
              <w:tab/>
            </w:r>
            <w:r w:rsidR="00987773" w:rsidRPr="00994542">
              <w:rPr>
                <w:rStyle w:val="Hyperlink"/>
                <w:noProof/>
                <w:lang w:bidi="hi-IN"/>
              </w:rPr>
              <w:t>Reference</w:t>
            </w:r>
            <w:r w:rsidR="00987773">
              <w:rPr>
                <w:noProof/>
                <w:webHidden/>
              </w:rPr>
              <w:tab/>
            </w:r>
            <w:r w:rsidR="00987773">
              <w:rPr>
                <w:noProof/>
                <w:webHidden/>
              </w:rPr>
              <w:fldChar w:fldCharType="begin"/>
            </w:r>
            <w:r w:rsidR="00987773">
              <w:rPr>
                <w:noProof/>
                <w:webHidden/>
              </w:rPr>
              <w:instrText xml:space="preserve"> PAGEREF _Toc152168496 \h </w:instrText>
            </w:r>
            <w:r w:rsidR="00987773">
              <w:rPr>
                <w:noProof/>
                <w:webHidden/>
              </w:rPr>
            </w:r>
            <w:r w:rsidR="00987773">
              <w:rPr>
                <w:noProof/>
                <w:webHidden/>
              </w:rPr>
              <w:fldChar w:fldCharType="separate"/>
            </w:r>
            <w:r w:rsidR="00987773">
              <w:rPr>
                <w:noProof/>
                <w:webHidden/>
              </w:rPr>
              <w:t>7</w:t>
            </w:r>
            <w:r w:rsidR="00987773">
              <w:rPr>
                <w:noProof/>
                <w:webHidden/>
              </w:rPr>
              <w:fldChar w:fldCharType="end"/>
            </w:r>
          </w:hyperlink>
        </w:p>
        <w:p w14:paraId="4128CC78" w14:textId="7E7F0D01" w:rsidR="00590EDD" w:rsidRPr="00CD4DCA" w:rsidRDefault="00590EDD">
          <w:r w:rsidRPr="00CD4DCA">
            <w:rPr>
              <w:b/>
              <w:bCs/>
            </w:rPr>
            <w:fldChar w:fldCharType="end"/>
          </w:r>
        </w:p>
      </w:sdtContent>
    </w:sdt>
    <w:p w14:paraId="59700B80" w14:textId="2DA624B3" w:rsidR="00590A73" w:rsidRPr="00CD4DCA" w:rsidRDefault="00590A73">
      <w:pPr>
        <w:rPr>
          <w:sz w:val="24"/>
          <w:szCs w:val="32"/>
        </w:rPr>
      </w:pPr>
      <w:r w:rsidRPr="00CD4DCA">
        <w:rPr>
          <w:sz w:val="24"/>
          <w:szCs w:val="32"/>
        </w:rPr>
        <w:br w:type="page"/>
      </w:r>
    </w:p>
    <w:p w14:paraId="4C306E38" w14:textId="77777777" w:rsidR="000B61EF" w:rsidRPr="00CD4DCA" w:rsidRDefault="000B61EF" w:rsidP="000B61EF">
      <w:pPr>
        <w:pStyle w:val="Heading1"/>
      </w:pPr>
      <w:bookmarkStart w:id="1" w:name="_Toc152168491"/>
      <w:r w:rsidRPr="00CD4DCA">
        <w:lastRenderedPageBreak/>
        <w:t>PART 1 - Virtualisation Evaluation</w:t>
      </w:r>
      <w:bookmarkEnd w:id="1"/>
    </w:p>
    <w:p w14:paraId="3326F5D4" w14:textId="77777777" w:rsidR="000B61EF" w:rsidRPr="00CD4DCA" w:rsidRDefault="000B61EF" w:rsidP="000B61EF">
      <w:pPr>
        <w:pStyle w:val="Heading2"/>
        <w:ind w:left="567" w:hanging="567"/>
      </w:pPr>
      <w:bookmarkStart w:id="2" w:name="_Toc152168492"/>
      <w:r w:rsidRPr="00CD4DCA">
        <w:t>1.</w:t>
      </w:r>
      <w:r w:rsidRPr="00CD4DCA">
        <w:tab/>
        <w:t>Evaluating Virtualisation Platforms</w:t>
      </w:r>
      <w:bookmarkEnd w:id="2"/>
    </w:p>
    <w:p w14:paraId="4E8B460B" w14:textId="77777777" w:rsidR="000B61EF" w:rsidRPr="00CD4DCA" w:rsidRDefault="000B61EF" w:rsidP="000B61EF">
      <w:pPr>
        <w:pStyle w:val="ListParagraph"/>
        <w:numPr>
          <w:ilvl w:val="0"/>
          <w:numId w:val="1"/>
        </w:numPr>
        <w:ind w:left="1134" w:hanging="567"/>
      </w:pPr>
      <w:r w:rsidRPr="00CD4DCA">
        <w:t>Explain the difference between Type 1 and Type 2 hypervisors and include two (2) examples of each of industry recognised commercial hypervisor products which would be suited to an SME.</w:t>
      </w:r>
    </w:p>
    <w:p w14:paraId="505EAED2" w14:textId="59E4255E" w:rsidR="001642E3" w:rsidRPr="00CD4DCA" w:rsidRDefault="001A2FDE" w:rsidP="008D7001">
      <w:pPr>
        <w:pStyle w:val="ListParagraph"/>
        <w:numPr>
          <w:ilvl w:val="0"/>
          <w:numId w:val="5"/>
        </w:numPr>
      </w:pPr>
      <w:r w:rsidRPr="00CD4DCA">
        <w:t>Type 1 Hypervisors</w:t>
      </w:r>
    </w:p>
    <w:p w14:paraId="2966D8CF" w14:textId="32E4A435" w:rsidR="00F64359" w:rsidRPr="00CD4DCA" w:rsidRDefault="005D4E71" w:rsidP="003E0375">
      <w:pPr>
        <w:pStyle w:val="ListParagraph"/>
        <w:ind w:left="1494"/>
        <w:jc w:val="thaiDistribute"/>
      </w:pPr>
      <w:r w:rsidRPr="00CD4DCA">
        <w:t xml:space="preserve">The type 1 </w:t>
      </w:r>
      <w:r w:rsidR="00800E25" w:rsidRPr="00CD4DCA">
        <w:t xml:space="preserve">hypervisors also known as bare-metal hypervisors, </w:t>
      </w:r>
      <w:r w:rsidR="00B714D3" w:rsidRPr="00CD4DCA">
        <w:t>run</w:t>
      </w:r>
      <w:r w:rsidR="00550338" w:rsidRPr="00CD4DCA">
        <w:t xml:space="preserve"> directly on the hardware of the host machine, without any </w:t>
      </w:r>
      <w:r w:rsidR="00E33420" w:rsidRPr="00CD4DCA">
        <w:t>operating</w:t>
      </w:r>
      <w:r w:rsidR="00550338" w:rsidRPr="00CD4DCA">
        <w:t xml:space="preserve"> system in between. </w:t>
      </w:r>
      <w:r w:rsidR="004D7857" w:rsidRPr="00CD4DCA">
        <w:t>They have direct access to the server’s CPU, RAM and Storage resources</w:t>
      </w:r>
      <w:r w:rsidR="007F2226" w:rsidRPr="00CD4DCA">
        <w:t>.</w:t>
      </w:r>
      <w:r w:rsidR="002B1614" w:rsidRPr="00CD4DCA">
        <w:t xml:space="preserve"> </w:t>
      </w:r>
      <w:r w:rsidR="00715EA0" w:rsidRPr="00CD4DCA">
        <w:t xml:space="preserve">The type </w:t>
      </w:r>
      <w:r w:rsidR="00804386" w:rsidRPr="00CD4DCA">
        <w:t>1</w:t>
      </w:r>
      <w:r w:rsidR="00715EA0" w:rsidRPr="00CD4DCA">
        <w:t xml:space="preserve"> hypervisors offer better performance</w:t>
      </w:r>
      <w:r w:rsidR="00804386" w:rsidRPr="00CD4DCA">
        <w:t>, security, and scalability than type 2 hypervisors.</w:t>
      </w:r>
    </w:p>
    <w:p w14:paraId="4B997148" w14:textId="4910CFAF" w:rsidR="00E33420" w:rsidRPr="00CD4DCA" w:rsidRDefault="00E33420" w:rsidP="00F64359">
      <w:pPr>
        <w:pStyle w:val="ListParagraph"/>
        <w:ind w:left="1494"/>
      </w:pPr>
      <w:r w:rsidRPr="00CD4DCA">
        <w:t>Example:</w:t>
      </w:r>
    </w:p>
    <w:p w14:paraId="7AD31CF2" w14:textId="6BF1D7E3" w:rsidR="00E33420" w:rsidRPr="00CD4DCA" w:rsidRDefault="00E33420" w:rsidP="00E33420">
      <w:pPr>
        <w:pStyle w:val="ListParagraph"/>
        <w:numPr>
          <w:ilvl w:val="0"/>
          <w:numId w:val="6"/>
        </w:numPr>
      </w:pPr>
      <w:r w:rsidRPr="00CD4DCA">
        <w:t>V</w:t>
      </w:r>
      <w:r w:rsidR="00660FCC" w:rsidRPr="00CD4DCA">
        <w:t>M</w:t>
      </w:r>
      <w:r w:rsidRPr="00CD4DCA">
        <w:t>ware ESXi</w:t>
      </w:r>
    </w:p>
    <w:p w14:paraId="28171B69" w14:textId="3067036F" w:rsidR="00660FCC" w:rsidRPr="00CD4DCA" w:rsidRDefault="00660FCC" w:rsidP="00E33420">
      <w:pPr>
        <w:pStyle w:val="ListParagraph"/>
        <w:numPr>
          <w:ilvl w:val="0"/>
          <w:numId w:val="6"/>
        </w:numPr>
      </w:pPr>
      <w:r w:rsidRPr="00CD4DCA">
        <w:t>Microsoft Hyper-V Server</w:t>
      </w:r>
    </w:p>
    <w:p w14:paraId="35560354" w14:textId="207A6B08" w:rsidR="001A2FDE" w:rsidRPr="00CD4DCA" w:rsidRDefault="001A2FDE" w:rsidP="008D7001">
      <w:pPr>
        <w:pStyle w:val="ListParagraph"/>
        <w:numPr>
          <w:ilvl w:val="0"/>
          <w:numId w:val="5"/>
        </w:numPr>
      </w:pPr>
      <w:r w:rsidRPr="00CD4DCA">
        <w:t xml:space="preserve">Type 2 </w:t>
      </w:r>
      <w:r w:rsidR="000A0A6D" w:rsidRPr="00CD4DCA">
        <w:t>Hypervisors</w:t>
      </w:r>
    </w:p>
    <w:p w14:paraId="1EA5D6D0" w14:textId="228A0727" w:rsidR="00660FCC" w:rsidRPr="00CD4DCA" w:rsidRDefault="00C32101" w:rsidP="003E0375">
      <w:pPr>
        <w:pStyle w:val="ListParagraph"/>
        <w:ind w:left="1494"/>
        <w:jc w:val="thaiDistribute"/>
      </w:pPr>
      <w:r w:rsidRPr="00CD4DCA">
        <w:t xml:space="preserve">The type 2 hypervisor, also known as hosted hypervisors, </w:t>
      </w:r>
      <w:r w:rsidR="00FF4BFD" w:rsidRPr="00CD4DCA">
        <w:t xml:space="preserve">run on top of an operating system on the host machine, such as </w:t>
      </w:r>
      <w:r w:rsidR="008138D2" w:rsidRPr="00CD4DCA">
        <w:t xml:space="preserve">Windows or Linux. </w:t>
      </w:r>
      <w:r w:rsidR="00A76D9D" w:rsidRPr="00CD4DCA">
        <w:t xml:space="preserve">That means </w:t>
      </w:r>
      <w:r w:rsidR="00BA5EC8" w:rsidRPr="00CD4DCA">
        <w:t xml:space="preserve">the type 2 </w:t>
      </w:r>
      <w:r w:rsidR="006B0B08" w:rsidRPr="00CD4DCA">
        <w:t xml:space="preserve">hypervisors </w:t>
      </w:r>
      <w:r w:rsidR="00BA5EC8" w:rsidRPr="00CD4DCA">
        <w:t>ha</w:t>
      </w:r>
      <w:r w:rsidR="006B0B08" w:rsidRPr="00CD4DCA">
        <w:t>ve</w:t>
      </w:r>
      <w:r w:rsidR="00BA5EC8" w:rsidRPr="00CD4DCA">
        <w:t xml:space="preserve"> lower performance and efficient performance than Type 1</w:t>
      </w:r>
      <w:r w:rsidR="004A1341" w:rsidRPr="00CD4DCA">
        <w:t xml:space="preserve"> hypervisors. However, the type 2 hypervisors </w:t>
      </w:r>
      <w:r w:rsidR="006B0B08" w:rsidRPr="00CD4DCA">
        <w:t xml:space="preserve">are easier to setup and use than Type 1 hypervisors, and they can run </w:t>
      </w:r>
      <w:r w:rsidR="002B1614" w:rsidRPr="00CD4DCA">
        <w:t>on any hardware that supports the operating system.</w:t>
      </w:r>
    </w:p>
    <w:p w14:paraId="696C6C05" w14:textId="6535C15A" w:rsidR="00B32294" w:rsidRPr="00CD4DCA" w:rsidRDefault="00B32294" w:rsidP="00660FCC">
      <w:pPr>
        <w:pStyle w:val="ListParagraph"/>
        <w:ind w:left="1494"/>
      </w:pPr>
      <w:r w:rsidRPr="00CD4DCA">
        <w:t>Example:</w:t>
      </w:r>
    </w:p>
    <w:p w14:paraId="047E058C" w14:textId="42401213" w:rsidR="00B32294" w:rsidRPr="00CD4DCA" w:rsidRDefault="00B32294" w:rsidP="00B32294">
      <w:pPr>
        <w:pStyle w:val="ListParagraph"/>
        <w:numPr>
          <w:ilvl w:val="0"/>
          <w:numId w:val="6"/>
        </w:numPr>
      </w:pPr>
      <w:r w:rsidRPr="00CD4DCA">
        <w:t>VMware Workstation</w:t>
      </w:r>
    </w:p>
    <w:p w14:paraId="06341BEE" w14:textId="4C840DC7" w:rsidR="00B32294" w:rsidRPr="00CD4DCA" w:rsidRDefault="003E0375" w:rsidP="00B32294">
      <w:pPr>
        <w:pStyle w:val="ListParagraph"/>
        <w:numPr>
          <w:ilvl w:val="0"/>
          <w:numId w:val="6"/>
        </w:numPr>
      </w:pPr>
      <w:r w:rsidRPr="00CD4DCA">
        <w:t>Oracle VM VirtualBox</w:t>
      </w:r>
    </w:p>
    <w:p w14:paraId="500AFDB8" w14:textId="73DE6833" w:rsidR="000B61EF" w:rsidRPr="00CD4DCA" w:rsidRDefault="000B61EF" w:rsidP="000B61EF">
      <w:pPr>
        <w:pStyle w:val="ListParagraph"/>
        <w:numPr>
          <w:ilvl w:val="0"/>
          <w:numId w:val="1"/>
        </w:numPr>
        <w:ind w:left="1134" w:hanging="567"/>
      </w:pPr>
      <w:r w:rsidRPr="00CD4DCA">
        <w:t xml:space="preserve">Compare information of the four (4) examples in a tabular format with at least three (3) categories, or factors, to show comparisons. </w:t>
      </w:r>
    </w:p>
    <w:tbl>
      <w:tblPr>
        <w:tblStyle w:val="TableGrid"/>
        <w:tblW w:w="0" w:type="auto"/>
        <w:tblInd w:w="675" w:type="dxa"/>
        <w:tblLook w:val="04A0" w:firstRow="1" w:lastRow="0" w:firstColumn="1" w:lastColumn="0" w:noHBand="0" w:noVBand="1"/>
      </w:tblPr>
      <w:tblGrid>
        <w:gridCol w:w="1723"/>
        <w:gridCol w:w="1596"/>
        <w:gridCol w:w="1761"/>
        <w:gridCol w:w="1543"/>
        <w:gridCol w:w="1718"/>
      </w:tblGrid>
      <w:tr w:rsidR="00C922EC" w:rsidRPr="00CD4DCA" w14:paraId="3BC2FF1E" w14:textId="77777777" w:rsidTr="00C8504D">
        <w:tc>
          <w:tcPr>
            <w:tcW w:w="1723" w:type="dxa"/>
            <w:shd w:val="clear" w:color="auto" w:fill="D9D9D9" w:themeFill="background1" w:themeFillShade="D9"/>
          </w:tcPr>
          <w:p w14:paraId="50B460FF" w14:textId="77777777" w:rsidR="000B61EF" w:rsidRPr="00CD4DCA" w:rsidRDefault="000B61EF" w:rsidP="003B0B8E">
            <w:pPr>
              <w:pStyle w:val="TableHeading"/>
              <w:jc w:val="center"/>
            </w:pPr>
          </w:p>
        </w:tc>
        <w:tc>
          <w:tcPr>
            <w:tcW w:w="1596" w:type="dxa"/>
            <w:shd w:val="clear" w:color="auto" w:fill="D9D9D9" w:themeFill="background1" w:themeFillShade="D9"/>
          </w:tcPr>
          <w:p w14:paraId="32F9F8B8" w14:textId="781E23E5" w:rsidR="000B61EF" w:rsidRPr="00CD4DCA" w:rsidRDefault="00F209E8" w:rsidP="003B0B8E">
            <w:pPr>
              <w:pStyle w:val="TableHeading"/>
              <w:jc w:val="center"/>
            </w:pPr>
            <w:r w:rsidRPr="00CD4DCA">
              <w:t>VMware ESXi</w:t>
            </w:r>
          </w:p>
          <w:p w14:paraId="3AC77BC4" w14:textId="77777777" w:rsidR="000B61EF" w:rsidRPr="00CD4DCA" w:rsidRDefault="000B61EF" w:rsidP="003B0B8E">
            <w:pPr>
              <w:pStyle w:val="TableHeading"/>
              <w:jc w:val="center"/>
            </w:pPr>
            <w:r w:rsidRPr="00CD4DCA">
              <w:t>(Type 1)</w:t>
            </w:r>
          </w:p>
        </w:tc>
        <w:tc>
          <w:tcPr>
            <w:tcW w:w="1761" w:type="dxa"/>
            <w:shd w:val="clear" w:color="auto" w:fill="D9D9D9" w:themeFill="background1" w:themeFillShade="D9"/>
          </w:tcPr>
          <w:p w14:paraId="11E3EEA4" w14:textId="79108E64" w:rsidR="000B61EF" w:rsidRPr="00CD4DCA" w:rsidRDefault="00F209E8" w:rsidP="003B0B8E">
            <w:pPr>
              <w:pStyle w:val="TableHeading"/>
              <w:jc w:val="center"/>
            </w:pPr>
            <w:r w:rsidRPr="00CD4DCA">
              <w:t>Microsoft Hyper-V Server</w:t>
            </w:r>
          </w:p>
          <w:p w14:paraId="7046B449" w14:textId="77777777" w:rsidR="000B61EF" w:rsidRPr="00CD4DCA" w:rsidRDefault="000B61EF" w:rsidP="003B0B8E">
            <w:pPr>
              <w:pStyle w:val="TableHeading"/>
              <w:jc w:val="center"/>
            </w:pPr>
            <w:r w:rsidRPr="00CD4DCA">
              <w:t>(Type 1)</w:t>
            </w:r>
          </w:p>
        </w:tc>
        <w:tc>
          <w:tcPr>
            <w:tcW w:w="1543" w:type="dxa"/>
            <w:shd w:val="clear" w:color="auto" w:fill="D9D9D9" w:themeFill="background1" w:themeFillShade="D9"/>
          </w:tcPr>
          <w:p w14:paraId="637F42E3" w14:textId="678F50BD" w:rsidR="000B61EF" w:rsidRPr="00CD4DCA" w:rsidRDefault="00FB1BBE" w:rsidP="003B0B8E">
            <w:pPr>
              <w:pStyle w:val="TableHeading"/>
              <w:jc w:val="center"/>
            </w:pPr>
            <w:r w:rsidRPr="00CD4DCA">
              <w:t>VMware Workstation</w:t>
            </w:r>
          </w:p>
          <w:p w14:paraId="2435EDBC" w14:textId="77777777" w:rsidR="000B61EF" w:rsidRPr="00CD4DCA" w:rsidRDefault="000B61EF" w:rsidP="003B0B8E">
            <w:pPr>
              <w:pStyle w:val="TableHeading"/>
              <w:jc w:val="center"/>
            </w:pPr>
            <w:r w:rsidRPr="00CD4DCA">
              <w:t>(Type 2)</w:t>
            </w:r>
          </w:p>
        </w:tc>
        <w:tc>
          <w:tcPr>
            <w:tcW w:w="1718" w:type="dxa"/>
            <w:shd w:val="clear" w:color="auto" w:fill="D9D9D9" w:themeFill="background1" w:themeFillShade="D9"/>
          </w:tcPr>
          <w:p w14:paraId="43EE1505" w14:textId="6567BCE7" w:rsidR="000B61EF" w:rsidRPr="00CD4DCA" w:rsidRDefault="00FB1BBE" w:rsidP="003B0B8E">
            <w:pPr>
              <w:pStyle w:val="TableHeading"/>
              <w:jc w:val="center"/>
            </w:pPr>
            <w:r w:rsidRPr="00CD4DCA">
              <w:t>Oracle VM VirtualBox</w:t>
            </w:r>
          </w:p>
          <w:p w14:paraId="1FA944D9" w14:textId="77777777" w:rsidR="000B61EF" w:rsidRPr="00CD4DCA" w:rsidRDefault="000B61EF" w:rsidP="003B0B8E">
            <w:pPr>
              <w:pStyle w:val="TableHeading"/>
              <w:jc w:val="center"/>
            </w:pPr>
            <w:r w:rsidRPr="00CD4DCA">
              <w:t>(Type 2)</w:t>
            </w:r>
          </w:p>
        </w:tc>
      </w:tr>
      <w:tr w:rsidR="00C922EC" w:rsidRPr="00CD4DCA" w14:paraId="4845728C" w14:textId="77777777" w:rsidTr="00C8504D">
        <w:trPr>
          <w:trHeight w:val="395"/>
        </w:trPr>
        <w:tc>
          <w:tcPr>
            <w:tcW w:w="1723" w:type="dxa"/>
          </w:tcPr>
          <w:p w14:paraId="42C1E3E9" w14:textId="0112A51A" w:rsidR="000B61EF" w:rsidRPr="00C15EB1" w:rsidRDefault="00C922EC" w:rsidP="003B0B8E">
            <w:pPr>
              <w:pStyle w:val="TableText"/>
              <w:rPr>
                <w:b/>
                <w:bCs/>
              </w:rPr>
            </w:pPr>
            <w:r w:rsidRPr="00C15EB1">
              <w:rPr>
                <w:b/>
                <w:bCs/>
              </w:rPr>
              <w:t>Hardware Compatibility</w:t>
            </w:r>
          </w:p>
        </w:tc>
        <w:tc>
          <w:tcPr>
            <w:tcW w:w="1596" w:type="dxa"/>
          </w:tcPr>
          <w:p w14:paraId="23513C76" w14:textId="6C5E82CA" w:rsidR="000B61EF" w:rsidRPr="00CD4DCA" w:rsidRDefault="00A315BD" w:rsidP="003B0B8E">
            <w:pPr>
              <w:pStyle w:val="TableText"/>
            </w:pPr>
            <w:r w:rsidRPr="00CD4DCA">
              <w:t>Supports a wide range of hardware platforms</w:t>
            </w:r>
          </w:p>
        </w:tc>
        <w:tc>
          <w:tcPr>
            <w:tcW w:w="1761" w:type="dxa"/>
          </w:tcPr>
          <w:p w14:paraId="7E893409" w14:textId="58FE0CAA" w:rsidR="000B61EF" w:rsidRPr="00CD4DCA" w:rsidRDefault="00A315BD" w:rsidP="003B0B8E">
            <w:pPr>
              <w:pStyle w:val="TableText"/>
            </w:pPr>
            <w:r w:rsidRPr="00CD4DCA">
              <w:t>Supports a wide range of hardware platforms</w:t>
            </w:r>
          </w:p>
        </w:tc>
        <w:tc>
          <w:tcPr>
            <w:tcW w:w="1543" w:type="dxa"/>
          </w:tcPr>
          <w:p w14:paraId="709E2DCF" w14:textId="46D546DB" w:rsidR="000B61EF" w:rsidRPr="00CD4DCA" w:rsidRDefault="00633F5C" w:rsidP="003B0B8E">
            <w:pPr>
              <w:pStyle w:val="TableText"/>
            </w:pPr>
            <w:r w:rsidRPr="00CD4DCA">
              <w:t>Support a wide of Windows and Linux operating systems.</w:t>
            </w:r>
          </w:p>
        </w:tc>
        <w:tc>
          <w:tcPr>
            <w:tcW w:w="1718" w:type="dxa"/>
          </w:tcPr>
          <w:p w14:paraId="7F5057CE" w14:textId="7E091FE1" w:rsidR="000B61EF" w:rsidRPr="00CD4DCA" w:rsidRDefault="00DD2D5F" w:rsidP="003B0B8E">
            <w:pPr>
              <w:pStyle w:val="TableText"/>
            </w:pPr>
            <w:r w:rsidRPr="00CD4DCA">
              <w:t>Supports a wide range of Windows, Linux and MacOS operating systems.</w:t>
            </w:r>
          </w:p>
        </w:tc>
      </w:tr>
      <w:tr w:rsidR="00C922EC" w:rsidRPr="00CD4DCA" w14:paraId="414146AF" w14:textId="77777777" w:rsidTr="00C8504D">
        <w:trPr>
          <w:trHeight w:val="395"/>
        </w:trPr>
        <w:tc>
          <w:tcPr>
            <w:tcW w:w="1723" w:type="dxa"/>
          </w:tcPr>
          <w:p w14:paraId="2B483050" w14:textId="406C5637" w:rsidR="000B61EF" w:rsidRPr="00C15EB1" w:rsidRDefault="0075271E" w:rsidP="003B0B8E">
            <w:pPr>
              <w:pStyle w:val="TableText"/>
              <w:rPr>
                <w:b/>
                <w:bCs/>
              </w:rPr>
            </w:pPr>
            <w:r w:rsidRPr="00C15EB1">
              <w:rPr>
                <w:b/>
                <w:bCs/>
              </w:rPr>
              <w:t xml:space="preserve">Features </w:t>
            </w:r>
          </w:p>
        </w:tc>
        <w:tc>
          <w:tcPr>
            <w:tcW w:w="1596" w:type="dxa"/>
          </w:tcPr>
          <w:p w14:paraId="0B724389" w14:textId="5C770DF1" w:rsidR="000B61EF" w:rsidRPr="00CD4DCA" w:rsidRDefault="00A315BD" w:rsidP="003B0B8E">
            <w:pPr>
              <w:pStyle w:val="TableText"/>
            </w:pPr>
            <w:r w:rsidRPr="00CD4DCA">
              <w:t xml:space="preserve">Wide range of features, </w:t>
            </w:r>
            <w:r w:rsidRPr="00CD4DCA">
              <w:lastRenderedPageBreak/>
              <w:t>including high availability, scalability, and disaster recovery.</w:t>
            </w:r>
          </w:p>
        </w:tc>
        <w:tc>
          <w:tcPr>
            <w:tcW w:w="1761" w:type="dxa"/>
          </w:tcPr>
          <w:p w14:paraId="39958369" w14:textId="4914FA8C" w:rsidR="000B61EF" w:rsidRPr="00CD4DCA" w:rsidRDefault="00A315BD" w:rsidP="003B0B8E">
            <w:pPr>
              <w:pStyle w:val="TableText"/>
            </w:pPr>
            <w:r w:rsidRPr="00CD4DCA">
              <w:lastRenderedPageBreak/>
              <w:t xml:space="preserve">High availability, scalability, and </w:t>
            </w:r>
            <w:r w:rsidRPr="00CD4DCA">
              <w:lastRenderedPageBreak/>
              <w:t>disaster recovery, and it free to use.</w:t>
            </w:r>
          </w:p>
        </w:tc>
        <w:tc>
          <w:tcPr>
            <w:tcW w:w="1543" w:type="dxa"/>
          </w:tcPr>
          <w:p w14:paraId="37DF262A" w14:textId="7305211D" w:rsidR="000B61EF" w:rsidRPr="00CD4DCA" w:rsidRDefault="00A315BD" w:rsidP="003B0B8E">
            <w:pPr>
              <w:pStyle w:val="TableText"/>
            </w:pPr>
            <w:r w:rsidRPr="00CD4DCA">
              <w:lastRenderedPageBreak/>
              <w:t xml:space="preserve">Good for development </w:t>
            </w:r>
            <w:r w:rsidRPr="00CD4DCA">
              <w:lastRenderedPageBreak/>
              <w:t>and testing for creating isolated environments</w:t>
            </w:r>
          </w:p>
        </w:tc>
        <w:tc>
          <w:tcPr>
            <w:tcW w:w="1718" w:type="dxa"/>
          </w:tcPr>
          <w:p w14:paraId="06C7FCFE" w14:textId="7F1B2560" w:rsidR="000B61EF" w:rsidRPr="00CD4DCA" w:rsidRDefault="00A315BD" w:rsidP="003B0B8E">
            <w:pPr>
              <w:pStyle w:val="TableText"/>
            </w:pPr>
            <w:r w:rsidRPr="00CD4DCA">
              <w:lastRenderedPageBreak/>
              <w:t xml:space="preserve">Free and open source, suitable </w:t>
            </w:r>
            <w:r w:rsidRPr="00CD4DCA">
              <w:lastRenderedPageBreak/>
              <w:t>for a wide range of tasks.</w:t>
            </w:r>
          </w:p>
        </w:tc>
      </w:tr>
      <w:tr w:rsidR="00C922EC" w:rsidRPr="00CD4DCA" w14:paraId="0106D435" w14:textId="77777777" w:rsidTr="00C8504D">
        <w:trPr>
          <w:trHeight w:val="395"/>
        </w:trPr>
        <w:tc>
          <w:tcPr>
            <w:tcW w:w="1723" w:type="dxa"/>
          </w:tcPr>
          <w:p w14:paraId="00417A13" w14:textId="09BBADB3" w:rsidR="000B61EF" w:rsidRPr="00C15EB1" w:rsidRDefault="0049208D" w:rsidP="003B0B8E">
            <w:pPr>
              <w:pStyle w:val="TableText"/>
              <w:rPr>
                <w:b/>
                <w:bCs/>
              </w:rPr>
            </w:pPr>
            <w:r w:rsidRPr="00C15EB1">
              <w:rPr>
                <w:b/>
                <w:bCs/>
              </w:rPr>
              <w:lastRenderedPageBreak/>
              <w:t>Cost</w:t>
            </w:r>
          </w:p>
        </w:tc>
        <w:tc>
          <w:tcPr>
            <w:tcW w:w="1596" w:type="dxa"/>
          </w:tcPr>
          <w:p w14:paraId="6AF4DDDA" w14:textId="10041BC6" w:rsidR="000B61EF" w:rsidRPr="00CD4DCA" w:rsidRDefault="0049208D" w:rsidP="003B0B8E">
            <w:pPr>
              <w:pStyle w:val="TableText"/>
            </w:pPr>
            <w:r w:rsidRPr="00CD4DCA">
              <w:t>Paid License</w:t>
            </w:r>
            <w:r w:rsidR="00173C9F" w:rsidRPr="00CD4DCA">
              <w:t xml:space="preserve"> required</w:t>
            </w:r>
          </w:p>
        </w:tc>
        <w:tc>
          <w:tcPr>
            <w:tcW w:w="1761" w:type="dxa"/>
          </w:tcPr>
          <w:p w14:paraId="4EEFE1D1" w14:textId="3AD3D751" w:rsidR="000B61EF" w:rsidRPr="00CD4DCA" w:rsidRDefault="0049208D" w:rsidP="003B0B8E">
            <w:pPr>
              <w:pStyle w:val="TableText"/>
            </w:pPr>
            <w:r w:rsidRPr="00CD4DCA">
              <w:t xml:space="preserve">Free with </w:t>
            </w:r>
            <w:r w:rsidR="00C8504D" w:rsidRPr="00CD4DCA">
              <w:t>Microsoft Windows Server</w:t>
            </w:r>
          </w:p>
        </w:tc>
        <w:tc>
          <w:tcPr>
            <w:tcW w:w="1543" w:type="dxa"/>
          </w:tcPr>
          <w:p w14:paraId="63B6ED42" w14:textId="57825EB0" w:rsidR="000B61EF" w:rsidRPr="00CD4DCA" w:rsidRDefault="00C8504D" w:rsidP="003B0B8E">
            <w:pPr>
              <w:pStyle w:val="TableText"/>
            </w:pPr>
            <w:r w:rsidRPr="00CD4DCA">
              <w:t>Paid License</w:t>
            </w:r>
            <w:r w:rsidR="00173C9F" w:rsidRPr="00CD4DCA">
              <w:t xml:space="preserve"> required</w:t>
            </w:r>
          </w:p>
        </w:tc>
        <w:tc>
          <w:tcPr>
            <w:tcW w:w="1718" w:type="dxa"/>
          </w:tcPr>
          <w:p w14:paraId="7BB8F11D" w14:textId="6AD96BF3" w:rsidR="000B61EF" w:rsidRPr="00CD4DCA" w:rsidRDefault="00C8504D" w:rsidP="003B0B8E">
            <w:pPr>
              <w:pStyle w:val="TableText"/>
            </w:pPr>
            <w:r w:rsidRPr="00CD4DCA">
              <w:t>Free and Open source</w:t>
            </w:r>
          </w:p>
        </w:tc>
      </w:tr>
    </w:tbl>
    <w:p w14:paraId="7DE6B47F" w14:textId="1BDC8EA4" w:rsidR="00F2192E" w:rsidRPr="00CD4DCA" w:rsidRDefault="00F2192E" w:rsidP="00E70F61">
      <w:pPr>
        <w:pStyle w:val="ListParagraph"/>
        <w:ind w:left="1134"/>
      </w:pPr>
      <w:r w:rsidRPr="00CD4DCA">
        <w:t xml:space="preserve">The table above </w:t>
      </w:r>
      <w:r w:rsidR="00C53C5B" w:rsidRPr="00CD4DCA">
        <w:t xml:space="preserve">provides a comparison of four popular hypervisors </w:t>
      </w:r>
      <w:r w:rsidR="006E51C0" w:rsidRPr="00CD4DCA">
        <w:t xml:space="preserve">for SMEs based on three key categories. </w:t>
      </w:r>
      <w:r w:rsidR="00280327" w:rsidRPr="00CD4DCA">
        <w:t xml:space="preserve">The best hypervisors for a particular SME will depend on their specific needs and budget. </w:t>
      </w:r>
      <w:r w:rsidR="00DA3F02" w:rsidRPr="00CD4DCA">
        <w:t xml:space="preserve">However, VMware ESXi and Microsoft Hyper-V Server are good options for SMEs that need a feature-rich hypervisor with extensive support options. </w:t>
      </w:r>
      <w:r w:rsidR="00A46FB1" w:rsidRPr="00CD4DCA">
        <w:t>For VMware Workstation and Oracle VM VirtualBox are good options for SMEs on a budget limited</w:t>
      </w:r>
      <w:r w:rsidR="000835F6" w:rsidRPr="00CD4DCA">
        <w:t xml:space="preserve"> or need to create and test virtual machines for development or testing purposes</w:t>
      </w:r>
      <w:r w:rsidR="000B1F9E" w:rsidRPr="00CD4DCA">
        <w:t>.</w:t>
      </w:r>
    </w:p>
    <w:p w14:paraId="018708F2" w14:textId="77777777" w:rsidR="000B61EF" w:rsidRPr="00CD4DCA" w:rsidRDefault="000B61EF" w:rsidP="000B61EF">
      <w:pPr>
        <w:pStyle w:val="Heading2"/>
        <w:ind w:left="567" w:hanging="567"/>
      </w:pPr>
      <w:bookmarkStart w:id="3" w:name="_Toc152168493"/>
      <w:r w:rsidRPr="00CD4DCA">
        <w:t>2.</w:t>
      </w:r>
      <w:r w:rsidRPr="00CD4DCA">
        <w:tab/>
        <w:t>Recommendation</w:t>
      </w:r>
      <w:bookmarkEnd w:id="3"/>
    </w:p>
    <w:p w14:paraId="1AB0E5B2" w14:textId="49431DB8" w:rsidR="000B61EF" w:rsidRPr="00CD4DCA" w:rsidRDefault="004B3AB4" w:rsidP="000B61EF">
      <w:pPr>
        <w:pStyle w:val="ListParagraph"/>
        <w:numPr>
          <w:ilvl w:val="0"/>
          <w:numId w:val="2"/>
        </w:numPr>
        <w:ind w:left="1134" w:hanging="567"/>
      </w:pPr>
      <w:r w:rsidRPr="00CD4DCA">
        <w:t>How virtual</w:t>
      </w:r>
      <w:r w:rsidR="006C0BB1" w:rsidRPr="00CD4DCA">
        <w:t>isation works.</w:t>
      </w:r>
    </w:p>
    <w:p w14:paraId="3AF6E567" w14:textId="53DDE408" w:rsidR="00C67216" w:rsidRPr="00CD4DCA" w:rsidRDefault="00614C8F" w:rsidP="00C67216">
      <w:pPr>
        <w:pStyle w:val="ListParagraph"/>
        <w:ind w:left="1134"/>
      </w:pPr>
      <w:r>
        <w:t>Virtualisation</w:t>
      </w:r>
      <w:r w:rsidR="00DE5C59" w:rsidRPr="00CD4DCA">
        <w:t xml:space="preserve"> software creates a layer of abstraction between the physical hardware and the operating system. This allows multiple operating systems to run on a single physical server. Each operating system is called a virtual machine (VM). The hypervisor manages the VMs and allocates resources to them, such as CPU, memory, and storage.</w:t>
      </w:r>
    </w:p>
    <w:p w14:paraId="0F68A363" w14:textId="784B905B" w:rsidR="000B61EF" w:rsidRPr="00CD4DCA" w:rsidRDefault="006C0BB1" w:rsidP="000B61EF">
      <w:pPr>
        <w:pStyle w:val="ListParagraph"/>
        <w:numPr>
          <w:ilvl w:val="0"/>
          <w:numId w:val="2"/>
        </w:numPr>
        <w:ind w:left="1134" w:hanging="567"/>
      </w:pPr>
      <w:r w:rsidRPr="00CD4DCA">
        <w:t>H</w:t>
      </w:r>
      <w:r w:rsidR="000B61EF" w:rsidRPr="00CD4DCA">
        <w:t>ow virtualised servers differ from physical servers</w:t>
      </w:r>
      <w:r w:rsidR="008E58FE" w:rsidRPr="00CD4DCA">
        <w:t>.</w:t>
      </w:r>
    </w:p>
    <w:p w14:paraId="1266BC70" w14:textId="6718F8E1" w:rsidR="008E58FE" w:rsidRPr="00CD4DCA" w:rsidRDefault="00614C8F" w:rsidP="008E58FE">
      <w:pPr>
        <w:pStyle w:val="ListParagraph"/>
        <w:ind w:left="1134"/>
      </w:pPr>
      <w:r>
        <w:t>Virtualised</w:t>
      </w:r>
      <w:r w:rsidR="008E58FE" w:rsidRPr="00CD4DCA">
        <w:t xml:space="preserve"> servers are software-based servers that run on top of a hypervisor. Physical servers are hardware-based servers that run directly on the physical hardware.</w:t>
      </w:r>
    </w:p>
    <w:p w14:paraId="3C50D442" w14:textId="4BD702CF" w:rsidR="000B61EF" w:rsidRPr="00CD4DCA" w:rsidRDefault="00095F00" w:rsidP="000B61EF">
      <w:pPr>
        <w:pStyle w:val="ListParagraph"/>
        <w:numPr>
          <w:ilvl w:val="0"/>
          <w:numId w:val="2"/>
        </w:numPr>
        <w:ind w:left="1134" w:hanging="567"/>
      </w:pPr>
      <w:r w:rsidRPr="00CD4DCA">
        <w:t>The</w:t>
      </w:r>
      <w:r w:rsidR="0013383F" w:rsidRPr="00CD4DCA">
        <w:t xml:space="preserve"> three</w:t>
      </w:r>
      <w:r w:rsidRPr="00CD4DCA">
        <w:t xml:space="preserve"> </w:t>
      </w:r>
      <w:r w:rsidR="000B61EF" w:rsidRPr="00CD4DCA">
        <w:t>benefits of virtualisation</w:t>
      </w:r>
      <w:r w:rsidR="00B77FDF">
        <w:t>.</w:t>
      </w:r>
    </w:p>
    <w:p w14:paraId="012DE978" w14:textId="609C96EA" w:rsidR="00801BFB" w:rsidRPr="00CD4DCA" w:rsidRDefault="00801BFB" w:rsidP="00801BFB">
      <w:pPr>
        <w:pStyle w:val="ListParagraph"/>
        <w:numPr>
          <w:ilvl w:val="0"/>
          <w:numId w:val="6"/>
        </w:numPr>
      </w:pPr>
      <w:r w:rsidRPr="00CD4DCA">
        <w:t>Cost savings:</w:t>
      </w:r>
      <w:r w:rsidR="00A32BD2" w:rsidRPr="00CD4DCA">
        <w:t xml:space="preserve"> </w:t>
      </w:r>
      <w:r w:rsidR="0096371B" w:rsidRPr="00CD4DCA">
        <w:t>virtuali</w:t>
      </w:r>
      <w:r w:rsidR="00237AAD" w:rsidRPr="00CD4DCA">
        <w:t>s</w:t>
      </w:r>
      <w:r w:rsidR="0096371B" w:rsidRPr="00CD4DCA">
        <w:t xml:space="preserve">ation can help businesses reduce IT </w:t>
      </w:r>
      <w:r w:rsidR="00237AAD" w:rsidRPr="00CD4DCA">
        <w:t>costs for</w:t>
      </w:r>
      <w:r w:rsidR="0096371B" w:rsidRPr="00CD4DCA">
        <w:t xml:space="preserve"> buying </w:t>
      </w:r>
      <w:r w:rsidR="00A8021B" w:rsidRPr="00CD4DCA">
        <w:t xml:space="preserve">hardware </w:t>
      </w:r>
      <w:r w:rsidR="00264A3E" w:rsidRPr="00CD4DCA">
        <w:t>by consolidating multiple physical servers onto a single physical server</w:t>
      </w:r>
      <w:r w:rsidR="00343006">
        <w:t>, a</w:t>
      </w:r>
      <w:r w:rsidR="00810331">
        <w:t>lso</w:t>
      </w:r>
      <w:r w:rsidR="0099609F">
        <w:t xml:space="preserve"> reduced </w:t>
      </w:r>
      <w:r w:rsidR="00810331">
        <w:t xml:space="preserve">energy </w:t>
      </w:r>
      <w:r w:rsidR="00343006">
        <w:t>consumption,</w:t>
      </w:r>
      <w:r w:rsidR="00D7011A">
        <w:t xml:space="preserve"> and</w:t>
      </w:r>
      <w:r w:rsidR="00810331">
        <w:t xml:space="preserve"> streamlined management.</w:t>
      </w:r>
    </w:p>
    <w:p w14:paraId="30C1B70C" w14:textId="3B10D9DD" w:rsidR="00801BFB" w:rsidRPr="00CD4DCA" w:rsidRDefault="00A32BD2" w:rsidP="00801BFB">
      <w:pPr>
        <w:pStyle w:val="ListParagraph"/>
        <w:numPr>
          <w:ilvl w:val="0"/>
          <w:numId w:val="6"/>
        </w:numPr>
      </w:pPr>
      <w:r w:rsidRPr="00CD4DCA">
        <w:t>Improved</w:t>
      </w:r>
      <w:r w:rsidR="000949F2" w:rsidRPr="00CD4DCA">
        <w:t xml:space="preserve"> efficiency:</w:t>
      </w:r>
      <w:r w:rsidR="00237AAD" w:rsidRPr="00CD4DCA">
        <w:t xml:space="preserve"> Virtualisation </w:t>
      </w:r>
      <w:r w:rsidR="00BE7692" w:rsidRPr="00CD4DCA">
        <w:t>can help businesses improve performance, availability, and scalabilit</w:t>
      </w:r>
      <w:r w:rsidR="001C747E" w:rsidRPr="00CD4DCA">
        <w:t>y and efficiency by optimizing the use of resources.</w:t>
      </w:r>
    </w:p>
    <w:p w14:paraId="5C06A581" w14:textId="5368B79A" w:rsidR="000949F2" w:rsidRPr="00CD4DCA" w:rsidRDefault="00A32BD2" w:rsidP="00801BFB">
      <w:pPr>
        <w:pStyle w:val="ListParagraph"/>
        <w:numPr>
          <w:ilvl w:val="0"/>
          <w:numId w:val="6"/>
        </w:numPr>
      </w:pPr>
      <w:r w:rsidRPr="00CD4DCA">
        <w:t>Increased flexibility:</w:t>
      </w:r>
      <w:r w:rsidR="001C747E" w:rsidRPr="00CD4DCA">
        <w:t xml:space="preserve"> </w:t>
      </w:r>
      <w:r w:rsidR="00614C8F">
        <w:t>Virtualisation</w:t>
      </w:r>
      <w:r w:rsidR="00B311C7" w:rsidRPr="00B311C7">
        <w:t xml:space="preserve"> can help businesses improve flexibility by making it easier to deploy and manage applications.</w:t>
      </w:r>
    </w:p>
    <w:p w14:paraId="03EBCE85" w14:textId="45542FEE" w:rsidR="000B61EF" w:rsidRPr="00CD4DCA" w:rsidRDefault="0013383F" w:rsidP="000B61EF">
      <w:pPr>
        <w:pStyle w:val="ListParagraph"/>
        <w:numPr>
          <w:ilvl w:val="0"/>
          <w:numId w:val="2"/>
        </w:numPr>
        <w:ind w:left="1134" w:hanging="567"/>
      </w:pPr>
      <w:r w:rsidRPr="00CD4DCA">
        <w:t>H</w:t>
      </w:r>
      <w:r w:rsidR="000B61EF" w:rsidRPr="00CD4DCA">
        <w:t xml:space="preserve">igh availability </w:t>
      </w:r>
      <w:r w:rsidR="00AD6785" w:rsidRPr="00CD4DCA">
        <w:t>of virtualisation</w:t>
      </w:r>
      <w:r w:rsidR="00B77FDF">
        <w:t>.</w:t>
      </w:r>
    </w:p>
    <w:p w14:paraId="49A21AAD" w14:textId="7D5C54D5" w:rsidR="00EC2D62" w:rsidRPr="00CD4DCA" w:rsidRDefault="00D236B1" w:rsidP="00EC2D62">
      <w:pPr>
        <w:pStyle w:val="ListParagraph"/>
        <w:ind w:left="1134"/>
      </w:pPr>
      <w:r w:rsidRPr="00CD4DCA">
        <w:t xml:space="preserve">High availability is a system’s ability to operate (uptime) and be accessible to users for a specified </w:t>
      </w:r>
      <w:r w:rsidR="00E61230" w:rsidRPr="00CD4DCA">
        <w:t>period</w:t>
      </w:r>
      <w:r w:rsidRPr="00CD4DCA">
        <w:t xml:space="preserve"> without going down. Uptime is the time during which </w:t>
      </w:r>
      <w:r w:rsidRPr="00CD4DCA">
        <w:lastRenderedPageBreak/>
        <w:t>a server is operational without unplanned rebooting or being powered off.</w:t>
      </w:r>
    </w:p>
    <w:p w14:paraId="6AE633F7" w14:textId="2461FA0B" w:rsidR="00EC2D62" w:rsidRPr="00CD4DCA" w:rsidRDefault="00614C8F" w:rsidP="00EC2D62">
      <w:pPr>
        <w:pStyle w:val="ListParagraph"/>
        <w:ind w:left="1134"/>
      </w:pPr>
      <w:r>
        <w:t>Virtualisation</w:t>
      </w:r>
      <w:r w:rsidR="00EC2D62" w:rsidRPr="00CD4DCA">
        <w:t xml:space="preserve"> can help improve high availability by providing features such as:</w:t>
      </w:r>
    </w:p>
    <w:p w14:paraId="4912655B" w14:textId="77777777" w:rsidR="00771FD3" w:rsidRPr="00CD4DCA" w:rsidRDefault="00EC2D62" w:rsidP="00771FD3">
      <w:pPr>
        <w:pStyle w:val="ListParagraph"/>
        <w:numPr>
          <w:ilvl w:val="0"/>
          <w:numId w:val="5"/>
        </w:numPr>
      </w:pPr>
      <w:r w:rsidRPr="00CD4DCA">
        <w:t>Load balancing: Load balancing distributes traffic across multiple VMs, which can help to improve performance and reliability.</w:t>
      </w:r>
    </w:p>
    <w:p w14:paraId="077EEC22" w14:textId="77777777" w:rsidR="00771FD3" w:rsidRPr="00CD4DCA" w:rsidRDefault="00EC2D62" w:rsidP="00771FD3">
      <w:pPr>
        <w:pStyle w:val="ListParagraph"/>
        <w:numPr>
          <w:ilvl w:val="0"/>
          <w:numId w:val="5"/>
        </w:numPr>
      </w:pPr>
      <w:r w:rsidRPr="00CD4DCA">
        <w:t>Failover: Failover allows VMs to be automatically restarted on a different physical server in the event of a hardware failure.</w:t>
      </w:r>
    </w:p>
    <w:p w14:paraId="76C87B67" w14:textId="162AEAD0" w:rsidR="00120AD5" w:rsidRPr="00CD4DCA" w:rsidRDefault="00EC2D62" w:rsidP="00771FD3">
      <w:pPr>
        <w:pStyle w:val="ListParagraph"/>
        <w:numPr>
          <w:ilvl w:val="0"/>
          <w:numId w:val="5"/>
        </w:numPr>
      </w:pPr>
      <w:r w:rsidRPr="00CD4DCA">
        <w:t>Replication: Replication allows VMs to be regularly copied to a secondary location, which can be used to recover from a disaster.</w:t>
      </w:r>
    </w:p>
    <w:p w14:paraId="498F218C" w14:textId="67DB8441" w:rsidR="00250B43" w:rsidRPr="00CD4DCA" w:rsidRDefault="000B61EF" w:rsidP="00C83855">
      <w:pPr>
        <w:pStyle w:val="ListParagraph"/>
        <w:numPr>
          <w:ilvl w:val="0"/>
          <w:numId w:val="2"/>
        </w:numPr>
        <w:ind w:left="1134" w:hanging="567"/>
      </w:pPr>
      <w:r w:rsidRPr="00CD4DCA">
        <w:t xml:space="preserve">A recommended hypervisor solution for the Case </w:t>
      </w:r>
      <w:r w:rsidR="00E61230" w:rsidRPr="00CD4DCA">
        <w:t>Study and</w:t>
      </w:r>
      <w:r w:rsidRPr="00CD4DCA">
        <w:t xml:space="preserve"> justify your recommendation.</w:t>
      </w:r>
    </w:p>
    <w:p w14:paraId="7CD810FF" w14:textId="77777777" w:rsidR="00277D20" w:rsidRPr="00CD4DCA" w:rsidRDefault="00277D20" w:rsidP="00277D20">
      <w:pPr>
        <w:pStyle w:val="ListParagraph"/>
        <w:ind w:left="1134"/>
      </w:pPr>
      <w:r w:rsidRPr="00CD4DCA">
        <w:t>The recommended hypervisor solution for the Case Study is VMware ESXi. VMware ESXi is a Type 1 hypervisor that is known for its reliability and performance. It is also relatively easy to use and manage.</w:t>
      </w:r>
    </w:p>
    <w:p w14:paraId="28DC5EB4" w14:textId="6820A98E" w:rsidR="003C312E" w:rsidRPr="00CD4DCA" w:rsidRDefault="00277D20" w:rsidP="003C312E">
      <w:pPr>
        <w:pStyle w:val="ListParagraph"/>
        <w:ind w:left="1134"/>
      </w:pPr>
      <w:r w:rsidRPr="00CD4DCA">
        <w:t xml:space="preserve">VMware ESXi offers </w:t>
      </w:r>
      <w:r w:rsidR="00E61230" w:rsidRPr="00CD4DCA">
        <w:t>several</w:t>
      </w:r>
      <w:r w:rsidRPr="00CD4DCA">
        <w:t xml:space="preserve"> features that would be beneficial to </w:t>
      </w:r>
      <w:r w:rsidR="00DD2339" w:rsidRPr="00CD4DCA">
        <w:t>Albert &amp; Allen Logistics (AA),</w:t>
      </w:r>
      <w:r w:rsidRPr="00CD4DCA">
        <w:t xml:space="preserve"> such as:</w:t>
      </w:r>
    </w:p>
    <w:p w14:paraId="1E167A0D" w14:textId="63F0D305" w:rsidR="00277D20" w:rsidRPr="00CD4DCA" w:rsidRDefault="00277D20" w:rsidP="003C312E">
      <w:pPr>
        <w:pStyle w:val="ListParagraph"/>
        <w:numPr>
          <w:ilvl w:val="0"/>
          <w:numId w:val="5"/>
        </w:numPr>
      </w:pPr>
      <w:r w:rsidRPr="00CD4DCA">
        <w:t>High availability: VMware ESXi supports a number of features to help improve high availability, such as load balancing, failover, and replication.</w:t>
      </w:r>
    </w:p>
    <w:p w14:paraId="5F551365" w14:textId="1CD0A328" w:rsidR="00277D20" w:rsidRPr="00CD4DCA" w:rsidRDefault="00277D20" w:rsidP="003C312E">
      <w:pPr>
        <w:pStyle w:val="ListParagraph"/>
        <w:numPr>
          <w:ilvl w:val="0"/>
          <w:numId w:val="5"/>
        </w:numPr>
      </w:pPr>
      <w:r w:rsidRPr="00CD4DCA">
        <w:t xml:space="preserve">Scalability: VMware ESXi is highly scalable, so </w:t>
      </w:r>
      <w:r w:rsidR="00DD2339" w:rsidRPr="00CD4DCA">
        <w:t>Albert &amp; Allen Logistics (AA) can</w:t>
      </w:r>
      <w:r w:rsidRPr="00CD4DCA">
        <w:t xml:space="preserve"> easily add or remove VMs as needed.</w:t>
      </w:r>
    </w:p>
    <w:p w14:paraId="39635462" w14:textId="7BA46C52" w:rsidR="00E16F30" w:rsidRPr="00CD4DCA" w:rsidRDefault="00277D20" w:rsidP="003C312E">
      <w:pPr>
        <w:pStyle w:val="ListParagraph"/>
        <w:numPr>
          <w:ilvl w:val="0"/>
          <w:numId w:val="5"/>
        </w:numPr>
      </w:pPr>
      <w:r w:rsidRPr="00CD4DCA">
        <w:t xml:space="preserve">Security: VMware ESXi provides a number of security features to help protect </w:t>
      </w:r>
      <w:r w:rsidR="00DD2339" w:rsidRPr="00CD4DCA">
        <w:t xml:space="preserve">Albert &amp; Allen Logistics (AA) </w:t>
      </w:r>
      <w:r w:rsidRPr="00CD4DCA">
        <w:t>'s data and applications.</w:t>
      </w:r>
    </w:p>
    <w:p w14:paraId="25906B33" w14:textId="4E6C3078" w:rsidR="007E1B43" w:rsidRPr="00CD4DCA" w:rsidRDefault="00ED3801" w:rsidP="00D1295C">
      <w:pPr>
        <w:pStyle w:val="ListParagraph"/>
        <w:ind w:left="1134"/>
      </w:pPr>
      <w:r w:rsidRPr="00CD4DCA">
        <w:t xml:space="preserve">VMware ESXi is a good choice for </w:t>
      </w:r>
      <w:r w:rsidR="00DD2339" w:rsidRPr="00CD4DCA">
        <w:t>Albert &amp; Allen Logistics (AA) because</w:t>
      </w:r>
      <w:r w:rsidRPr="00CD4DCA">
        <w:t xml:space="preserve"> it offers a reliable, scalable, secure, and easy-to-use </w:t>
      </w:r>
      <w:r w:rsidR="00614C8F">
        <w:t>virtualisation</w:t>
      </w:r>
      <w:r w:rsidRPr="00CD4DCA">
        <w:t xml:space="preserve"> solution.</w:t>
      </w:r>
    </w:p>
    <w:p w14:paraId="3F31B616" w14:textId="77777777" w:rsidR="003834E7" w:rsidRPr="00CD4DCA" w:rsidRDefault="003834E7" w:rsidP="003834E7">
      <w:pPr>
        <w:pStyle w:val="Heading2"/>
        <w:ind w:left="567" w:hanging="567"/>
      </w:pPr>
      <w:bookmarkStart w:id="4" w:name="_Toc152168494"/>
      <w:r w:rsidRPr="00CD4DCA">
        <w:t>3.</w:t>
      </w:r>
      <w:r w:rsidRPr="00CD4DCA">
        <w:tab/>
        <w:t>Sustainable Guidelines</w:t>
      </w:r>
      <w:bookmarkEnd w:id="4"/>
    </w:p>
    <w:p w14:paraId="6F72A51F" w14:textId="77777777" w:rsidR="003834E7" w:rsidRPr="00CD4DCA" w:rsidRDefault="003834E7" w:rsidP="003834E7">
      <w:pPr>
        <w:pStyle w:val="ListParagraph"/>
        <w:numPr>
          <w:ilvl w:val="0"/>
          <w:numId w:val="3"/>
        </w:numPr>
        <w:ind w:left="1134" w:hanging="567"/>
      </w:pPr>
      <w:r w:rsidRPr="00CD4DCA">
        <w:t>What technologies and processes are available to support sustainable practice?</w:t>
      </w:r>
    </w:p>
    <w:p w14:paraId="57AD032A" w14:textId="549222AF" w:rsidR="00880A53" w:rsidRPr="00CD4DCA" w:rsidRDefault="00880A53" w:rsidP="00880A53">
      <w:pPr>
        <w:pStyle w:val="ListParagraph"/>
        <w:ind w:left="1134"/>
      </w:pPr>
      <w:r w:rsidRPr="00611245">
        <w:rPr>
          <w:b/>
          <w:bCs/>
        </w:rPr>
        <w:t>Virtuali</w:t>
      </w:r>
      <w:r w:rsidR="00614C8F">
        <w:rPr>
          <w:b/>
          <w:bCs/>
        </w:rPr>
        <w:t>s</w:t>
      </w:r>
      <w:r w:rsidRPr="00611245">
        <w:rPr>
          <w:b/>
          <w:bCs/>
        </w:rPr>
        <w:t>ation</w:t>
      </w:r>
      <w:r w:rsidRPr="00CD4DCA">
        <w:t xml:space="preserve">: </w:t>
      </w:r>
      <w:r w:rsidR="00614C8F">
        <w:t>Virtualisation</w:t>
      </w:r>
      <w:r w:rsidRPr="00CD4DCA">
        <w:t xml:space="preserve"> allows multiple operating systems to run on a single physical server, which can help to reduce energy consumption and improve efficiency.</w:t>
      </w:r>
    </w:p>
    <w:p w14:paraId="178B9D04" w14:textId="77777777" w:rsidR="00880A53" w:rsidRPr="00CD4DCA" w:rsidRDefault="00880A53" w:rsidP="00880A53">
      <w:pPr>
        <w:pStyle w:val="ListParagraph"/>
        <w:ind w:left="1134"/>
      </w:pPr>
      <w:r w:rsidRPr="00611245">
        <w:rPr>
          <w:b/>
          <w:bCs/>
        </w:rPr>
        <w:t>Cloud computing</w:t>
      </w:r>
      <w:r w:rsidRPr="00CD4DCA">
        <w:t>: Cloud computing can help to reduce energy consumption by consolidating workloads on shared servers.</w:t>
      </w:r>
    </w:p>
    <w:p w14:paraId="62135DB8" w14:textId="78178344" w:rsidR="00880A53" w:rsidRPr="00CD4DCA" w:rsidRDefault="00880A53" w:rsidP="00880A53">
      <w:pPr>
        <w:pStyle w:val="ListParagraph"/>
        <w:ind w:left="1134"/>
      </w:pPr>
      <w:r w:rsidRPr="00F02853">
        <w:rPr>
          <w:b/>
          <w:bCs/>
        </w:rPr>
        <w:t xml:space="preserve">Data </w:t>
      </w:r>
      <w:r w:rsidR="00074CA3" w:rsidRPr="00F02853">
        <w:rPr>
          <w:b/>
          <w:bCs/>
        </w:rPr>
        <w:t>centre</w:t>
      </w:r>
      <w:r w:rsidRPr="00F02853">
        <w:rPr>
          <w:b/>
          <w:bCs/>
        </w:rPr>
        <w:t xml:space="preserve"> efficiency</w:t>
      </w:r>
      <w:r w:rsidRPr="00CD4DCA">
        <w:t xml:space="preserve">: Data </w:t>
      </w:r>
      <w:r w:rsidR="00074CA3" w:rsidRPr="00CD4DCA">
        <w:t>centre</w:t>
      </w:r>
      <w:r w:rsidRPr="00CD4DCA">
        <w:t xml:space="preserve"> efficiency measures can be used to reduce energy consumption and improve the overall efficiency of data </w:t>
      </w:r>
      <w:r w:rsidR="00074CA3" w:rsidRPr="00CD4DCA">
        <w:t>centres</w:t>
      </w:r>
      <w:r w:rsidRPr="00CD4DCA">
        <w:t>.</w:t>
      </w:r>
    </w:p>
    <w:p w14:paraId="28A8A3F2" w14:textId="5A60D6A5" w:rsidR="000A50D2" w:rsidRDefault="000A50D2" w:rsidP="000A50D2">
      <w:pPr>
        <w:pStyle w:val="ListParagraph"/>
        <w:ind w:left="1134"/>
      </w:pPr>
      <w:r w:rsidRPr="000A50D2">
        <w:rPr>
          <w:b/>
          <w:bCs/>
        </w:rPr>
        <w:t xml:space="preserve">Lifecycle management: </w:t>
      </w:r>
      <w:r w:rsidRPr="000A50D2">
        <w:t>This is the process of managing the lifecycle of ICT equipment from procurement to disposal. Lifecycle management can help to reduce the environmental impact of ICT equipment by extending its lifespan, recycling, or reusing it when it is no longer needed, and disposing of it responsibly.</w:t>
      </w:r>
    </w:p>
    <w:p w14:paraId="393998D3" w14:textId="77777777" w:rsidR="00E87C82" w:rsidRPr="000A50D2" w:rsidRDefault="00E87C82" w:rsidP="000A50D2">
      <w:pPr>
        <w:pStyle w:val="ListParagraph"/>
        <w:ind w:left="1134"/>
      </w:pPr>
    </w:p>
    <w:p w14:paraId="1C3576B2" w14:textId="1D5A34CF" w:rsidR="003834E7" w:rsidRPr="00CD4DCA" w:rsidRDefault="003834E7" w:rsidP="003834E7">
      <w:pPr>
        <w:pStyle w:val="ListParagraph"/>
        <w:numPr>
          <w:ilvl w:val="0"/>
          <w:numId w:val="3"/>
        </w:numPr>
        <w:ind w:left="1134" w:hanging="567"/>
      </w:pPr>
      <w:r w:rsidRPr="00CD4DCA">
        <w:t>What industry technology and processes are designed into your new network to produce an efficient and reliable sustainable ICT environment?</w:t>
      </w:r>
    </w:p>
    <w:p w14:paraId="5896CE9E" w14:textId="773E5845" w:rsidR="00DC66CD" w:rsidRDefault="00DC66CD" w:rsidP="007604C8">
      <w:pPr>
        <w:pStyle w:val="ListParagraph"/>
        <w:ind w:left="1134"/>
      </w:pPr>
      <w:r w:rsidRPr="002522F2">
        <w:rPr>
          <w:b/>
          <w:bCs/>
        </w:rPr>
        <w:t>Software-defined networking (SDN)</w:t>
      </w:r>
      <w:r>
        <w:t xml:space="preserve">: SDN is a new approach to network management that decouples the control plane from the data plane. </w:t>
      </w:r>
      <w:r w:rsidR="0013679D">
        <w:t>It</w:t>
      </w:r>
      <w:r>
        <w:t xml:space="preserve"> allows for more flexible and efficient network management, which can help to reduce energy consumption.</w:t>
      </w:r>
    </w:p>
    <w:p w14:paraId="2C815F7D" w14:textId="00186F75" w:rsidR="00DC66CD" w:rsidRDefault="00DC66CD" w:rsidP="007604C8">
      <w:pPr>
        <w:pStyle w:val="ListParagraph"/>
        <w:ind w:left="1134"/>
      </w:pPr>
      <w:r w:rsidRPr="002522F2">
        <w:rPr>
          <w:b/>
          <w:bCs/>
        </w:rPr>
        <w:t xml:space="preserve">Network function </w:t>
      </w:r>
      <w:r w:rsidR="00614C8F">
        <w:rPr>
          <w:b/>
          <w:bCs/>
        </w:rPr>
        <w:t>virtualisation</w:t>
      </w:r>
      <w:r w:rsidRPr="002522F2">
        <w:rPr>
          <w:b/>
          <w:bCs/>
        </w:rPr>
        <w:t xml:space="preserve"> (NFV)</w:t>
      </w:r>
      <w:r>
        <w:t xml:space="preserve">: NFV is a technology that allows for the </w:t>
      </w:r>
      <w:r w:rsidR="00614C8F">
        <w:t>virtualisation</w:t>
      </w:r>
      <w:r>
        <w:t xml:space="preserve"> of network </w:t>
      </w:r>
      <w:r w:rsidR="00D931DF">
        <w:t>functions and</w:t>
      </w:r>
      <w:r w:rsidR="00E35F81">
        <w:t xml:space="preserve"> can h</w:t>
      </w:r>
      <w:r>
        <w:t>elp to reduce the amount of hardware that is needed, which can also help to reduce energy consumption.</w:t>
      </w:r>
    </w:p>
    <w:p w14:paraId="7A38FAF3" w14:textId="21715272" w:rsidR="00DC66CD" w:rsidRDefault="00DC66CD" w:rsidP="007604C8">
      <w:pPr>
        <w:pStyle w:val="ListParagraph"/>
        <w:ind w:left="1134"/>
      </w:pPr>
      <w:r w:rsidRPr="007604C8">
        <w:rPr>
          <w:b/>
          <w:bCs/>
        </w:rPr>
        <w:t>Cognitive radio</w:t>
      </w:r>
      <w:r>
        <w:t xml:space="preserve">: Cognitive radio is a technology that allows for the opportunistic use of unlicensed spectrum. </w:t>
      </w:r>
      <w:r w:rsidR="000532A1">
        <w:t xml:space="preserve">It also </w:t>
      </w:r>
      <w:r>
        <w:t>can help to improve network efficiency and reduce the need for new infrastructure.</w:t>
      </w:r>
    </w:p>
    <w:p w14:paraId="4A175BD0" w14:textId="32124EB4" w:rsidR="003834E7" w:rsidRPr="00CD4DCA" w:rsidRDefault="00DC66CD" w:rsidP="007604C8">
      <w:pPr>
        <w:pStyle w:val="ListParagraph"/>
        <w:ind w:left="1134"/>
      </w:pPr>
      <w:r w:rsidRPr="007604C8">
        <w:rPr>
          <w:b/>
          <w:bCs/>
        </w:rPr>
        <w:t>Green ICT standards</w:t>
      </w:r>
      <w:r>
        <w:t xml:space="preserve">: There are </w:t>
      </w:r>
      <w:r w:rsidR="006D7110">
        <w:t>several</w:t>
      </w:r>
      <w:r>
        <w:t xml:space="preserve"> green ICT standards that have been developed to help organizations reduce the environmental impact of their ICT operations. </w:t>
      </w:r>
    </w:p>
    <w:p w14:paraId="6CE0A0CF" w14:textId="60D6FB70" w:rsidR="00564EDA" w:rsidRPr="00CD4DCA" w:rsidRDefault="00564EDA" w:rsidP="00372E49">
      <w:pPr>
        <w:pStyle w:val="ListParagraph"/>
        <w:ind w:left="1134"/>
      </w:pPr>
      <w:r w:rsidRPr="00CD4DCA">
        <w:t>Sources</w:t>
      </w:r>
      <w:r w:rsidR="00280609" w:rsidRPr="00CD4DCA">
        <w:t xml:space="preserve"> and Links</w:t>
      </w:r>
      <w:r w:rsidRPr="00CD4DCA">
        <w:t>:</w:t>
      </w:r>
    </w:p>
    <w:p w14:paraId="20C0DA20" w14:textId="5D629328" w:rsidR="00560749" w:rsidRDefault="00560749" w:rsidP="00560749">
      <w:pPr>
        <w:pStyle w:val="ListParagraph"/>
        <w:ind w:left="1134"/>
      </w:pPr>
      <w:r>
        <w:t xml:space="preserve">Australian Government ICT Sustainability Plan 2010-2015: </w:t>
      </w:r>
      <w:hyperlink r:id="rId9" w:history="1">
        <w:r w:rsidRPr="003C49E5">
          <w:rPr>
            <w:rStyle w:val="Hyperlink"/>
          </w:rPr>
          <w:t>https://www.industry.gov.au/</w:t>
        </w:r>
      </w:hyperlink>
      <w:r>
        <w:t xml:space="preserve"> </w:t>
      </w:r>
    </w:p>
    <w:p w14:paraId="217CB646" w14:textId="35C84321" w:rsidR="00560749" w:rsidRDefault="00560749" w:rsidP="00560749">
      <w:pPr>
        <w:pStyle w:val="ListParagraph"/>
        <w:ind w:left="1134"/>
      </w:pPr>
      <w:r>
        <w:t xml:space="preserve">Sustainable ICT - Best Practice: </w:t>
      </w:r>
      <w:hyperlink r:id="rId10" w:history="1">
        <w:r w:rsidRPr="003C49E5">
          <w:rPr>
            <w:rStyle w:val="Hyperlink"/>
          </w:rPr>
          <w:t>https://www.csu.edu.au/csugreen/life-framework/facilities-and-operations/sustainable-ict</w:t>
        </w:r>
      </w:hyperlink>
      <w:r>
        <w:t xml:space="preserve"> </w:t>
      </w:r>
    </w:p>
    <w:p w14:paraId="48695B32" w14:textId="1B51F3CE" w:rsidR="00560749" w:rsidRDefault="00560749" w:rsidP="00560749">
      <w:pPr>
        <w:pStyle w:val="ListParagraph"/>
        <w:ind w:left="1134"/>
      </w:pPr>
      <w:r>
        <w:t xml:space="preserve">Sustainable Information and Communications Technology - Fujitsu: </w:t>
      </w:r>
      <w:hyperlink r:id="rId11" w:history="1">
        <w:r w:rsidRPr="003C49E5">
          <w:rPr>
            <w:rStyle w:val="Hyperlink"/>
          </w:rPr>
          <w:t>https://www.fujitsu.com/au/Images/sust_solutions_Sustainable%20ICT.pdf</w:t>
        </w:r>
      </w:hyperlink>
      <w:r>
        <w:t xml:space="preserve"> </w:t>
      </w:r>
    </w:p>
    <w:p w14:paraId="55565B6B" w14:textId="29389C71" w:rsidR="0012640A" w:rsidRPr="00A4153C" w:rsidRDefault="00560749" w:rsidP="00A4153C">
      <w:pPr>
        <w:pStyle w:val="ListParagraph"/>
        <w:ind w:left="1134"/>
        <w:rPr>
          <w:rStyle w:val="Hyperlink"/>
          <w:color w:val="auto"/>
          <w:u w:val="none"/>
        </w:rPr>
      </w:pPr>
      <w:r>
        <w:t xml:space="preserve">Environmental Guidelines for the ICT Industry in Australia: </w:t>
      </w:r>
      <w:hyperlink r:id="rId12" w:history="1">
        <w:r w:rsidRPr="003C49E5">
          <w:rPr>
            <w:rStyle w:val="Hyperlink"/>
          </w:rPr>
          <w:t>http://www.environment.gov.au/resource/australian-government-ict-sustainability-plan-contents</w:t>
        </w:r>
      </w:hyperlink>
      <w:r>
        <w:t xml:space="preserve"> </w:t>
      </w:r>
    </w:p>
    <w:p w14:paraId="32E5E936" w14:textId="1003AA11" w:rsidR="00285166" w:rsidRPr="00CD4DCA" w:rsidRDefault="0012640A" w:rsidP="00A4153C">
      <w:pPr>
        <w:pStyle w:val="ListParagraph"/>
        <w:ind w:left="1134"/>
      </w:pPr>
      <w:r w:rsidRPr="0012640A">
        <w:t xml:space="preserve">Green IT Council of Australia. (2023). Sustainable ICT: A framework for Australian businesses. Retrieved from </w:t>
      </w:r>
      <w:hyperlink r:id="rId13" w:history="1">
        <w:r w:rsidRPr="003C49E5">
          <w:rPr>
            <w:rStyle w:val="Hyperlink"/>
          </w:rPr>
          <w:t>https://contractingsite.com.au/wp-content/uploads/2015/02/A_Green_ICT_Framework_CR.pdf</w:t>
        </w:r>
      </w:hyperlink>
      <w:r>
        <w:t xml:space="preserve"> </w:t>
      </w:r>
    </w:p>
    <w:p w14:paraId="21A18EB8" w14:textId="1BD73A0A" w:rsidR="00D05895" w:rsidRDefault="00A4153C" w:rsidP="00A4153C">
      <w:pPr>
        <w:pStyle w:val="ListParagraph"/>
        <w:ind w:left="1134"/>
        <w:rPr>
          <w:sz w:val="24"/>
          <w:szCs w:val="32"/>
        </w:rPr>
      </w:pPr>
      <w:r w:rsidRPr="00A4153C">
        <w:t>Australian</w:t>
      </w:r>
      <w:r w:rsidRPr="00A4153C">
        <w:rPr>
          <w:sz w:val="24"/>
          <w:szCs w:val="32"/>
        </w:rPr>
        <w:t xml:space="preserve"> Computer Society: Green computing guidelines </w:t>
      </w:r>
      <w:hyperlink r:id="rId14" w:history="1">
        <w:r w:rsidRPr="003C49E5">
          <w:rPr>
            <w:rStyle w:val="Hyperlink"/>
            <w:sz w:val="24"/>
            <w:szCs w:val="32"/>
          </w:rPr>
          <w:t>https://www.acs.org.au/governance/rules-and-regulations.h</w:t>
        </w:r>
      </w:hyperlink>
      <w:r>
        <w:rPr>
          <w:sz w:val="24"/>
          <w:szCs w:val="32"/>
        </w:rPr>
        <w:t xml:space="preserve"> </w:t>
      </w:r>
    </w:p>
    <w:p w14:paraId="3E593AF2" w14:textId="77777777" w:rsidR="00B362AC" w:rsidRDefault="00B362AC" w:rsidP="00A4153C">
      <w:pPr>
        <w:pStyle w:val="ListParagraph"/>
        <w:ind w:left="1134"/>
        <w:rPr>
          <w:sz w:val="24"/>
          <w:szCs w:val="32"/>
        </w:rPr>
      </w:pPr>
    </w:p>
    <w:p w14:paraId="2CF53394" w14:textId="77777777" w:rsidR="000971BD" w:rsidRDefault="000971BD" w:rsidP="00A4153C">
      <w:pPr>
        <w:pStyle w:val="ListParagraph"/>
        <w:ind w:left="1134"/>
        <w:rPr>
          <w:sz w:val="24"/>
          <w:szCs w:val="32"/>
        </w:rPr>
      </w:pPr>
    </w:p>
    <w:p w14:paraId="07BDBCE2" w14:textId="77777777" w:rsidR="000971BD" w:rsidRDefault="000971BD" w:rsidP="00A4153C">
      <w:pPr>
        <w:pStyle w:val="ListParagraph"/>
        <w:ind w:left="1134"/>
        <w:rPr>
          <w:sz w:val="24"/>
          <w:szCs w:val="32"/>
        </w:rPr>
      </w:pPr>
    </w:p>
    <w:p w14:paraId="5240F274" w14:textId="77777777" w:rsidR="000971BD" w:rsidRDefault="000971BD" w:rsidP="00A4153C">
      <w:pPr>
        <w:pStyle w:val="ListParagraph"/>
        <w:ind w:left="1134"/>
        <w:rPr>
          <w:sz w:val="24"/>
          <w:szCs w:val="32"/>
        </w:rPr>
      </w:pPr>
    </w:p>
    <w:p w14:paraId="6B29351D" w14:textId="77777777" w:rsidR="000971BD" w:rsidRDefault="000971BD" w:rsidP="00A4153C">
      <w:pPr>
        <w:pStyle w:val="ListParagraph"/>
        <w:ind w:left="1134"/>
        <w:rPr>
          <w:sz w:val="24"/>
          <w:szCs w:val="32"/>
        </w:rPr>
      </w:pPr>
    </w:p>
    <w:p w14:paraId="6B883D9C" w14:textId="6450DD4B" w:rsidR="000971BD" w:rsidRDefault="000971BD" w:rsidP="000971BD">
      <w:pPr>
        <w:pStyle w:val="Heading2"/>
      </w:pPr>
      <w:bookmarkStart w:id="5" w:name="_Toc152168495"/>
      <w:r>
        <w:lastRenderedPageBreak/>
        <w:t xml:space="preserve">4. </w:t>
      </w:r>
      <w:r w:rsidR="002868DF">
        <w:t xml:space="preserve">    </w:t>
      </w:r>
      <w:r>
        <w:t>Client Approval</w:t>
      </w:r>
      <w:bookmarkEnd w:id="5"/>
    </w:p>
    <w:p w14:paraId="64B07306" w14:textId="77777777" w:rsidR="000971BD" w:rsidRPr="00BB1DA3" w:rsidRDefault="000971BD" w:rsidP="000971BD">
      <w:pPr>
        <w:rPr>
          <w:rFonts w:ascii="Arial" w:hAnsi="Arial" w:cs="Arial"/>
        </w:rPr>
      </w:pPr>
      <w:r w:rsidRPr="00BB1DA3">
        <w:rPr>
          <w:rFonts w:ascii="Arial" w:hAnsi="Arial" w:cs="Arial"/>
          <w:b/>
        </w:rPr>
        <w:t>To:</w:t>
      </w:r>
      <w:r w:rsidRPr="00BB1DA3">
        <w:rPr>
          <w:rFonts w:ascii="Arial" w:hAnsi="Arial" w:cs="Arial"/>
        </w:rPr>
        <w:t xml:space="preserve"> </w:t>
      </w:r>
      <w:r>
        <w:rPr>
          <w:rFonts w:ascii="Arial" w:hAnsi="Arial" w:cs="Arial"/>
        </w:rPr>
        <w:t>Thong Thao (Network technician)</w:t>
      </w:r>
    </w:p>
    <w:p w14:paraId="60398691" w14:textId="77777777" w:rsidR="000971BD" w:rsidRDefault="000971BD" w:rsidP="000971BD">
      <w:pPr>
        <w:rPr>
          <w:rFonts w:ascii="Arial" w:hAnsi="Arial" w:cs="Arial"/>
        </w:rPr>
      </w:pPr>
      <w:r w:rsidRPr="00BB1DA3">
        <w:rPr>
          <w:rFonts w:ascii="Arial" w:hAnsi="Arial" w:cs="Arial"/>
          <w:b/>
        </w:rPr>
        <w:t>From:</w:t>
      </w:r>
      <w:r w:rsidRPr="00BB1DA3">
        <w:rPr>
          <w:rFonts w:ascii="Arial" w:hAnsi="Arial" w:cs="Arial"/>
        </w:rPr>
        <w:t xml:space="preserve"> </w:t>
      </w:r>
      <w:r>
        <w:rPr>
          <w:rFonts w:ascii="Arial" w:hAnsi="Arial" w:cs="Arial"/>
        </w:rPr>
        <w:t>Shawn Long</w:t>
      </w:r>
      <w:r w:rsidRPr="00BB1DA3">
        <w:rPr>
          <w:rFonts w:ascii="Arial" w:hAnsi="Arial" w:cs="Arial"/>
        </w:rPr>
        <w:t xml:space="preserve"> (IT manager at </w:t>
      </w:r>
      <w:r>
        <w:rPr>
          <w:rFonts w:ascii="Arial" w:hAnsi="Arial" w:cs="Arial"/>
        </w:rPr>
        <w:t>AA Logistics</w:t>
      </w:r>
      <w:r w:rsidRPr="00BB1DA3">
        <w:rPr>
          <w:rFonts w:ascii="Arial" w:hAnsi="Arial" w:cs="Arial"/>
        </w:rPr>
        <w:t>)</w:t>
      </w:r>
    </w:p>
    <w:p w14:paraId="19EC5D44" w14:textId="77777777" w:rsidR="000971BD" w:rsidRPr="00BB1DA3" w:rsidRDefault="000971BD" w:rsidP="000971BD">
      <w:pPr>
        <w:rPr>
          <w:rFonts w:ascii="Arial" w:hAnsi="Arial" w:cs="Arial"/>
        </w:rPr>
      </w:pPr>
      <w:r w:rsidRPr="00BB1DA3">
        <w:rPr>
          <w:rFonts w:ascii="Arial" w:hAnsi="Arial" w:cs="Arial"/>
          <w:b/>
        </w:rPr>
        <w:t>Subject:</w:t>
      </w:r>
      <w:r>
        <w:rPr>
          <w:rFonts w:ascii="Arial" w:hAnsi="Arial" w:cs="Arial"/>
        </w:rPr>
        <w:t xml:space="preserve"> Review and approval for server virtualisation plan</w:t>
      </w:r>
    </w:p>
    <w:p w14:paraId="1BC2C575" w14:textId="77777777" w:rsidR="000971BD" w:rsidRPr="00BB1DA3" w:rsidRDefault="000971BD" w:rsidP="000971BD">
      <w:pPr>
        <w:rPr>
          <w:rFonts w:ascii="Arial" w:hAnsi="Arial" w:cs="Arial"/>
        </w:rPr>
      </w:pPr>
    </w:p>
    <w:p w14:paraId="1A1DE57C" w14:textId="5A6769FF" w:rsidR="000971BD" w:rsidRDefault="000971BD" w:rsidP="000971BD">
      <w:pPr>
        <w:rPr>
          <w:rFonts w:ascii="Arial" w:hAnsi="Arial" w:cs="Arial"/>
        </w:rPr>
      </w:pPr>
      <w:r w:rsidRPr="00BB1DA3">
        <w:rPr>
          <w:rFonts w:ascii="Arial" w:hAnsi="Arial" w:cs="Arial"/>
        </w:rPr>
        <w:t xml:space="preserve">I have reviewed the </w:t>
      </w:r>
      <w:r>
        <w:rPr>
          <w:rFonts w:ascii="Arial" w:hAnsi="Arial" w:cs="Arial"/>
        </w:rPr>
        <w:t xml:space="preserve">evaluation </w:t>
      </w:r>
      <w:r w:rsidR="00C60118">
        <w:rPr>
          <w:rFonts w:ascii="Arial" w:hAnsi="Arial" w:cs="Arial"/>
        </w:rPr>
        <w:t>document,</w:t>
      </w:r>
      <w:r>
        <w:rPr>
          <w:rFonts w:ascii="Arial" w:hAnsi="Arial" w:cs="Arial"/>
        </w:rPr>
        <w:t xml:space="preserve"> and I would like to approve all the recommendations and documents contained herein. I would like to thank Thong for putting forward his evaluation for updating our existing physical server infrastructure and that we look forward to the planning of the recommended solution.</w:t>
      </w:r>
    </w:p>
    <w:p w14:paraId="07F98092" w14:textId="77777777" w:rsidR="000971BD" w:rsidRDefault="000971BD" w:rsidP="000971BD">
      <w:pPr>
        <w:rPr>
          <w:rFonts w:ascii="Arial" w:hAnsi="Arial" w:cs="Arial"/>
        </w:rPr>
      </w:pPr>
    </w:p>
    <w:p w14:paraId="09C60F33" w14:textId="7A09BBCE" w:rsidR="000971BD" w:rsidRPr="00BB1DA3" w:rsidRDefault="000971BD" w:rsidP="000971BD">
      <w:pPr>
        <w:rPr>
          <w:rFonts w:ascii="Arial" w:hAnsi="Arial" w:cs="Arial"/>
          <w:b/>
        </w:rPr>
      </w:pPr>
      <w:r>
        <w:rPr>
          <w:rFonts w:ascii="Arial" w:hAnsi="Arial" w:cs="Arial"/>
        </w:rPr>
        <w:t xml:space="preserve">Signed: </w:t>
      </w:r>
      <w:r>
        <w:rPr>
          <w:rFonts w:ascii="Blackadder ITC" w:hAnsi="Blackadder ITC" w:cs="Arial"/>
          <w:i/>
          <w:sz w:val="28"/>
        </w:rPr>
        <w:t>Shawn Long</w:t>
      </w:r>
      <w:r>
        <w:rPr>
          <w:rFonts w:ascii="Blackadder ITC" w:hAnsi="Blackadder ITC" w:cs="Arial"/>
          <w:i/>
          <w:sz w:val="28"/>
        </w:rPr>
        <w:tab/>
      </w:r>
      <w:r>
        <w:rPr>
          <w:rFonts w:ascii="Blackadder ITC" w:hAnsi="Blackadder ITC" w:cs="Arial"/>
          <w:i/>
          <w:sz w:val="28"/>
        </w:rPr>
        <w:tab/>
      </w:r>
      <w:r>
        <w:rPr>
          <w:rFonts w:ascii="Blackadder ITC" w:hAnsi="Blackadder ITC" w:cs="Arial"/>
          <w:i/>
          <w:sz w:val="28"/>
        </w:rPr>
        <w:tab/>
      </w:r>
      <w:r>
        <w:rPr>
          <w:rFonts w:ascii="Blackadder ITC" w:hAnsi="Blackadder ITC" w:cs="Arial"/>
          <w:i/>
          <w:sz w:val="28"/>
        </w:rPr>
        <w:tab/>
      </w:r>
      <w:r w:rsidRPr="00BB1DA3">
        <w:rPr>
          <w:rFonts w:ascii="Arial" w:hAnsi="Arial" w:cs="Arial"/>
        </w:rPr>
        <w:t>Date:</w:t>
      </w:r>
      <w:r w:rsidRPr="00BB1DA3">
        <w:rPr>
          <w:rFonts w:ascii="Arial" w:hAnsi="Arial" w:cs="Arial"/>
          <w:b/>
        </w:rPr>
        <w:t xml:space="preserve"> </w:t>
      </w:r>
      <w:r>
        <w:rPr>
          <w:rFonts w:ascii="Arial" w:hAnsi="Arial" w:cs="Arial"/>
        </w:rPr>
        <w:fldChar w:fldCharType="begin"/>
      </w:r>
      <w:r>
        <w:rPr>
          <w:rFonts w:ascii="Arial" w:hAnsi="Arial" w:cs="Arial"/>
        </w:rPr>
        <w:instrText xml:space="preserve"> DATE \@ "d/MM/yyyy" </w:instrText>
      </w:r>
      <w:r>
        <w:rPr>
          <w:rFonts w:ascii="Arial" w:hAnsi="Arial" w:cs="Arial"/>
        </w:rPr>
        <w:fldChar w:fldCharType="separate"/>
      </w:r>
      <w:r w:rsidR="00C91808">
        <w:rPr>
          <w:rFonts w:ascii="Arial" w:hAnsi="Arial" w:cs="Arial"/>
          <w:noProof/>
        </w:rPr>
        <w:t>14/01/2024</w:t>
      </w:r>
      <w:r>
        <w:rPr>
          <w:rFonts w:ascii="Arial" w:hAnsi="Arial" w:cs="Arial"/>
        </w:rPr>
        <w:fldChar w:fldCharType="end"/>
      </w:r>
    </w:p>
    <w:p w14:paraId="5D3D9C3A" w14:textId="2F7A4C1B" w:rsidR="00EE191C" w:rsidRDefault="00EE191C">
      <w:pPr>
        <w:rPr>
          <w:rFonts w:ascii="Arial" w:eastAsia="SimSun" w:hAnsi="Arial" w:cs="Mangal"/>
          <w:kern w:val="1"/>
          <w:sz w:val="24"/>
          <w:szCs w:val="32"/>
          <w:lang w:eastAsia="hi-IN" w:bidi="hi-IN"/>
          <w14:ligatures w14:val="none"/>
        </w:rPr>
      </w:pPr>
      <w:r>
        <w:rPr>
          <w:sz w:val="24"/>
          <w:szCs w:val="32"/>
        </w:rPr>
        <w:br w:type="page"/>
      </w:r>
    </w:p>
    <w:p w14:paraId="06D0C197" w14:textId="6BF22F2D" w:rsidR="009A3BE8" w:rsidRPr="00CD4DCA" w:rsidRDefault="004E55F4" w:rsidP="009A3BE8">
      <w:pPr>
        <w:pStyle w:val="Heading2"/>
        <w:ind w:left="567" w:hanging="567"/>
      </w:pPr>
      <w:bookmarkStart w:id="6" w:name="_Toc152168496"/>
      <w:r>
        <w:lastRenderedPageBreak/>
        <w:t>4</w:t>
      </w:r>
      <w:r w:rsidR="009A3BE8" w:rsidRPr="00CD4DCA">
        <w:t>.</w:t>
      </w:r>
      <w:r w:rsidR="009A3BE8" w:rsidRPr="00CD4DCA">
        <w:tab/>
        <w:t>Reference</w:t>
      </w:r>
      <w:bookmarkEnd w:id="6"/>
    </w:p>
    <w:p w14:paraId="1D3A7DE4" w14:textId="67367DB2" w:rsidR="004C28CA" w:rsidRPr="00CD4DCA" w:rsidRDefault="004C28CA" w:rsidP="004C28CA">
      <w:pPr>
        <w:pStyle w:val="NormalWeb"/>
        <w:spacing w:before="0" w:beforeAutospacing="0" w:after="0" w:afterAutospacing="0" w:line="360" w:lineRule="atLeast"/>
        <w:rPr>
          <w:rFonts w:ascii="Arial" w:hAnsi="Arial" w:cs="Arial"/>
          <w:color w:val="000000"/>
          <w:sz w:val="22"/>
          <w:szCs w:val="22"/>
          <w:lang w:val="en-AU"/>
        </w:rPr>
      </w:pPr>
      <w:r w:rsidRPr="00CD4DCA">
        <w:rPr>
          <w:rFonts w:ascii="Arial" w:hAnsi="Arial" w:cs="Arial"/>
          <w:color w:val="000000"/>
          <w:sz w:val="22"/>
          <w:szCs w:val="22"/>
          <w:lang w:val="en-AU"/>
        </w:rPr>
        <w:t>Amazon Web Services, Inc. (n.d.). </w:t>
      </w:r>
      <w:r w:rsidRPr="00CD4DCA">
        <w:rPr>
          <w:rFonts w:ascii="Arial" w:hAnsi="Arial" w:cs="Arial"/>
          <w:i/>
          <w:iCs/>
          <w:color w:val="000000"/>
          <w:sz w:val="22"/>
          <w:szCs w:val="22"/>
          <w:lang w:val="en-AU"/>
        </w:rPr>
        <w:t>Type 1 vs Type 2 Hypervisors - Difference Between Hypervisor Types - AWS</w:t>
      </w:r>
      <w:r w:rsidRPr="00CD4DCA">
        <w:rPr>
          <w:rFonts w:ascii="Arial" w:hAnsi="Arial" w:cs="Arial"/>
          <w:color w:val="000000"/>
          <w:sz w:val="22"/>
          <w:szCs w:val="22"/>
          <w:lang w:val="en-AU"/>
        </w:rPr>
        <w:t xml:space="preserve">. [online] Available at: </w:t>
      </w:r>
      <w:hyperlink r:id="rId15" w:history="1">
        <w:r w:rsidR="00734BC5" w:rsidRPr="00CD4DCA">
          <w:rPr>
            <w:rStyle w:val="Hyperlink"/>
            <w:rFonts w:ascii="Arial" w:hAnsi="Arial" w:cs="Arial"/>
            <w:sz w:val="22"/>
            <w:szCs w:val="22"/>
            <w:lang w:val="en-AU"/>
          </w:rPr>
          <w:t>https://aws.amazon.com/compare/the-difference-between-type-1-and-type-2-hypervisors/</w:t>
        </w:r>
      </w:hyperlink>
      <w:r w:rsidRPr="00CD4DCA">
        <w:rPr>
          <w:rFonts w:ascii="Arial" w:hAnsi="Arial" w:cs="Arial"/>
          <w:color w:val="000000"/>
          <w:sz w:val="22"/>
          <w:szCs w:val="22"/>
          <w:lang w:val="en-AU"/>
        </w:rPr>
        <w:t>.</w:t>
      </w:r>
    </w:p>
    <w:p w14:paraId="6394D885" w14:textId="77777777" w:rsidR="00734BC5" w:rsidRPr="00CD4DCA" w:rsidRDefault="00734BC5" w:rsidP="004C28CA">
      <w:pPr>
        <w:pStyle w:val="NormalWeb"/>
        <w:spacing w:before="0" w:beforeAutospacing="0" w:after="0" w:afterAutospacing="0" w:line="360" w:lineRule="atLeast"/>
        <w:rPr>
          <w:rFonts w:ascii="Arial" w:hAnsi="Arial" w:cs="Arial"/>
          <w:color w:val="000000"/>
          <w:sz w:val="22"/>
          <w:szCs w:val="22"/>
          <w:lang w:val="en-AU"/>
        </w:rPr>
      </w:pPr>
    </w:p>
    <w:p w14:paraId="49938260" w14:textId="0FF1141F" w:rsidR="00FE04B7" w:rsidRPr="00CD4DCA" w:rsidRDefault="004C28CA" w:rsidP="00FE04B7">
      <w:pPr>
        <w:pStyle w:val="NormalWeb"/>
        <w:spacing w:before="0" w:beforeAutospacing="0" w:after="0" w:afterAutospacing="0" w:line="360" w:lineRule="atLeast"/>
        <w:rPr>
          <w:rFonts w:ascii="Arial" w:hAnsi="Arial" w:cs="Arial"/>
          <w:color w:val="000000"/>
          <w:sz w:val="22"/>
          <w:szCs w:val="22"/>
          <w:lang w:val="en-AU"/>
        </w:rPr>
      </w:pPr>
      <w:r w:rsidRPr="00CD4DCA">
        <w:rPr>
          <w:rFonts w:ascii="Arial" w:hAnsi="Arial" w:cs="Arial"/>
          <w:color w:val="000000"/>
          <w:sz w:val="22"/>
          <w:szCs w:val="22"/>
          <w:lang w:val="en-AU"/>
        </w:rPr>
        <w:t>‌</w:t>
      </w:r>
      <w:r w:rsidR="00FE04B7" w:rsidRPr="00CD4DCA">
        <w:rPr>
          <w:rFonts w:ascii="Arial" w:hAnsi="Arial" w:cs="Arial"/>
          <w:color w:val="000000"/>
          <w:sz w:val="22"/>
          <w:szCs w:val="22"/>
          <w:lang w:val="en-AU"/>
        </w:rPr>
        <w:t xml:space="preserve"> Amazon Web Services, Inc. (n.d.). </w:t>
      </w:r>
      <w:r w:rsidR="00FE04B7" w:rsidRPr="00CD4DCA">
        <w:rPr>
          <w:rFonts w:ascii="Arial" w:hAnsi="Arial" w:cs="Arial"/>
          <w:i/>
          <w:iCs/>
          <w:color w:val="000000"/>
          <w:sz w:val="22"/>
          <w:szCs w:val="22"/>
          <w:lang w:val="en-AU"/>
        </w:rPr>
        <w:t xml:space="preserve">What is </w:t>
      </w:r>
      <w:r w:rsidR="00614C8F">
        <w:rPr>
          <w:rFonts w:ascii="Arial" w:hAnsi="Arial" w:cs="Arial"/>
          <w:i/>
          <w:iCs/>
          <w:color w:val="000000"/>
          <w:sz w:val="22"/>
          <w:szCs w:val="22"/>
          <w:lang w:val="en-AU"/>
        </w:rPr>
        <w:t>Virtualisation</w:t>
      </w:r>
      <w:r w:rsidR="00FE04B7" w:rsidRPr="00CD4DCA">
        <w:rPr>
          <w:rFonts w:ascii="Arial" w:hAnsi="Arial" w:cs="Arial"/>
          <w:i/>
          <w:iCs/>
          <w:color w:val="000000"/>
          <w:sz w:val="22"/>
          <w:szCs w:val="22"/>
          <w:lang w:val="en-AU"/>
        </w:rPr>
        <w:t xml:space="preserve">? - Cloud Computing </w:t>
      </w:r>
      <w:r w:rsidR="00614C8F">
        <w:rPr>
          <w:rFonts w:ascii="Arial" w:hAnsi="Arial" w:cs="Arial"/>
          <w:i/>
          <w:iCs/>
          <w:color w:val="000000"/>
          <w:sz w:val="22"/>
          <w:szCs w:val="22"/>
          <w:lang w:val="en-AU"/>
        </w:rPr>
        <w:t>Virtualisation</w:t>
      </w:r>
      <w:r w:rsidR="00FE04B7" w:rsidRPr="00CD4DCA">
        <w:rPr>
          <w:rFonts w:ascii="Arial" w:hAnsi="Arial" w:cs="Arial"/>
          <w:i/>
          <w:iCs/>
          <w:color w:val="000000"/>
          <w:sz w:val="22"/>
          <w:szCs w:val="22"/>
          <w:lang w:val="en-AU"/>
        </w:rPr>
        <w:t xml:space="preserve"> - AWS</w:t>
      </w:r>
      <w:r w:rsidR="00FE04B7" w:rsidRPr="00CD4DCA">
        <w:rPr>
          <w:rFonts w:ascii="Arial" w:hAnsi="Arial" w:cs="Arial"/>
          <w:color w:val="000000"/>
          <w:sz w:val="22"/>
          <w:szCs w:val="22"/>
          <w:lang w:val="en-AU"/>
        </w:rPr>
        <w:t xml:space="preserve">. [online] Available at: </w:t>
      </w:r>
      <w:hyperlink r:id="rId16" w:anchor=":~:text=Virtualization%20is%20technology%20that%20you" w:history="1">
        <w:r w:rsidR="00734BC5" w:rsidRPr="00CD4DCA">
          <w:rPr>
            <w:rStyle w:val="Hyperlink"/>
            <w:rFonts w:ascii="Arial" w:hAnsi="Arial" w:cs="Arial"/>
            <w:sz w:val="22"/>
            <w:szCs w:val="22"/>
            <w:lang w:val="en-AU"/>
          </w:rPr>
          <w:t>https://aws.amazon.com/what-is/</w:t>
        </w:r>
        <w:r w:rsidR="00614C8F">
          <w:rPr>
            <w:rStyle w:val="Hyperlink"/>
            <w:rFonts w:ascii="Arial" w:hAnsi="Arial" w:cs="Arial"/>
            <w:sz w:val="22"/>
            <w:szCs w:val="22"/>
            <w:lang w:val="en-AU"/>
          </w:rPr>
          <w:t>virtualisation</w:t>
        </w:r>
        <w:r w:rsidR="00734BC5" w:rsidRPr="00CD4DCA">
          <w:rPr>
            <w:rStyle w:val="Hyperlink"/>
            <w:rFonts w:ascii="Arial" w:hAnsi="Arial" w:cs="Arial"/>
            <w:sz w:val="22"/>
            <w:szCs w:val="22"/>
            <w:lang w:val="en-AU"/>
          </w:rPr>
          <w:t>/#:~:text=</w:t>
        </w:r>
        <w:r w:rsidR="00614C8F">
          <w:rPr>
            <w:rStyle w:val="Hyperlink"/>
            <w:rFonts w:ascii="Arial" w:hAnsi="Arial" w:cs="Arial"/>
            <w:sz w:val="22"/>
            <w:szCs w:val="22"/>
            <w:lang w:val="en-AU"/>
          </w:rPr>
          <w:t>Virtualisation</w:t>
        </w:r>
        <w:r w:rsidR="00734BC5" w:rsidRPr="00CD4DCA">
          <w:rPr>
            <w:rStyle w:val="Hyperlink"/>
            <w:rFonts w:ascii="Arial" w:hAnsi="Arial" w:cs="Arial"/>
            <w:sz w:val="22"/>
            <w:szCs w:val="22"/>
            <w:lang w:val="en-AU"/>
          </w:rPr>
          <w:t>%20is%20technology%20that%20you</w:t>
        </w:r>
      </w:hyperlink>
      <w:r w:rsidR="00FE04B7" w:rsidRPr="00CD4DCA">
        <w:rPr>
          <w:rFonts w:ascii="Arial" w:hAnsi="Arial" w:cs="Arial"/>
          <w:color w:val="000000"/>
          <w:sz w:val="22"/>
          <w:szCs w:val="22"/>
          <w:lang w:val="en-AU"/>
        </w:rPr>
        <w:t>.</w:t>
      </w:r>
    </w:p>
    <w:p w14:paraId="711AA285" w14:textId="77777777" w:rsidR="00734BC5" w:rsidRPr="00CD4DCA" w:rsidRDefault="00734BC5" w:rsidP="00FE04B7">
      <w:pPr>
        <w:pStyle w:val="NormalWeb"/>
        <w:spacing w:before="0" w:beforeAutospacing="0" w:after="0" w:afterAutospacing="0" w:line="360" w:lineRule="atLeast"/>
        <w:rPr>
          <w:rFonts w:ascii="Arial" w:hAnsi="Arial" w:cs="Arial"/>
          <w:color w:val="000000"/>
          <w:sz w:val="22"/>
          <w:szCs w:val="22"/>
          <w:lang w:val="en-AU"/>
        </w:rPr>
      </w:pPr>
    </w:p>
    <w:p w14:paraId="3F2F55F8" w14:textId="37C046F7" w:rsidR="00734BC5" w:rsidRPr="00CD4DCA" w:rsidRDefault="00FE04B7" w:rsidP="00734BC5">
      <w:pPr>
        <w:pStyle w:val="NormalWeb"/>
        <w:spacing w:before="0" w:beforeAutospacing="0" w:after="0" w:afterAutospacing="0" w:line="360" w:lineRule="atLeast"/>
        <w:rPr>
          <w:rFonts w:ascii="Arial" w:hAnsi="Arial" w:cs="Arial"/>
          <w:color w:val="000000"/>
          <w:sz w:val="22"/>
          <w:szCs w:val="22"/>
          <w:lang w:val="en-AU"/>
        </w:rPr>
      </w:pPr>
      <w:r w:rsidRPr="00CD4DCA">
        <w:rPr>
          <w:rFonts w:ascii="Arial" w:hAnsi="Arial" w:cs="Arial"/>
          <w:color w:val="000000"/>
          <w:sz w:val="22"/>
          <w:szCs w:val="22"/>
          <w:lang w:val="en-AU"/>
        </w:rPr>
        <w:t>‌</w:t>
      </w:r>
      <w:r w:rsidR="00734BC5" w:rsidRPr="00CD4DCA">
        <w:rPr>
          <w:rFonts w:ascii="Arial" w:hAnsi="Arial" w:cs="Arial"/>
          <w:color w:val="000000"/>
          <w:sz w:val="22"/>
          <w:szCs w:val="22"/>
          <w:lang w:val="en-AU"/>
        </w:rPr>
        <w:t xml:space="preserve"> Shamir, J. (2021). </w:t>
      </w:r>
      <w:r w:rsidR="00734BC5" w:rsidRPr="00CD4DCA">
        <w:rPr>
          <w:rFonts w:ascii="Arial" w:hAnsi="Arial" w:cs="Arial"/>
          <w:i/>
          <w:iCs/>
          <w:color w:val="000000"/>
          <w:sz w:val="22"/>
          <w:szCs w:val="22"/>
          <w:lang w:val="en-AU"/>
        </w:rPr>
        <w:t xml:space="preserve">5 Benefits of </w:t>
      </w:r>
      <w:r w:rsidR="00614C8F">
        <w:rPr>
          <w:rFonts w:ascii="Arial" w:hAnsi="Arial" w:cs="Arial"/>
          <w:i/>
          <w:iCs/>
          <w:color w:val="000000"/>
          <w:sz w:val="22"/>
          <w:szCs w:val="22"/>
          <w:lang w:val="en-AU"/>
        </w:rPr>
        <w:t>Virtualisation</w:t>
      </w:r>
      <w:r w:rsidR="00734BC5" w:rsidRPr="00CD4DCA">
        <w:rPr>
          <w:rFonts w:ascii="Arial" w:hAnsi="Arial" w:cs="Arial"/>
          <w:color w:val="000000"/>
          <w:sz w:val="22"/>
          <w:szCs w:val="22"/>
          <w:lang w:val="en-AU"/>
        </w:rPr>
        <w:t xml:space="preserve">. [online] IBM Blog. Available at: </w:t>
      </w:r>
      <w:hyperlink r:id="rId17" w:history="1">
        <w:r w:rsidR="00A758B2" w:rsidRPr="00CD4DCA">
          <w:rPr>
            <w:rStyle w:val="Hyperlink"/>
            <w:rFonts w:ascii="Arial" w:hAnsi="Arial" w:cs="Arial"/>
            <w:sz w:val="22"/>
            <w:szCs w:val="22"/>
            <w:lang w:val="en-AU"/>
          </w:rPr>
          <w:t>https://www.ibm.com/blog/5-benefits-of-</w:t>
        </w:r>
        <w:r w:rsidR="00614C8F">
          <w:rPr>
            <w:rStyle w:val="Hyperlink"/>
            <w:rFonts w:ascii="Arial" w:hAnsi="Arial" w:cs="Arial"/>
            <w:sz w:val="22"/>
            <w:szCs w:val="22"/>
            <w:lang w:val="en-AU"/>
          </w:rPr>
          <w:t>virtualisation</w:t>
        </w:r>
        <w:r w:rsidR="00A758B2" w:rsidRPr="00CD4DCA">
          <w:rPr>
            <w:rStyle w:val="Hyperlink"/>
            <w:rFonts w:ascii="Arial" w:hAnsi="Arial" w:cs="Arial"/>
            <w:sz w:val="22"/>
            <w:szCs w:val="22"/>
            <w:lang w:val="en-AU"/>
          </w:rPr>
          <w:t>/</w:t>
        </w:r>
      </w:hyperlink>
      <w:r w:rsidR="00734BC5" w:rsidRPr="00CD4DCA">
        <w:rPr>
          <w:rFonts w:ascii="Arial" w:hAnsi="Arial" w:cs="Arial"/>
          <w:color w:val="000000"/>
          <w:sz w:val="22"/>
          <w:szCs w:val="22"/>
          <w:lang w:val="en-AU"/>
        </w:rPr>
        <w:t>.</w:t>
      </w:r>
    </w:p>
    <w:p w14:paraId="025086C6" w14:textId="77777777" w:rsidR="00A758B2" w:rsidRPr="00CD4DCA" w:rsidRDefault="00A758B2" w:rsidP="00734BC5">
      <w:pPr>
        <w:pStyle w:val="NormalWeb"/>
        <w:spacing w:before="0" w:beforeAutospacing="0" w:after="0" w:afterAutospacing="0" w:line="360" w:lineRule="atLeast"/>
        <w:rPr>
          <w:rFonts w:ascii="Arial" w:hAnsi="Arial" w:cs="Arial"/>
          <w:color w:val="000000"/>
          <w:sz w:val="22"/>
          <w:szCs w:val="22"/>
          <w:lang w:val="en-AU"/>
        </w:rPr>
      </w:pPr>
    </w:p>
    <w:p w14:paraId="745EB1FF" w14:textId="47D23DD5" w:rsidR="00A758B2" w:rsidRPr="00CD4DCA" w:rsidRDefault="00A758B2" w:rsidP="00A758B2">
      <w:pPr>
        <w:pStyle w:val="NormalWeb"/>
        <w:spacing w:before="0" w:beforeAutospacing="0" w:after="0" w:afterAutospacing="0" w:line="360" w:lineRule="atLeast"/>
        <w:rPr>
          <w:rFonts w:ascii="Arial" w:hAnsi="Arial" w:cs="Arial"/>
          <w:color w:val="000000"/>
          <w:sz w:val="22"/>
          <w:szCs w:val="22"/>
          <w:lang w:val="en-AU"/>
        </w:rPr>
      </w:pPr>
      <w:r w:rsidRPr="00CD4DCA">
        <w:rPr>
          <w:rFonts w:ascii="Arial" w:hAnsi="Arial" w:cs="Arial"/>
          <w:color w:val="000000"/>
          <w:sz w:val="22"/>
          <w:szCs w:val="22"/>
          <w:lang w:val="en-AU"/>
        </w:rPr>
        <w:t>Bose, M. (2023). </w:t>
      </w:r>
      <w:r w:rsidRPr="00CD4DCA">
        <w:rPr>
          <w:rFonts w:ascii="Arial" w:hAnsi="Arial" w:cs="Arial"/>
          <w:i/>
          <w:iCs/>
          <w:color w:val="000000"/>
          <w:sz w:val="22"/>
          <w:szCs w:val="22"/>
          <w:lang w:val="en-AU"/>
        </w:rPr>
        <w:t>High Availability vs Fault Tolerance vs Disaster Recovery</w:t>
      </w:r>
      <w:r w:rsidRPr="00CD4DCA">
        <w:rPr>
          <w:rFonts w:ascii="Arial" w:hAnsi="Arial" w:cs="Arial"/>
          <w:color w:val="000000"/>
          <w:sz w:val="22"/>
          <w:szCs w:val="22"/>
          <w:lang w:val="en-AU"/>
        </w:rPr>
        <w:t xml:space="preserve">. [online] Official NAKIVO Blog. Available at: </w:t>
      </w:r>
      <w:hyperlink r:id="rId18" w:history="1">
        <w:r w:rsidRPr="00CD4DCA">
          <w:rPr>
            <w:rStyle w:val="Hyperlink"/>
            <w:rFonts w:ascii="Arial" w:hAnsi="Arial" w:cs="Arial"/>
            <w:sz w:val="22"/>
            <w:szCs w:val="22"/>
            <w:lang w:val="en-AU"/>
          </w:rPr>
          <w:t>https://www.nakivo.com/blog/disaster-recovery-vs-high-availability-vs-fault-tolerance/</w:t>
        </w:r>
      </w:hyperlink>
      <w:r w:rsidRPr="00CD4DCA">
        <w:rPr>
          <w:rFonts w:ascii="Arial" w:hAnsi="Arial" w:cs="Arial"/>
          <w:color w:val="000000"/>
          <w:sz w:val="22"/>
          <w:szCs w:val="22"/>
          <w:lang w:val="en-AU"/>
        </w:rPr>
        <w:t>.</w:t>
      </w:r>
    </w:p>
    <w:p w14:paraId="6E1A212D" w14:textId="77777777" w:rsidR="00A758B2" w:rsidRPr="00CD4DCA" w:rsidRDefault="00A758B2" w:rsidP="00A758B2">
      <w:pPr>
        <w:pStyle w:val="NormalWeb"/>
        <w:spacing w:before="0" w:beforeAutospacing="0" w:after="0" w:afterAutospacing="0" w:line="360" w:lineRule="atLeast"/>
        <w:rPr>
          <w:rFonts w:ascii="Arial" w:hAnsi="Arial" w:cs="Arial"/>
          <w:color w:val="000000"/>
          <w:sz w:val="27"/>
          <w:szCs w:val="27"/>
          <w:lang w:val="en-AU"/>
        </w:rPr>
      </w:pPr>
    </w:p>
    <w:p w14:paraId="6FDF6A23" w14:textId="77777777" w:rsidR="00A758B2" w:rsidRPr="00CD4DCA" w:rsidRDefault="00A758B2" w:rsidP="00A758B2">
      <w:pPr>
        <w:pStyle w:val="NormalWeb"/>
        <w:rPr>
          <w:rFonts w:ascii="Calibri" w:hAnsi="Calibri" w:cs="Calibri"/>
          <w:color w:val="000000"/>
          <w:sz w:val="27"/>
          <w:szCs w:val="27"/>
          <w:lang w:val="en-AU"/>
        </w:rPr>
      </w:pPr>
      <w:r w:rsidRPr="00CD4DCA">
        <w:rPr>
          <w:rFonts w:ascii="Calibri" w:hAnsi="Calibri" w:cs="Calibri"/>
          <w:color w:val="000000"/>
          <w:sz w:val="27"/>
          <w:szCs w:val="27"/>
          <w:lang w:val="en-AU"/>
        </w:rPr>
        <w:t>‌</w:t>
      </w:r>
    </w:p>
    <w:p w14:paraId="39AA8CDA" w14:textId="77777777" w:rsidR="00A758B2" w:rsidRPr="00CD4DCA" w:rsidRDefault="00A758B2" w:rsidP="00734BC5">
      <w:pPr>
        <w:pStyle w:val="NormalWeb"/>
        <w:spacing w:before="0" w:beforeAutospacing="0" w:after="0" w:afterAutospacing="0" w:line="360" w:lineRule="atLeast"/>
        <w:rPr>
          <w:rFonts w:ascii="Calibri" w:hAnsi="Calibri" w:cs="Calibri"/>
          <w:color w:val="000000"/>
          <w:sz w:val="27"/>
          <w:szCs w:val="27"/>
          <w:lang w:val="en-AU"/>
        </w:rPr>
      </w:pPr>
    </w:p>
    <w:p w14:paraId="1601D773" w14:textId="77777777" w:rsidR="00734BC5" w:rsidRPr="00CD4DCA" w:rsidRDefault="00734BC5" w:rsidP="00734BC5">
      <w:pPr>
        <w:pStyle w:val="NormalWeb"/>
        <w:rPr>
          <w:rFonts w:ascii="Calibri" w:hAnsi="Calibri" w:cs="Calibri"/>
          <w:color w:val="000000"/>
          <w:sz w:val="27"/>
          <w:szCs w:val="27"/>
          <w:lang w:val="en-AU"/>
        </w:rPr>
      </w:pPr>
      <w:r w:rsidRPr="00CD4DCA">
        <w:rPr>
          <w:rFonts w:ascii="Calibri" w:hAnsi="Calibri" w:cs="Calibri"/>
          <w:color w:val="000000"/>
          <w:sz w:val="27"/>
          <w:szCs w:val="27"/>
          <w:lang w:val="en-AU"/>
        </w:rPr>
        <w:t>‌</w:t>
      </w:r>
    </w:p>
    <w:p w14:paraId="3AFD6901" w14:textId="5FB30DC6" w:rsidR="00FE04B7" w:rsidRPr="00CD4DCA" w:rsidRDefault="00FE04B7" w:rsidP="00FE04B7">
      <w:pPr>
        <w:pStyle w:val="NormalWeb"/>
        <w:rPr>
          <w:rFonts w:ascii="Calibri" w:hAnsi="Calibri" w:cs="Calibri"/>
          <w:color w:val="000000"/>
          <w:sz w:val="27"/>
          <w:szCs w:val="27"/>
          <w:lang w:val="en-AU"/>
        </w:rPr>
      </w:pPr>
    </w:p>
    <w:p w14:paraId="67FC53E4" w14:textId="26B213D2" w:rsidR="004C28CA" w:rsidRPr="00CD4DCA" w:rsidRDefault="004C28CA" w:rsidP="004C28CA">
      <w:pPr>
        <w:pStyle w:val="NormalWeb"/>
        <w:rPr>
          <w:rFonts w:ascii="Calibri" w:hAnsi="Calibri" w:cs="Calibri"/>
          <w:color w:val="000000"/>
          <w:sz w:val="27"/>
          <w:szCs w:val="27"/>
          <w:lang w:val="en-AU"/>
        </w:rPr>
      </w:pPr>
    </w:p>
    <w:p w14:paraId="1C99A0EA" w14:textId="77777777" w:rsidR="004C28CA" w:rsidRPr="000B61EF" w:rsidRDefault="004C28CA" w:rsidP="00EF23CF">
      <w:pPr>
        <w:rPr>
          <w:sz w:val="24"/>
          <w:szCs w:val="32"/>
        </w:rPr>
      </w:pPr>
    </w:p>
    <w:sectPr w:rsidR="004C28CA" w:rsidRPr="000B61EF" w:rsidSect="00A74B1C">
      <w:footerReference w:type="default" r:id="rId1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42EA" w14:textId="77777777" w:rsidR="001B004F" w:rsidRPr="00CD4DCA" w:rsidRDefault="001B004F" w:rsidP="0021230D">
      <w:pPr>
        <w:spacing w:after="0" w:line="240" w:lineRule="auto"/>
      </w:pPr>
      <w:r w:rsidRPr="00CD4DCA">
        <w:separator/>
      </w:r>
    </w:p>
  </w:endnote>
  <w:endnote w:type="continuationSeparator" w:id="0">
    <w:p w14:paraId="2D823306" w14:textId="77777777" w:rsidR="001B004F" w:rsidRPr="00CD4DCA" w:rsidRDefault="001B004F" w:rsidP="0021230D">
      <w:pPr>
        <w:spacing w:after="0" w:line="240" w:lineRule="auto"/>
      </w:pPr>
      <w:r w:rsidRPr="00CD4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auhaus 93">
    <w:panose1 w:val="04030905020B02020C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335485"/>
      <w:docPartObj>
        <w:docPartGallery w:val="Page Numbers (Bottom of Page)"/>
        <w:docPartUnique/>
      </w:docPartObj>
    </w:sdtPr>
    <w:sdtEndPr/>
    <w:sdtContent>
      <w:p w14:paraId="51E2BEA3" w14:textId="7F43D7E9" w:rsidR="0021230D" w:rsidRPr="00CD4DCA" w:rsidRDefault="0021230D">
        <w:pPr>
          <w:pStyle w:val="Footer"/>
          <w:jc w:val="right"/>
        </w:pPr>
        <w:r w:rsidRPr="00CD4DCA">
          <w:fldChar w:fldCharType="begin"/>
        </w:r>
        <w:r w:rsidRPr="00CD4DCA">
          <w:instrText xml:space="preserve"> PAGE   \* MERGEFORMAT </w:instrText>
        </w:r>
        <w:r w:rsidRPr="00CD4DCA">
          <w:fldChar w:fldCharType="separate"/>
        </w:r>
        <w:r w:rsidRPr="00CD4DCA">
          <w:t>2</w:t>
        </w:r>
        <w:r w:rsidRPr="00CD4DCA">
          <w:fldChar w:fldCharType="end"/>
        </w:r>
      </w:p>
    </w:sdtContent>
  </w:sdt>
  <w:p w14:paraId="3149CA22" w14:textId="77777777" w:rsidR="0021230D" w:rsidRPr="00CD4DCA" w:rsidRDefault="00212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EA4D" w14:textId="77777777" w:rsidR="001B004F" w:rsidRPr="00CD4DCA" w:rsidRDefault="001B004F" w:rsidP="0021230D">
      <w:pPr>
        <w:spacing w:after="0" w:line="240" w:lineRule="auto"/>
      </w:pPr>
      <w:r w:rsidRPr="00CD4DCA">
        <w:separator/>
      </w:r>
    </w:p>
  </w:footnote>
  <w:footnote w:type="continuationSeparator" w:id="0">
    <w:p w14:paraId="5383CD0B" w14:textId="77777777" w:rsidR="001B004F" w:rsidRPr="00CD4DCA" w:rsidRDefault="001B004F" w:rsidP="0021230D">
      <w:pPr>
        <w:spacing w:after="0" w:line="240" w:lineRule="auto"/>
      </w:pPr>
      <w:r w:rsidRPr="00CD4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8F3"/>
    <w:multiLevelType w:val="hybridMultilevel"/>
    <w:tmpl w:val="7D209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3B6BD8"/>
    <w:multiLevelType w:val="hybridMultilevel"/>
    <w:tmpl w:val="097ACA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4E2810"/>
    <w:multiLevelType w:val="hybridMultilevel"/>
    <w:tmpl w:val="7D209F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CE5E85"/>
    <w:multiLevelType w:val="hybridMultilevel"/>
    <w:tmpl w:val="4FC4859E"/>
    <w:lvl w:ilvl="0" w:tplc="B9A462B6">
      <w:start w:val="1"/>
      <w:numFmt w:val="bullet"/>
      <w:lvlText w:val=""/>
      <w:lvlJc w:val="left"/>
      <w:pPr>
        <w:ind w:left="1494" w:hanging="360"/>
      </w:pPr>
      <w:rPr>
        <w:rFonts w:ascii="Symbol" w:eastAsia="SimSun" w:hAnsi="Symbol" w:cs="Mang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46D22010"/>
    <w:multiLevelType w:val="hybridMultilevel"/>
    <w:tmpl w:val="60D2D8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677222"/>
    <w:multiLevelType w:val="hybridMultilevel"/>
    <w:tmpl w:val="EF784EDA"/>
    <w:lvl w:ilvl="0" w:tplc="8ED27438">
      <w:start w:val="1"/>
      <w:numFmt w:val="bullet"/>
      <w:lvlText w:val="-"/>
      <w:lvlJc w:val="left"/>
      <w:pPr>
        <w:ind w:left="1854" w:hanging="360"/>
      </w:pPr>
      <w:rPr>
        <w:rFonts w:ascii="Arial" w:eastAsia="SimSun" w:hAnsi="Arial" w:cs="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305696144">
    <w:abstractNumId w:val="0"/>
  </w:num>
  <w:num w:numId="2" w16cid:durableId="646086048">
    <w:abstractNumId w:val="2"/>
  </w:num>
  <w:num w:numId="3" w16cid:durableId="99838261">
    <w:abstractNumId w:val="1"/>
  </w:num>
  <w:num w:numId="4" w16cid:durableId="1040400062">
    <w:abstractNumId w:val="4"/>
  </w:num>
  <w:num w:numId="5" w16cid:durableId="1217741727">
    <w:abstractNumId w:val="3"/>
  </w:num>
  <w:num w:numId="6" w16cid:durableId="426926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CF"/>
    <w:rsid w:val="00016CAD"/>
    <w:rsid w:val="000437A5"/>
    <w:rsid w:val="000532A1"/>
    <w:rsid w:val="0007152D"/>
    <w:rsid w:val="00074CA3"/>
    <w:rsid w:val="000835F6"/>
    <w:rsid w:val="000949F2"/>
    <w:rsid w:val="00095F00"/>
    <w:rsid w:val="000971BD"/>
    <w:rsid w:val="000A0A6D"/>
    <w:rsid w:val="000A0FF1"/>
    <w:rsid w:val="000A15A1"/>
    <w:rsid w:val="000A50D2"/>
    <w:rsid w:val="000B1F9E"/>
    <w:rsid w:val="000B61EF"/>
    <w:rsid w:val="000E527F"/>
    <w:rsid w:val="00120AD5"/>
    <w:rsid w:val="0012640A"/>
    <w:rsid w:val="0013383F"/>
    <w:rsid w:val="0013679D"/>
    <w:rsid w:val="001642E3"/>
    <w:rsid w:val="001733F1"/>
    <w:rsid w:val="0017367F"/>
    <w:rsid w:val="00173C9F"/>
    <w:rsid w:val="001A1903"/>
    <w:rsid w:val="001A2FDE"/>
    <w:rsid w:val="001B004F"/>
    <w:rsid w:val="001C747E"/>
    <w:rsid w:val="0021230D"/>
    <w:rsid w:val="00237AAD"/>
    <w:rsid w:val="00250B43"/>
    <w:rsid w:val="002522F2"/>
    <w:rsid w:val="00260DFF"/>
    <w:rsid w:val="00264A3E"/>
    <w:rsid w:val="00277D20"/>
    <w:rsid w:val="00280327"/>
    <w:rsid w:val="00280609"/>
    <w:rsid w:val="00285166"/>
    <w:rsid w:val="002868DF"/>
    <w:rsid w:val="002954D2"/>
    <w:rsid w:val="002B1614"/>
    <w:rsid w:val="002D53D6"/>
    <w:rsid w:val="002D5A82"/>
    <w:rsid w:val="00305F37"/>
    <w:rsid w:val="003113E1"/>
    <w:rsid w:val="003123EB"/>
    <w:rsid w:val="00343006"/>
    <w:rsid w:val="00372E49"/>
    <w:rsid w:val="003834E7"/>
    <w:rsid w:val="00394D0B"/>
    <w:rsid w:val="003B0A53"/>
    <w:rsid w:val="003C312E"/>
    <w:rsid w:val="003E0375"/>
    <w:rsid w:val="0042566B"/>
    <w:rsid w:val="0049208D"/>
    <w:rsid w:val="004A02E5"/>
    <w:rsid w:val="004A1341"/>
    <w:rsid w:val="004B3AB4"/>
    <w:rsid w:val="004C28CA"/>
    <w:rsid w:val="004D7857"/>
    <w:rsid w:val="004E55F4"/>
    <w:rsid w:val="0050079D"/>
    <w:rsid w:val="00550338"/>
    <w:rsid w:val="005556E6"/>
    <w:rsid w:val="00560749"/>
    <w:rsid w:val="00564EDA"/>
    <w:rsid w:val="00582332"/>
    <w:rsid w:val="00590A73"/>
    <w:rsid w:val="00590EDD"/>
    <w:rsid w:val="005B3543"/>
    <w:rsid w:val="005D4E71"/>
    <w:rsid w:val="005D7EDA"/>
    <w:rsid w:val="00611245"/>
    <w:rsid w:val="00614C8F"/>
    <w:rsid w:val="00633F5C"/>
    <w:rsid w:val="00660FCC"/>
    <w:rsid w:val="00664849"/>
    <w:rsid w:val="00676717"/>
    <w:rsid w:val="00696086"/>
    <w:rsid w:val="006B0B08"/>
    <w:rsid w:val="006C0BB1"/>
    <w:rsid w:val="006D7110"/>
    <w:rsid w:val="006E171D"/>
    <w:rsid w:val="006E1AB3"/>
    <w:rsid w:val="006E51C0"/>
    <w:rsid w:val="00715EA0"/>
    <w:rsid w:val="00734BC5"/>
    <w:rsid w:val="00741BF7"/>
    <w:rsid w:val="0075271E"/>
    <w:rsid w:val="007604C8"/>
    <w:rsid w:val="00771FD3"/>
    <w:rsid w:val="007825FE"/>
    <w:rsid w:val="007B1EFE"/>
    <w:rsid w:val="007E1B43"/>
    <w:rsid w:val="007F2226"/>
    <w:rsid w:val="00800E25"/>
    <w:rsid w:val="00801BFB"/>
    <w:rsid w:val="00804386"/>
    <w:rsid w:val="00810331"/>
    <w:rsid w:val="008138D2"/>
    <w:rsid w:val="008325AE"/>
    <w:rsid w:val="00876325"/>
    <w:rsid w:val="008772DC"/>
    <w:rsid w:val="00880A53"/>
    <w:rsid w:val="00896C2C"/>
    <w:rsid w:val="008B27C3"/>
    <w:rsid w:val="008C26B8"/>
    <w:rsid w:val="008D7001"/>
    <w:rsid w:val="008E58FE"/>
    <w:rsid w:val="008F093E"/>
    <w:rsid w:val="009005AE"/>
    <w:rsid w:val="00911165"/>
    <w:rsid w:val="0093567B"/>
    <w:rsid w:val="0096371B"/>
    <w:rsid w:val="00985404"/>
    <w:rsid w:val="00987773"/>
    <w:rsid w:val="0099609F"/>
    <w:rsid w:val="009A3BE8"/>
    <w:rsid w:val="00A315BD"/>
    <w:rsid w:val="00A32BD2"/>
    <w:rsid w:val="00A4153C"/>
    <w:rsid w:val="00A42894"/>
    <w:rsid w:val="00A46FB1"/>
    <w:rsid w:val="00A74B1C"/>
    <w:rsid w:val="00A758B2"/>
    <w:rsid w:val="00A76D9D"/>
    <w:rsid w:val="00A8021B"/>
    <w:rsid w:val="00A947EC"/>
    <w:rsid w:val="00AD6785"/>
    <w:rsid w:val="00B311C7"/>
    <w:rsid w:val="00B32294"/>
    <w:rsid w:val="00B362AC"/>
    <w:rsid w:val="00B714D3"/>
    <w:rsid w:val="00B77FDF"/>
    <w:rsid w:val="00B97359"/>
    <w:rsid w:val="00BA5EC8"/>
    <w:rsid w:val="00BE7692"/>
    <w:rsid w:val="00C15EB1"/>
    <w:rsid w:val="00C32101"/>
    <w:rsid w:val="00C425D0"/>
    <w:rsid w:val="00C436D3"/>
    <w:rsid w:val="00C53C5B"/>
    <w:rsid w:val="00C60118"/>
    <w:rsid w:val="00C67216"/>
    <w:rsid w:val="00C83855"/>
    <w:rsid w:val="00C8504D"/>
    <w:rsid w:val="00C8747A"/>
    <w:rsid w:val="00C91808"/>
    <w:rsid w:val="00C922EC"/>
    <w:rsid w:val="00CB3AC8"/>
    <w:rsid w:val="00CD4DCA"/>
    <w:rsid w:val="00CE7C49"/>
    <w:rsid w:val="00D05895"/>
    <w:rsid w:val="00D06C25"/>
    <w:rsid w:val="00D1295C"/>
    <w:rsid w:val="00D12C46"/>
    <w:rsid w:val="00D236B1"/>
    <w:rsid w:val="00D508FF"/>
    <w:rsid w:val="00D7011A"/>
    <w:rsid w:val="00D931DF"/>
    <w:rsid w:val="00DA3F02"/>
    <w:rsid w:val="00DC66CD"/>
    <w:rsid w:val="00DD2339"/>
    <w:rsid w:val="00DD2D5F"/>
    <w:rsid w:val="00DE5C59"/>
    <w:rsid w:val="00E16F30"/>
    <w:rsid w:val="00E33420"/>
    <w:rsid w:val="00E35F81"/>
    <w:rsid w:val="00E42326"/>
    <w:rsid w:val="00E51727"/>
    <w:rsid w:val="00E61230"/>
    <w:rsid w:val="00E70F61"/>
    <w:rsid w:val="00E87C82"/>
    <w:rsid w:val="00E935BB"/>
    <w:rsid w:val="00EC2D62"/>
    <w:rsid w:val="00ED3801"/>
    <w:rsid w:val="00EE191C"/>
    <w:rsid w:val="00EE5BF9"/>
    <w:rsid w:val="00EF23CF"/>
    <w:rsid w:val="00F02853"/>
    <w:rsid w:val="00F209E8"/>
    <w:rsid w:val="00F2192E"/>
    <w:rsid w:val="00F23829"/>
    <w:rsid w:val="00F52CFE"/>
    <w:rsid w:val="00F64359"/>
    <w:rsid w:val="00F72A33"/>
    <w:rsid w:val="00F92D8B"/>
    <w:rsid w:val="00FB1BBE"/>
    <w:rsid w:val="00FD648D"/>
    <w:rsid w:val="00FE04B7"/>
    <w:rsid w:val="00FE5F9F"/>
    <w:rsid w:val="00FF4B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66FB"/>
  <w15:chartTrackingRefBased/>
  <w15:docId w15:val="{A7DE2A28-B39C-41E6-A229-BB9F3D1A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0B61EF"/>
    <w:pPr>
      <w:keepNext/>
      <w:keepLines/>
      <w:widowControl w:val="0"/>
      <w:suppressAutoHyphens/>
      <w:spacing w:before="480" w:after="120" w:line="300" w:lineRule="auto"/>
      <w:outlineLvl w:val="0"/>
    </w:pPr>
    <w:rPr>
      <w:rFonts w:asciiTheme="majorHAnsi" w:eastAsiaTheme="majorEastAsia" w:hAnsiTheme="majorHAnsi" w:cs="Mangal"/>
      <w:b/>
      <w:bCs/>
      <w:kern w:val="1"/>
      <w:sz w:val="28"/>
      <w:szCs w:val="25"/>
      <w:lang w:eastAsia="hi-IN" w:bidi="hi-IN"/>
      <w14:ligatures w14:val="none"/>
    </w:rPr>
  </w:style>
  <w:style w:type="paragraph" w:styleId="Heading2">
    <w:name w:val="heading 2"/>
    <w:basedOn w:val="Normal"/>
    <w:next w:val="Normal"/>
    <w:link w:val="Heading2Char"/>
    <w:uiPriority w:val="9"/>
    <w:unhideWhenUsed/>
    <w:qFormat/>
    <w:rsid w:val="000B61EF"/>
    <w:pPr>
      <w:keepNext/>
      <w:keepLines/>
      <w:widowControl w:val="0"/>
      <w:suppressAutoHyphens/>
      <w:spacing w:before="200" w:after="120" w:line="300" w:lineRule="auto"/>
      <w:outlineLvl w:val="1"/>
    </w:pPr>
    <w:rPr>
      <w:rFonts w:asciiTheme="majorHAnsi" w:eastAsiaTheme="majorEastAsia" w:hAnsiTheme="majorHAnsi" w:cs="Mangal"/>
      <w:b/>
      <w:bCs/>
      <w:kern w:val="1"/>
      <w:sz w:val="26"/>
      <w:szCs w:val="23"/>
      <w:lang w:eastAsia="hi-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EF"/>
    <w:rPr>
      <w:rFonts w:asciiTheme="majorHAnsi" w:eastAsiaTheme="majorEastAsia" w:hAnsiTheme="majorHAnsi" w:cs="Mangal"/>
      <w:b/>
      <w:bCs/>
      <w:kern w:val="1"/>
      <w:sz w:val="28"/>
      <w:szCs w:val="25"/>
      <w:lang w:val="en-AU" w:eastAsia="hi-IN" w:bidi="hi-IN"/>
      <w14:ligatures w14:val="none"/>
    </w:rPr>
  </w:style>
  <w:style w:type="character" w:customStyle="1" w:styleId="Heading2Char">
    <w:name w:val="Heading 2 Char"/>
    <w:basedOn w:val="DefaultParagraphFont"/>
    <w:link w:val="Heading2"/>
    <w:uiPriority w:val="9"/>
    <w:rsid w:val="000B61EF"/>
    <w:rPr>
      <w:rFonts w:asciiTheme="majorHAnsi" w:eastAsiaTheme="majorEastAsia" w:hAnsiTheme="majorHAnsi" w:cs="Mangal"/>
      <w:b/>
      <w:bCs/>
      <w:kern w:val="1"/>
      <w:sz w:val="26"/>
      <w:szCs w:val="23"/>
      <w:lang w:val="en-AU" w:eastAsia="hi-IN" w:bidi="hi-IN"/>
      <w14:ligatures w14:val="none"/>
    </w:rPr>
  </w:style>
  <w:style w:type="paragraph" w:styleId="ListParagraph">
    <w:name w:val="List Paragraph"/>
    <w:basedOn w:val="Normal"/>
    <w:uiPriority w:val="34"/>
    <w:qFormat/>
    <w:rsid w:val="000B61EF"/>
    <w:pPr>
      <w:widowControl w:val="0"/>
      <w:suppressAutoHyphens/>
      <w:spacing w:before="120" w:after="120" w:line="300" w:lineRule="auto"/>
      <w:ind w:left="720"/>
    </w:pPr>
    <w:rPr>
      <w:rFonts w:ascii="Arial" w:eastAsia="SimSun" w:hAnsi="Arial" w:cs="Mangal"/>
      <w:kern w:val="1"/>
      <w:szCs w:val="21"/>
      <w:lang w:eastAsia="hi-IN" w:bidi="hi-IN"/>
      <w14:ligatures w14:val="none"/>
    </w:rPr>
  </w:style>
  <w:style w:type="table" w:styleId="TableGrid">
    <w:name w:val="Table Grid"/>
    <w:basedOn w:val="TableNormal"/>
    <w:uiPriority w:val="59"/>
    <w:rsid w:val="000B61EF"/>
    <w:pPr>
      <w:spacing w:after="0" w:line="240" w:lineRule="auto"/>
    </w:pPr>
    <w:rPr>
      <w:rFonts w:ascii="Times New Roman" w:hAnsi="Times New Roman" w:cs="Times New Roman"/>
      <w:kern w:val="0"/>
      <w:sz w:val="20"/>
      <w:szCs w:val="20"/>
      <w:lang w:val="en-AU"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0B61EF"/>
    <w:pPr>
      <w:widowControl w:val="0"/>
      <w:suppressAutoHyphens/>
      <w:spacing w:before="80" w:after="80" w:line="300" w:lineRule="auto"/>
    </w:pPr>
    <w:rPr>
      <w:rFonts w:ascii="Arial" w:eastAsia="SimSun" w:hAnsi="Arial" w:cs="Arial"/>
      <w:b/>
      <w:kern w:val="1"/>
      <w:szCs w:val="22"/>
      <w:lang w:eastAsia="hi-IN" w:bidi="hi-IN"/>
      <w14:ligatures w14:val="none"/>
    </w:rPr>
  </w:style>
  <w:style w:type="paragraph" w:customStyle="1" w:styleId="TableText">
    <w:name w:val="Table Text"/>
    <w:basedOn w:val="Normal"/>
    <w:uiPriority w:val="4"/>
    <w:qFormat/>
    <w:rsid w:val="000B61EF"/>
    <w:pPr>
      <w:widowControl w:val="0"/>
      <w:suppressAutoHyphens/>
      <w:spacing w:before="80" w:after="80" w:line="300" w:lineRule="auto"/>
    </w:pPr>
    <w:rPr>
      <w:rFonts w:ascii="Arial" w:eastAsia="SimSun" w:hAnsi="Arial" w:cs="Arial"/>
      <w:kern w:val="1"/>
      <w:szCs w:val="20"/>
      <w:lang w:eastAsia="hi-IN" w:bidi="hi-IN"/>
      <w14:ligatures w14:val="none"/>
    </w:rPr>
  </w:style>
  <w:style w:type="paragraph" w:styleId="Header">
    <w:name w:val="header"/>
    <w:basedOn w:val="Normal"/>
    <w:link w:val="HeaderChar"/>
    <w:uiPriority w:val="99"/>
    <w:unhideWhenUsed/>
    <w:rsid w:val="0021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0D"/>
    <w:rPr>
      <w:lang w:val="en-AU"/>
    </w:rPr>
  </w:style>
  <w:style w:type="paragraph" w:styleId="Footer">
    <w:name w:val="footer"/>
    <w:basedOn w:val="Normal"/>
    <w:link w:val="FooterChar"/>
    <w:uiPriority w:val="99"/>
    <w:unhideWhenUsed/>
    <w:rsid w:val="0021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0D"/>
    <w:rPr>
      <w:lang w:val="en-AU"/>
    </w:rPr>
  </w:style>
  <w:style w:type="paragraph" w:styleId="TOCHeading">
    <w:name w:val="TOC Heading"/>
    <w:basedOn w:val="Heading1"/>
    <w:next w:val="Normal"/>
    <w:uiPriority w:val="39"/>
    <w:unhideWhenUsed/>
    <w:qFormat/>
    <w:rsid w:val="00590EDD"/>
    <w:pPr>
      <w:widowControl/>
      <w:suppressAutoHyphens w:val="0"/>
      <w:spacing w:before="240" w:after="0" w:line="259" w:lineRule="auto"/>
      <w:outlineLvl w:val="9"/>
    </w:pPr>
    <w:rPr>
      <w:rFonts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590EDD"/>
    <w:pPr>
      <w:spacing w:after="100"/>
    </w:pPr>
  </w:style>
  <w:style w:type="paragraph" w:styleId="TOC2">
    <w:name w:val="toc 2"/>
    <w:basedOn w:val="Normal"/>
    <w:next w:val="Normal"/>
    <w:autoRedefine/>
    <w:uiPriority w:val="39"/>
    <w:unhideWhenUsed/>
    <w:rsid w:val="00590EDD"/>
    <w:pPr>
      <w:spacing w:after="100"/>
      <w:ind w:left="220"/>
    </w:pPr>
  </w:style>
  <w:style w:type="character" w:styleId="Hyperlink">
    <w:name w:val="Hyperlink"/>
    <w:basedOn w:val="DefaultParagraphFont"/>
    <w:uiPriority w:val="99"/>
    <w:unhideWhenUsed/>
    <w:rsid w:val="00590EDD"/>
    <w:rPr>
      <w:color w:val="0563C1" w:themeColor="hyperlink"/>
      <w:u w:val="single"/>
    </w:rPr>
  </w:style>
  <w:style w:type="paragraph" w:styleId="NormalWeb">
    <w:name w:val="Normal (Web)"/>
    <w:basedOn w:val="Normal"/>
    <w:uiPriority w:val="99"/>
    <w:semiHidden/>
    <w:unhideWhenUsed/>
    <w:rsid w:val="004C28C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734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187">
      <w:bodyDiv w:val="1"/>
      <w:marLeft w:val="0"/>
      <w:marRight w:val="0"/>
      <w:marTop w:val="0"/>
      <w:marBottom w:val="0"/>
      <w:divBdr>
        <w:top w:val="none" w:sz="0" w:space="0" w:color="auto"/>
        <w:left w:val="none" w:sz="0" w:space="0" w:color="auto"/>
        <w:bottom w:val="none" w:sz="0" w:space="0" w:color="auto"/>
        <w:right w:val="none" w:sz="0" w:space="0" w:color="auto"/>
      </w:divBdr>
    </w:div>
    <w:div w:id="398408717">
      <w:bodyDiv w:val="1"/>
      <w:marLeft w:val="0"/>
      <w:marRight w:val="0"/>
      <w:marTop w:val="0"/>
      <w:marBottom w:val="0"/>
      <w:divBdr>
        <w:top w:val="none" w:sz="0" w:space="0" w:color="auto"/>
        <w:left w:val="none" w:sz="0" w:space="0" w:color="auto"/>
        <w:bottom w:val="none" w:sz="0" w:space="0" w:color="auto"/>
        <w:right w:val="none" w:sz="0" w:space="0" w:color="auto"/>
      </w:divBdr>
    </w:div>
    <w:div w:id="1593705722">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
    <w:div w:id="197775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tractingsite.com.au/wp-content/uploads/2015/02/A_Green_ICT_Framework_CR.pdf" TargetMode="External"/><Relationship Id="rId18" Type="http://schemas.openxmlformats.org/officeDocument/2006/relationships/hyperlink" Target="https://www.nakivo.com/blog/disaster-recovery-vs-high-availability-vs-fault-tolera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nvironment.gov.au/resource/australian-government-ict-sustainability-plan-contents" TargetMode="External"/><Relationship Id="rId17" Type="http://schemas.openxmlformats.org/officeDocument/2006/relationships/hyperlink" Target="https://www.ibm.com/blog/5-benefits-of-virtualization/" TargetMode="External"/><Relationship Id="rId2" Type="http://schemas.openxmlformats.org/officeDocument/2006/relationships/numbering" Target="numbering.xml"/><Relationship Id="rId16" Type="http://schemas.openxmlformats.org/officeDocument/2006/relationships/hyperlink" Target="https://aws.amazon.com/what-is/virtualiz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jitsu.com/au/Images/sust_solutions_Sustainable%20ICT.pdf" TargetMode="External"/><Relationship Id="rId5" Type="http://schemas.openxmlformats.org/officeDocument/2006/relationships/webSettings" Target="webSettings.xml"/><Relationship Id="rId15" Type="http://schemas.openxmlformats.org/officeDocument/2006/relationships/hyperlink" Target="https://aws.amazon.com/compare/the-difference-between-type-1-and-type-2-hypervisors/" TargetMode="External"/><Relationship Id="rId10" Type="http://schemas.openxmlformats.org/officeDocument/2006/relationships/hyperlink" Target="https://www.csu.edu.au/csugreen/life-framework/facilities-and-operations/sustainable-ic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ndustry.gov.au/" TargetMode="External"/><Relationship Id="rId14" Type="http://schemas.openxmlformats.org/officeDocument/2006/relationships/hyperlink" Target="https://www.acs.org.au/governance/rules-and-regulation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7C21-06D1-40E0-9F3A-5B5C3153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THAO</dc:creator>
  <cp:keywords/>
  <dc:description/>
  <cp:lastModifiedBy>Thong THAO</cp:lastModifiedBy>
  <cp:revision>199</cp:revision>
  <dcterms:created xsi:type="dcterms:W3CDTF">2023-10-05T03:12:00Z</dcterms:created>
  <dcterms:modified xsi:type="dcterms:W3CDTF">2024-01-14T06:54:00Z</dcterms:modified>
</cp:coreProperties>
</file>