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09E" w:rsidRDefault="0003309E" w:rsidP="0003309E"/>
    <w:p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:rsidTr="00C5122E">
        <w:trPr>
          <w:trHeight w:val="440"/>
        </w:trPr>
        <w:tc>
          <w:tcPr>
            <w:tcW w:w="9639" w:type="dxa"/>
            <w:vAlign w:val="center"/>
          </w:tcPr>
          <w:p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073FD" w:rsidTr="000A1331">
        <w:tc>
          <w:tcPr>
            <w:tcW w:w="2528" w:type="dxa"/>
            <w:vAlign w:val="center"/>
          </w:tcPr>
          <w:p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:rsidR="0003309E" w:rsidRDefault="0003309E" w:rsidP="00585A1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sz w:val="20"/>
              </w:rPr>
              <w:t xml:space="preserve">Vexa Local nace de la necesidad de un equipo de abogados: organizar expedientes y permitir que cada responsable consulte su documentación sin revisar archivo por archivo. En esta fase, el proyecto pasó de la definición (Fase 1) a un </w:t>
            </w:r>
            <w:r>
              <w:rPr>
                <w:rFonts w:ascii="Calibri" w:hAnsi="Calibri"/>
                <w:b/>
                <w:sz w:val="20"/>
              </w:rPr>
              <w:t>prototipo funcional de escritorio, 100% local</w:t>
            </w:r>
            <w:r>
              <w:rPr>
                <w:rFonts w:ascii="Calibri" w:hAnsi="Calibri"/>
                <w:sz w:val="20"/>
              </w:rPr>
              <w:t>, con un asistente de IA que responde preguntas sobre los documentos de un caso y muestra las fuentes utilizadas.</w:t>
            </w:r>
          </w:p>
          <w:p w:rsidR="00412FD7" w:rsidRDefault="0056551A">
            <w:pPr>
              <w:spacing w:before="100" w:after="60"/>
            </w:pPr>
            <w:r>
              <w:rPr>
                <w:rFonts w:ascii="Calibri" w:hAnsi="Calibri"/>
                <w:b/>
                <w:sz w:val="20"/>
              </w:rPr>
              <w:t>Objetivos específicos cumplidos hasta el momento</w:t>
            </w:r>
          </w:p>
          <w:p w:rsidR="00412FD7" w:rsidRDefault="0056551A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</w:t>
            </w:r>
            <w:r>
              <w:rPr>
                <w:rFonts w:ascii="Calibri" w:hAnsi="Calibri"/>
                <w:b/>
                <w:sz w:val="20"/>
              </w:rPr>
              <w:t>Selección tecnológica (Obj. 1):</w:t>
            </w:r>
            <w:r>
              <w:rPr>
                <w:rFonts w:ascii="Calibri" w:hAnsi="Calibri"/>
                <w:sz w:val="20"/>
              </w:rPr>
              <w:t xml:space="preserve"> se definió Ollama (Llama 3.2 para gen</w:t>
            </w:r>
            <w:r>
              <w:rPr>
                <w:rFonts w:ascii="Calibri" w:hAnsi="Calibri"/>
                <w:sz w:val="20"/>
              </w:rPr>
              <w:t>eración y bge-m3 opcional para embeddings), BM25 para recuperación léxica, Flask + SQLite como backend local y Electron para la ventana de escritorio.</w:t>
            </w:r>
          </w:p>
          <w:p w:rsidR="00412FD7" w:rsidRDefault="0056551A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</w:t>
            </w:r>
            <w:r>
              <w:rPr>
                <w:rFonts w:ascii="Calibri" w:hAnsi="Calibri"/>
                <w:b/>
                <w:sz w:val="20"/>
              </w:rPr>
              <w:t>Ingesta y procesamiento (Obj. 2):</w:t>
            </w:r>
            <w:r>
              <w:rPr>
                <w:rFonts w:ascii="Calibri" w:hAnsi="Calibri"/>
                <w:sz w:val="20"/>
              </w:rPr>
              <w:t xml:space="preserve"> se extrae texto de PDF, DOCX, XLSX, PPTX, TXT y CSV (límite de 30 MB </w:t>
            </w:r>
            <w:r>
              <w:rPr>
                <w:rFonts w:ascii="Calibri" w:hAnsi="Calibri"/>
                <w:sz w:val="20"/>
              </w:rPr>
              <w:t>por archivo), con OCR opcional mediante Tesseract. El texto se divide en fragmentos y se indexa en segundo plano; un hash del contenido evita reprocesar archivos que no han cambiado.</w:t>
            </w:r>
          </w:p>
          <w:p w:rsidR="00412FD7" w:rsidRDefault="0056551A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</w:t>
            </w:r>
            <w:r>
              <w:rPr>
                <w:rFonts w:ascii="Calibri" w:hAnsi="Calibri"/>
                <w:b/>
                <w:sz w:val="20"/>
              </w:rPr>
              <w:t>Recuperación (Obj. 3):</w:t>
            </w:r>
            <w:r>
              <w:rPr>
                <w:rFonts w:ascii="Calibri" w:hAnsi="Calibri"/>
                <w:sz w:val="20"/>
              </w:rPr>
              <w:t xml:space="preserve"> BM25 encuentra coincidencias por palabras, nombres y números; la búsqueda semántica opcional (bge-m3) encuentra fragmentos por significado, y ambos resultados se combinan antes de enviar el contexto al modelo.</w:t>
            </w:r>
          </w:p>
          <w:p w:rsidR="00412FD7" w:rsidRDefault="0056551A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</w:t>
            </w:r>
            <w:r>
              <w:rPr>
                <w:rFonts w:ascii="Calibri" w:hAnsi="Calibri"/>
                <w:b/>
                <w:sz w:val="20"/>
              </w:rPr>
              <w:t>Interfaz conversacional (Obj. 4):</w:t>
            </w:r>
            <w:r>
              <w:rPr>
                <w:rFonts w:ascii="Calibri" w:hAnsi="Calibri"/>
                <w:sz w:val="20"/>
              </w:rPr>
              <w:t xml:space="preserve"> interfaz web dentro de Electron con vista de administrador (cuentas, equipos, casos, carga de documentos y asignación) y vista de abogado (casos asignados y chat con respuesta progresiva y referencias a las fuentes).</w:t>
            </w:r>
          </w:p>
          <w:p w:rsidR="00412FD7" w:rsidRDefault="0056551A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</w:t>
            </w:r>
            <w:r>
              <w:rPr>
                <w:rFonts w:ascii="Calibri" w:hAnsi="Calibri"/>
                <w:b/>
                <w:sz w:val="20"/>
              </w:rPr>
              <w:t>Seguridad y privacidad (Obj. 5, avan</w:t>
            </w:r>
            <w:r>
              <w:rPr>
                <w:rFonts w:ascii="Calibri" w:hAnsi="Calibri"/>
                <w:b/>
                <w:sz w:val="20"/>
              </w:rPr>
              <w:t>ce):</w:t>
            </w:r>
            <w:r>
              <w:rPr>
                <w:rFonts w:ascii="Calibri" w:hAnsi="Calibri"/>
                <w:sz w:val="20"/>
              </w:rPr>
              <w:t xml:space="preserve"> el backend escucha solo en 127.0.0.1; contraseñas almacenadas como hash; rutas de administración restringidas por rol; acceso a cada caso solo si está asignado directamente al abogado o a un equipo del que forma parte; contenido de los documentos cifr</w:t>
            </w:r>
            <w:r>
              <w:rPr>
                <w:rFonts w:ascii="Calibri" w:hAnsi="Calibri"/>
                <w:sz w:val="20"/>
              </w:rPr>
              <w:t>ado en reposo.</w:t>
            </w:r>
          </w:p>
          <w:p w:rsidR="00412FD7" w:rsidRDefault="0056551A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</w:t>
            </w:r>
            <w:r>
              <w:rPr>
                <w:rFonts w:ascii="Calibri" w:hAnsi="Calibri"/>
                <w:b/>
                <w:sz w:val="20"/>
              </w:rPr>
              <w:t>Empaquetado:</w:t>
            </w:r>
            <w:r>
              <w:rPr>
                <w:rFonts w:ascii="Calibri" w:hAnsi="Calibri"/>
                <w:sz w:val="20"/>
              </w:rPr>
              <w:t xml:space="preserve"> configuración para generar el instalador de Windows con PyInstaller y electron-builder/NSIS.</w:t>
            </w:r>
          </w:p>
          <w:p w:rsidR="00412FD7" w:rsidRDefault="0056551A">
            <w:pPr>
              <w:spacing w:after="60"/>
              <w:jc w:val="both"/>
            </w:pPr>
            <w:r>
              <w:rPr>
                <w:rFonts w:ascii="Calibri" w:hAnsi="Calibri"/>
                <w:sz w:val="20"/>
              </w:rPr>
              <w:lastRenderedPageBreak/>
              <w:t xml:space="preserve">Respecto de la Fase 1, el sistema creció en alcance: se agregaron gestión de casos con fechas límite, equipos, carpeta vigilada para </w:t>
            </w:r>
            <w:r>
              <w:rPr>
                <w:rFonts w:ascii="Calibri" w:hAnsi="Calibri"/>
                <w:sz w:val="20"/>
              </w:rPr>
              <w:t>incorporar archivos nuevos y pruebas automatizadas con pytest. Quedan en curso la verificación formal de privacidad (análisis de tráfico de red) y la evaluación de precisión y tiempos de respuesta (Obj. 5 y 6), detalladas en la sección 3.</w:t>
            </w:r>
          </w:p>
        </w:tc>
      </w:tr>
      <w:tr w:rsidR="000073FD" w:rsidTr="000A1331">
        <w:trPr>
          <w:trHeight w:val="1247"/>
        </w:trPr>
        <w:tc>
          <w:tcPr>
            <w:tcW w:w="2528" w:type="dxa"/>
            <w:vAlign w:val="center"/>
          </w:tcPr>
          <w:p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:rsidR="0003309E" w:rsidRPr="00A370C8" w:rsidRDefault="0003309E" w:rsidP="00585A13">
            <w:pPr>
              <w:spacing w:after="60"/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sz w:val="20"/>
              </w:rPr>
              <w:t xml:space="preserve">Se mantiene el objetivo general de la Fase 1 (sistema RAG que opera de forma 100% local para organizaciones con datos sensibles), pero se </w:t>
            </w:r>
            <w:r>
              <w:rPr>
                <w:rFonts w:ascii="Calibri" w:hAnsi="Calibri"/>
                <w:b/>
                <w:sz w:val="20"/>
              </w:rPr>
              <w:t>ajustó su aplicación</w:t>
            </w:r>
            <w:r>
              <w:rPr>
                <w:rFonts w:ascii="Calibri" w:hAnsi="Calibri"/>
                <w:sz w:val="20"/>
              </w:rPr>
              <w:t xml:space="preserve"> a un caso de uso concreto: un estudio jurídico que asigna expedientes a abogados y equipos.</w:t>
            </w:r>
          </w:p>
          <w:p w:rsidR="00412FD7" w:rsidRDefault="0056551A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>• Se amplía</w:t>
            </w:r>
            <w:r>
              <w:rPr>
                <w:rFonts w:ascii="Calibri" w:hAnsi="Calibri"/>
                <w:sz w:val="20"/>
              </w:rPr>
              <w:t xml:space="preserve"> el objetivo 2: de “PDF y Word” a seis formatos (PDF, DOCX, XLSX, PPTX, TXT y CSV) con OCR opcional.</w:t>
            </w:r>
          </w:p>
          <w:p w:rsidR="00412FD7" w:rsidRDefault="0056551A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Se amplía el objetivo 3: de recuperación solo léxica (BM25) a recuperación </w:t>
            </w:r>
            <w:r>
              <w:rPr>
                <w:rFonts w:ascii="Calibri" w:hAnsi="Calibri"/>
                <w:b/>
                <w:sz w:val="20"/>
              </w:rPr>
              <w:t>híbrida</w:t>
            </w:r>
            <w:r>
              <w:rPr>
                <w:rFonts w:ascii="Calibri" w:hAnsi="Calibri"/>
                <w:sz w:val="20"/>
              </w:rPr>
              <w:t xml:space="preserve"> (BM25 + búsqueda semántica opcional con bge-m3).</w:t>
            </w:r>
          </w:p>
          <w:p w:rsidR="00412FD7" w:rsidRDefault="0056551A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>• Se amplía el objeti</w:t>
            </w:r>
            <w:r>
              <w:rPr>
                <w:rFonts w:ascii="Calibri" w:hAnsi="Calibri"/>
                <w:sz w:val="20"/>
              </w:rPr>
              <w:t>vo 4: la interfaz incorpora roles (administrador y abogado), casos, equipos y asignación, en lugar de un acceso único por PIN.</w:t>
            </w:r>
          </w:p>
          <w:p w:rsidR="00412FD7" w:rsidRDefault="0056551A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>• Los objetivos 5 (verificación de privacidad por análisis de tráfico) y 6 (evaluación de precisión y tiempos) se mantienen sin c</w:t>
            </w:r>
            <w:r>
              <w:rPr>
                <w:rFonts w:ascii="Calibri" w:hAnsi="Calibri"/>
                <w:sz w:val="20"/>
              </w:rPr>
              <w:t>ambios.</w:t>
            </w:r>
          </w:p>
        </w:tc>
      </w:tr>
      <w:tr w:rsidR="000073FD" w:rsidTr="000A1331">
        <w:trPr>
          <w:trHeight w:val="939"/>
        </w:trPr>
        <w:tc>
          <w:tcPr>
            <w:tcW w:w="2528" w:type="dxa"/>
            <w:vAlign w:val="center"/>
          </w:tcPr>
          <w:p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:rsidR="0003309E" w:rsidRPr="00711C16" w:rsidRDefault="0003309E" w:rsidP="00585A1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sz w:val="20"/>
              </w:rPr>
              <w:t xml:space="preserve">Se mantiene la </w:t>
            </w:r>
            <w:r>
              <w:rPr>
                <w:rFonts w:ascii="Calibri" w:hAnsi="Calibri"/>
                <w:b/>
                <w:sz w:val="20"/>
              </w:rPr>
              <w:t>metodología ágil Scrum con prácticas de DevOps</w:t>
            </w:r>
            <w:r>
              <w:rPr>
                <w:rFonts w:ascii="Calibri" w:hAnsi="Calibri"/>
                <w:sz w:val="20"/>
              </w:rPr>
              <w:t xml:space="preserve"> definida en la Fase 1 (iteraciones cortas con módulos funcionales, GitFlow con ramas main/develop/feature y tablero Kanban), apoyada en CRISP-DM para la comprensión del problema, la preparación de documentos de prueba y la evaluación del sistema RAG.</w:t>
            </w:r>
          </w:p>
          <w:p w:rsidR="00412FD7" w:rsidRDefault="0056551A">
            <w:pPr>
              <w:spacing w:after="60"/>
              <w:jc w:val="both"/>
            </w:pPr>
            <w:r>
              <w:rPr>
                <w:rFonts w:ascii="Calibri" w:hAnsi="Calibri"/>
                <w:sz w:val="20"/>
              </w:rPr>
              <w:t>Ajus</w:t>
            </w:r>
            <w:r>
              <w:rPr>
                <w:rFonts w:ascii="Calibri" w:hAnsi="Calibri"/>
                <w:sz w:val="20"/>
              </w:rPr>
              <w:t>te: el avance se organizó por componentes integrables (ingesta → indexación → recuperación → generación → interfaz → seguridad → empaquetado), probando cada módulo antes de unirlo al siguiente.</w:t>
            </w:r>
          </w:p>
        </w:tc>
      </w:tr>
      <w:tr w:rsidR="000073FD" w:rsidTr="000A1331">
        <w:trPr>
          <w:trHeight w:val="2377"/>
        </w:trPr>
        <w:tc>
          <w:tcPr>
            <w:tcW w:w="2528" w:type="dxa"/>
            <w:vAlign w:val="center"/>
          </w:tcPr>
          <w:p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:rsidR="0003309E" w:rsidRDefault="0003309E" w:rsidP="00585A13">
            <w:pPr>
              <w:spacing w:before="100" w:after="6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sz w:val="20"/>
              </w:rPr>
              <w:t>Evidencias presentadas</w:t>
            </w:r>
          </w:p>
          <w:p w:rsidR="00412FD7" w:rsidRDefault="0056551A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</w:t>
            </w:r>
            <w:r>
              <w:rPr>
                <w:rFonts w:ascii="Calibri" w:hAnsi="Calibri"/>
                <w:b/>
                <w:sz w:val="20"/>
              </w:rPr>
              <w:t xml:space="preserve">Código fuente </w:t>
            </w:r>
            <w:r>
              <w:rPr>
                <w:rFonts w:ascii="Calibri" w:hAnsi="Calibri"/>
                <w:b/>
                <w:sz w:val="20"/>
              </w:rPr>
              <w:t>del prototipo</w:t>
            </w:r>
            <w:r>
              <w:rPr>
                <w:rFonts w:ascii="Calibri" w:hAnsi="Calibri"/>
                <w:sz w:val="20"/>
              </w:rPr>
              <w:t xml:space="preserve"> (repositorio GitHub): backend (web_app.py, store.py, vault.py), motor RAG (rag_hybrid.py, rag_stages.py, rag_core.py), lectura de formatos (formats.py), carpeta vigilada (watcher.py) y aplicación Electron (main.js). Muestra de forma directa l</w:t>
            </w:r>
            <w:r>
              <w:rPr>
                <w:rFonts w:ascii="Calibri" w:hAnsi="Calibri"/>
                <w:sz w:val="20"/>
              </w:rPr>
              <w:t>a implementación de gestión de casos, permisos, ingesta, recuperación híbrida y chat con fuentes.</w:t>
            </w:r>
          </w:p>
          <w:p w:rsidR="000073FD" w:rsidRPr="000073FD" w:rsidRDefault="0056551A" w:rsidP="000073FD">
            <w:pPr>
              <w:spacing w:after="60"/>
              <w:ind w:left="255" w:hanging="198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• </w:t>
            </w:r>
            <w:r>
              <w:rPr>
                <w:rFonts w:ascii="Calibri" w:hAnsi="Calibri"/>
                <w:b/>
                <w:sz w:val="20"/>
              </w:rPr>
              <w:t>Pruebas automatizadas (pytest) y pruebas funcionales</w:t>
            </w:r>
            <w:r>
              <w:rPr>
                <w:rFonts w:ascii="Calibri" w:hAnsi="Calibri"/>
                <w:sz w:val="20"/>
              </w:rPr>
              <w:t xml:space="preserve"> con documentos sintéticos, sin datos reales de clientes.</w:t>
            </w:r>
          </w:p>
          <w:p w:rsidR="00412FD7" w:rsidRDefault="0056551A">
            <w:pPr>
              <w:spacing w:after="60"/>
              <w:ind w:left="255" w:hanging="198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• </w:t>
            </w:r>
            <w:r>
              <w:rPr>
                <w:rFonts w:ascii="Calibri" w:hAnsi="Calibri"/>
                <w:b/>
                <w:sz w:val="20"/>
              </w:rPr>
              <w:t>Capturas de la aplicación</w:t>
            </w:r>
            <w:r>
              <w:rPr>
                <w:rFonts w:ascii="Calibri" w:hAnsi="Calibri"/>
                <w:sz w:val="20"/>
              </w:rPr>
              <w:t xml:space="preserve"> en funcionamiento </w:t>
            </w:r>
            <w:r>
              <w:rPr>
                <w:rFonts w:ascii="Calibri" w:hAnsi="Calibri"/>
                <w:sz w:val="20"/>
              </w:rPr>
              <w:t>(</w:t>
            </w:r>
            <w:proofErr w:type="gramStart"/>
            <w:r>
              <w:rPr>
                <w:rFonts w:ascii="Calibri" w:hAnsi="Calibri"/>
                <w:sz w:val="20"/>
              </w:rPr>
              <w:t>vista administrador</w:t>
            </w:r>
            <w:proofErr w:type="gramEnd"/>
            <w:r>
              <w:rPr>
                <w:rFonts w:ascii="Calibri" w:hAnsi="Calibri"/>
                <w:sz w:val="20"/>
              </w:rPr>
              <w:t xml:space="preserve">, vista abogado y chat con referencias). </w:t>
            </w:r>
          </w:p>
          <w:p w:rsidR="000073FD" w:rsidRDefault="000073FD">
            <w:pPr>
              <w:spacing w:after="60"/>
              <w:ind w:left="255" w:hanging="198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Vista de abogado </w:t>
            </w:r>
          </w:p>
          <w:p w:rsidR="000073FD" w:rsidRDefault="000073FD" w:rsidP="000073FD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2610281" cy="1646376"/>
                  <wp:effectExtent l="0" t="0" r="0" b="0"/>
                  <wp:docPr id="7" name="Imagen 7" descr="C:\Users\noteb\Downloads\Captura_de_pantalla_2026-10-15_0002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C:\Users\noteb\Downloads\Captura_de_pantalla_2026-10-15_00022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5096" cy="166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73FD" w:rsidRDefault="000073FD" w:rsidP="000073FD">
            <w:pPr>
              <w:pStyle w:val="NormalWeb"/>
            </w:pPr>
            <w:r>
              <w:lastRenderedPageBreak/>
              <w:t>Vista de Administrador:</w:t>
            </w:r>
            <w:r>
              <w:br/>
            </w:r>
            <w:r>
              <w:rPr>
                <w:noProof/>
              </w:rPr>
              <w:drawing>
                <wp:inline distT="0" distB="0" distL="0" distR="0">
                  <wp:extent cx="2550679" cy="1471235"/>
                  <wp:effectExtent l="0" t="0" r="2540" b="0"/>
                  <wp:docPr id="8" name="Imagen 8" descr="C:\Users\noteb\Downloads\Captura_de_pantalla_2026-10-15_0001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C:\Users\noteb\Downloads\Captura_de_pantalla_2026-10-15_00012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7350" cy="1486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73FD" w:rsidRDefault="000073FD" w:rsidP="000073FD">
            <w:pPr>
              <w:pStyle w:val="NormalWeb"/>
            </w:pPr>
            <w:r>
              <w:t>Chat con Referencia</w:t>
            </w:r>
          </w:p>
          <w:p w:rsidR="000073FD" w:rsidRDefault="000073FD" w:rsidP="000073FD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2601595" cy="1191205"/>
                  <wp:effectExtent l="0" t="0" r="8255" b="9525"/>
                  <wp:docPr id="9" name="Imagen 9" descr="C:\Users\noteb\Downloads\Captura_de_pantalla_2026-10-15_0002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C:\Users\noteb\Downloads\Captura_de_pantalla_2026-10-15_00022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9201" cy="12130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12FD7" w:rsidRDefault="0056551A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Diario de reflexión de Fase 2</w:t>
            </w:r>
            <w:r>
              <w:rPr>
                <w:rFonts w:ascii="Calibri" w:hAnsi="Calibri"/>
                <w:sz w:val="20"/>
              </w:rPr>
              <w:t xml:space="preserve"> y documentos de Fase 1 (definición, plan de trabajo y Carta Gantt), que permiten contrastar lo planificado con lo ejecutado.</w:t>
            </w:r>
          </w:p>
          <w:p w:rsidR="00412FD7" w:rsidRDefault="0056551A">
            <w:pPr>
              <w:spacing w:before="100" w:after="60"/>
            </w:pPr>
            <w:r>
              <w:rPr>
                <w:rFonts w:ascii="Calibri" w:hAnsi="Calibri"/>
                <w:b/>
                <w:sz w:val="20"/>
              </w:rPr>
              <w:t>Resguardo de la</w:t>
            </w:r>
            <w:r>
              <w:rPr>
                <w:rFonts w:ascii="Calibri" w:hAnsi="Calibri"/>
                <w:b/>
                <w:sz w:val="20"/>
              </w:rPr>
              <w:t xml:space="preserve"> calidad</w:t>
            </w:r>
          </w:p>
          <w:p w:rsidR="00412FD7" w:rsidRDefault="0056551A">
            <w:pPr>
              <w:spacing w:after="60"/>
              <w:jc w:val="both"/>
            </w:pPr>
            <w:r>
              <w:rPr>
                <w:rFonts w:ascii="Calibri" w:hAnsi="Calibri"/>
                <w:sz w:val="20"/>
              </w:rPr>
              <w:t>La calidad se resguardó con prácticas propias de la ingeniería informática: control de versiones con GitFlow y revisión de integración entre ramas, separación de responsabilidades por módulo, pruebas automatizadas, aplicación del principio de míni</w:t>
            </w:r>
            <w:r>
              <w:rPr>
                <w:rFonts w:ascii="Calibri" w:hAnsi="Calibri"/>
                <w:sz w:val="20"/>
              </w:rPr>
              <w:t>mo privilegio (rol + asignación por caso), cifrado en reposo del contenido y ejecución local sin servicios externos. Las respuestas se limitan al contenido recuperado y siempre incluyen la fuente, lo que permite verificarlas.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:rsidTr="000A1331">
        <w:trPr>
          <w:trHeight w:val="440"/>
        </w:trPr>
        <w:tc>
          <w:tcPr>
            <w:tcW w:w="9640" w:type="dxa"/>
            <w:vAlign w:val="center"/>
          </w:tcPr>
          <w:p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:rsidTr="009552E5">
        <w:trPr>
          <w:trHeight w:val="711"/>
        </w:trPr>
        <w:tc>
          <w:tcPr>
            <w:tcW w:w="1328" w:type="dxa"/>
            <w:vAlign w:val="center"/>
          </w:tcPr>
          <w:p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:rsidTr="00EA0C09">
        <w:tc>
          <w:tcPr>
            <w:tcW w:w="1328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Análisis y evaluación de soluciones informáticas</w:t>
            </w:r>
          </w:p>
        </w:tc>
        <w:tc>
          <w:tcPr>
            <w:tcW w:w="1077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Investigación y selección de tecnologías (LLM local, embeddings, recuperación, framework de escritorio)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Documentación técnica; Ollama; computadores personales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Fase 1 (S1-S4)</w:t>
            </w:r>
          </w:p>
        </w:tc>
        <w:tc>
          <w:tcPr>
            <w:tcW w:w="1275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Todos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Se descartó ChromaDB/Streamlit/Docker por Electron + Flask + SQLite; BM25 como base por bajo costo de cómputo.</w:t>
            </w:r>
          </w:p>
        </w:tc>
        <w:tc>
          <w:tcPr>
            <w:tcW w:w="1418" w:type="dxa"/>
          </w:tcPr>
          <w:p w:rsidR="00FD5149" w:rsidRPr="00E54467" w:rsidRDefault="00FD5149" w:rsidP="00FD5149">
            <w:pPr>
              <w:spacing w:after="0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Completado</w:t>
            </w:r>
          </w:p>
        </w:tc>
        <w:tc>
          <w:tcPr>
            <w:tcW w:w="850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Cambio de stack frente al plan original.</w:t>
            </w:r>
          </w:p>
        </w:tc>
      </w:tr>
      <w:tr w:rsidR="00FD5149" w:rsidRPr="006E3B0D" w:rsidTr="00EA0C09">
        <w:tc>
          <w:tcPr>
            <w:tcW w:w="1328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Desarrollo de software</w:t>
            </w:r>
          </w:p>
        </w:tc>
        <w:tc>
          <w:tcPr>
            <w:tcW w:w="1077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Diseño de arquitectura y configuración del entorno local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Python, Flask, Electron, GitHub, Kanban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S5-S6</w:t>
            </w:r>
          </w:p>
        </w:tc>
        <w:tc>
          <w:tcPr>
            <w:tcW w:w="1275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Héctor Schulz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Backend local en 127.0.0.1; GitFlow con ramas feature.</w:t>
            </w:r>
          </w:p>
        </w:tc>
        <w:tc>
          <w:tcPr>
            <w:tcW w:w="1418" w:type="dxa"/>
          </w:tcPr>
          <w:p w:rsidR="00FD5149" w:rsidRPr="00E54467" w:rsidRDefault="00FD5149" w:rsidP="00FD5149">
            <w:pPr>
              <w:spacing w:after="0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Completado</w:t>
            </w:r>
          </w:p>
        </w:tc>
        <w:tc>
          <w:tcPr>
            <w:tcW w:w="850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Se reemplazó PyWebView/Tkinter por Electron.</w:t>
            </w:r>
          </w:p>
        </w:tc>
      </w:tr>
      <w:tr w:rsidR="00FD5149" w:rsidRPr="006E3B0D" w:rsidTr="00EA0C09">
        <w:tc>
          <w:tcPr>
            <w:tcW w:w="1328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Minería de datos y PLN</w:t>
            </w:r>
          </w:p>
        </w:tc>
        <w:tc>
          <w:tcPr>
            <w:tcW w:w="1077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Dataset de prueba y preguntas de validación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Documentos sintéticos (contratos y fichas ficticias)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S5-S6</w:t>
            </w:r>
          </w:p>
        </w:tc>
        <w:tc>
          <w:tcPr>
            <w:tcW w:w="1275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Ignacio López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No se usan datos reales.</w:t>
            </w:r>
          </w:p>
        </w:tc>
        <w:tc>
          <w:tcPr>
            <w:tcW w:w="1418" w:type="dxa"/>
          </w:tcPr>
          <w:p w:rsidR="00FD5149" w:rsidRPr="00E54467" w:rsidRDefault="00FD5149" w:rsidP="00FD5149">
            <w:pPr>
              <w:spacing w:after="0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Completado</w:t>
            </w:r>
          </w:p>
        </w:tc>
        <w:tc>
          <w:tcPr>
            <w:tcW w:w="850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 w:rsidR="00FD5149" w:rsidRPr="006E3B0D" w:rsidTr="00EA0C09">
        <w:tc>
          <w:tcPr>
            <w:tcW w:w="1328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Minería de datos y PLN</w:t>
            </w:r>
          </w:p>
        </w:tc>
        <w:tc>
          <w:tcPr>
            <w:tcW w:w="1077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Ingesta de documentos: extracción de texto, fragmentación y OCR opcional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pdfplumber, python-docx, openpyxl, python-pptx, Tesseract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S6-S8</w:t>
            </w:r>
          </w:p>
        </w:tc>
        <w:tc>
          <w:tcPr>
            <w:tcW w:w="1275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Ignacio López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Límite de 30 MB; procesamiento en segundo plano; hash para reutilizar resultados.</w:t>
            </w:r>
          </w:p>
        </w:tc>
        <w:tc>
          <w:tcPr>
            <w:tcW w:w="1418" w:type="dxa"/>
          </w:tcPr>
          <w:p w:rsidR="00FD5149" w:rsidRPr="00E54467" w:rsidRDefault="00FD5149" w:rsidP="00FD5149">
            <w:pPr>
              <w:spacing w:after="0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Completado</w:t>
            </w:r>
          </w:p>
        </w:tc>
        <w:tc>
          <w:tcPr>
            <w:tcW w:w="850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Se amplió de PDF/Word a 6 formatos.</w:t>
            </w:r>
          </w:p>
        </w:tc>
      </w:tr>
      <w:tr w:rsidR="00FD5149" w:rsidRPr="006E3B0D" w:rsidTr="00EA0C09">
        <w:tc>
          <w:tcPr>
            <w:tcW w:w="1328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Minería de datos y PLN</w:t>
            </w:r>
          </w:p>
        </w:tc>
        <w:tc>
          <w:tcPr>
            <w:tcW w:w="1077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Recuperación híbrida: BM25 + búsqueda semántica opcional (bge-m3)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Rank-BM25, Ollama, numpy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S8-S10</w:t>
            </w:r>
          </w:p>
        </w:tc>
        <w:tc>
          <w:tcPr>
            <w:tcW w:w="1275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Ignacio López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La parte semántica es opcional según equipo y modelos instalados.</w:t>
            </w:r>
          </w:p>
        </w:tc>
        <w:tc>
          <w:tcPr>
            <w:tcW w:w="1418" w:type="dxa"/>
          </w:tcPr>
          <w:p w:rsidR="00FD5149" w:rsidRPr="00E54467" w:rsidRDefault="00FD5149" w:rsidP="00FD5149">
            <w:pPr>
              <w:spacing w:after="0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Completado</w:t>
            </w:r>
          </w:p>
        </w:tc>
        <w:tc>
          <w:tcPr>
            <w:tcW w:w="850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Se pasó de solo léxica a híbrida.</w:t>
            </w:r>
          </w:p>
        </w:tc>
      </w:tr>
      <w:tr w:rsidR="00FD5149" w:rsidRPr="006E3B0D" w:rsidTr="00EA0C09">
        <w:tc>
          <w:tcPr>
            <w:tcW w:w="1328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Desarrollo de software</w:t>
            </w:r>
          </w:p>
        </w:tc>
        <w:tc>
          <w:tcPr>
            <w:tcW w:w="1077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Pipeline RAG: contexto, prompts, respuesta en streaming y citas de fuente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Ollama (Llama 3.2), Flask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S9-S11</w:t>
            </w:r>
          </w:p>
        </w:tc>
        <w:tc>
          <w:tcPr>
            <w:tcW w:w="1275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Ignacio López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Ajuste iterativo de prompts; calidad depende de hardware y modelo.</w:t>
            </w:r>
          </w:p>
        </w:tc>
        <w:tc>
          <w:tcPr>
            <w:tcW w:w="1418" w:type="dxa"/>
          </w:tcPr>
          <w:p w:rsidR="00FD5149" w:rsidRPr="00E54467" w:rsidRDefault="00FD5149" w:rsidP="00FD5149">
            <w:pPr>
              <w:spacing w:after="0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Completado</w:t>
            </w:r>
          </w:p>
        </w:tc>
        <w:tc>
          <w:tcPr>
            <w:tcW w:w="850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 w:rsidR="00FD5149" w:rsidRPr="006E3B0D" w:rsidTr="00EA0C09">
        <w:tc>
          <w:tcPr>
            <w:tcW w:w="1328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Desarrollo de software</w:t>
            </w:r>
          </w:p>
        </w:tc>
        <w:tc>
          <w:tcPr>
            <w:tcW w:w="1077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Gestión de usuarios, roles, equipos y casos (fechas límite, asignación)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Flask, SQLite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S9-S12</w:t>
            </w:r>
          </w:p>
        </w:tc>
        <w:tc>
          <w:tcPr>
            <w:tcW w:w="1275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Héctor Schulz e Ignacio López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Sin notificaciones externas ni calendario.</w:t>
            </w:r>
          </w:p>
        </w:tc>
        <w:tc>
          <w:tcPr>
            <w:tcW w:w="1418" w:type="dxa"/>
          </w:tcPr>
          <w:p w:rsidR="00FD5149" w:rsidRPr="00E54467" w:rsidRDefault="00FD5149" w:rsidP="00FD5149">
            <w:pPr>
              <w:spacing w:after="0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Completado</w:t>
            </w:r>
          </w:p>
        </w:tc>
        <w:tc>
          <w:tcPr>
            <w:tcW w:w="850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Reemplaza el PIN único de Fase 1.</w:t>
            </w:r>
          </w:p>
        </w:tc>
      </w:tr>
      <w:tr w:rsidR="00FD5149" w:rsidRPr="006E3B0D" w:rsidTr="00EA0C09">
        <w:tc>
          <w:tcPr>
            <w:tcW w:w="1328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Desarrollo de software (UX/UI)</w:t>
            </w:r>
          </w:p>
        </w:tc>
        <w:tc>
          <w:tcPr>
            <w:tcW w:w="1077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Interfaz de administrador, abogado y chat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HTML, CSS, JavaScript, plantillas Flask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S9-S13</w:t>
            </w:r>
          </w:p>
        </w:tc>
        <w:tc>
          <w:tcPr>
            <w:tcW w:w="1275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Josué García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Respuesta progresiva y fuentes visibles.</w:t>
            </w:r>
          </w:p>
        </w:tc>
        <w:tc>
          <w:tcPr>
            <w:tcW w:w="1418" w:type="dxa"/>
          </w:tcPr>
          <w:p w:rsidR="00FD5149" w:rsidRPr="00E54467" w:rsidRDefault="00FD5149" w:rsidP="00FD5149">
            <w:pPr>
              <w:spacing w:after="0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Completado</w:t>
            </w:r>
          </w:p>
        </w:tc>
        <w:tc>
          <w:tcPr>
            <w:tcW w:w="850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 w:rsidR="00FD5149" w:rsidRPr="006E3B0D" w:rsidTr="00EA0C09">
        <w:tc>
          <w:tcPr>
            <w:tcW w:w="1328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Ciberseguridad y gestión de riesgos</w:t>
            </w:r>
          </w:p>
        </w:tc>
        <w:tc>
          <w:tcPr>
            <w:tcW w:w="1077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 xml:space="preserve">Autenticación con hash, control por rol y asignación, </w:t>
            </w:r>
            <w:r>
              <w:rPr>
                <w:rFonts w:ascii="Calibri" w:hAnsi="Calibri"/>
                <w:sz w:val="14"/>
              </w:rPr>
              <w:lastRenderedPageBreak/>
              <w:t>cifrado en reposo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lastRenderedPageBreak/>
              <w:t>cryptography, SQLite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S10-S13</w:t>
            </w:r>
          </w:p>
        </w:tc>
        <w:tc>
          <w:tcPr>
            <w:tcW w:w="1275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Héctor Schulz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Metadatos (nombres de archivo, títulos de caso) no cifrados.</w:t>
            </w:r>
          </w:p>
        </w:tc>
        <w:tc>
          <w:tcPr>
            <w:tcW w:w="1418" w:type="dxa"/>
          </w:tcPr>
          <w:p w:rsidR="00FD5149" w:rsidRPr="00E54467" w:rsidRDefault="00FD5149" w:rsidP="00FD5149">
            <w:pPr>
              <w:spacing w:after="0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Completado</w:t>
            </w:r>
          </w:p>
        </w:tc>
        <w:tc>
          <w:tcPr>
            <w:tcW w:w="850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Se acota como protección de prototipo.</w:t>
            </w:r>
          </w:p>
        </w:tc>
      </w:tr>
      <w:tr w:rsidR="00FD5149" w:rsidRPr="006E3B0D" w:rsidTr="00EA0C09">
        <w:tc>
          <w:tcPr>
            <w:tcW w:w="1328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lastRenderedPageBreak/>
              <w:t>Desarrollo de software</w:t>
            </w:r>
          </w:p>
        </w:tc>
        <w:tc>
          <w:tcPr>
            <w:tcW w:w="1077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Aplicación Electron y carpeta vigilada para ingreso de archivos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Electron, watchdog propio (watcher.py)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S12-S14</w:t>
            </w:r>
          </w:p>
        </w:tc>
        <w:tc>
          <w:tcPr>
            <w:tcW w:w="1275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Héctor Schulz y Josué García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Datos en %USERPROFILE%\.vexa_local.</w:t>
            </w:r>
          </w:p>
        </w:tc>
        <w:tc>
          <w:tcPr>
            <w:tcW w:w="1418" w:type="dxa"/>
          </w:tcPr>
          <w:p w:rsidR="00FD5149" w:rsidRPr="00E54467" w:rsidRDefault="00FD5149" w:rsidP="00FD5149">
            <w:pPr>
              <w:spacing w:after="0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Completado</w:t>
            </w:r>
          </w:p>
        </w:tc>
        <w:tc>
          <w:tcPr>
            <w:tcW w:w="850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 w:rsidR="00FD5149" w:rsidRPr="006E3B0D" w:rsidTr="00EA0C09">
        <w:tc>
          <w:tcPr>
            <w:tcW w:w="1328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Desarrollo de software</w:t>
            </w:r>
          </w:p>
        </w:tc>
        <w:tc>
          <w:tcPr>
            <w:tcW w:w="1077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Empaquetado e instalador para Windows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PyInstaller, electron-builder/NSIS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S13-S15</w:t>
            </w:r>
          </w:p>
        </w:tc>
        <w:tc>
          <w:tcPr>
            <w:tcW w:w="1275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Héctor Schulz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No incluye modelos de Ollama.</w:t>
            </w:r>
          </w:p>
        </w:tc>
        <w:tc>
          <w:tcPr>
            <w:tcW w:w="1418" w:type="dxa"/>
          </w:tcPr>
          <w:p w:rsidR="00FD5149" w:rsidRPr="00E54467" w:rsidRDefault="00FD5149" w:rsidP="00FD5149">
            <w:pPr>
              <w:spacing w:after="0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En curso</w:t>
            </w:r>
          </w:p>
        </w:tc>
        <w:tc>
          <w:tcPr>
            <w:tcW w:w="850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Falta probar en distintos equipos.</w:t>
            </w:r>
          </w:p>
        </w:tc>
      </w:tr>
      <w:tr w:rsidR="00FD5149" w:rsidRPr="006E3B0D" w:rsidTr="00EA0C09">
        <w:tc>
          <w:tcPr>
            <w:tcW w:w="1328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Calidad y pruebas</w:t>
            </w:r>
          </w:p>
        </w:tc>
        <w:tc>
          <w:tcPr>
            <w:tcW w:w="1077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Pruebas automatizadas (pytest) y pruebas funcionales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pytest, dataset sintético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S11-S15</w:t>
            </w:r>
          </w:p>
        </w:tc>
        <w:tc>
          <w:tcPr>
            <w:tcW w:w="1275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Todos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Cobertura sobre permisos, formatos y recuperación.</w:t>
            </w:r>
          </w:p>
        </w:tc>
        <w:tc>
          <w:tcPr>
            <w:tcW w:w="1418" w:type="dxa"/>
          </w:tcPr>
          <w:p w:rsidR="00FD5149" w:rsidRPr="00E54467" w:rsidRDefault="00FD5149" w:rsidP="00FD5149">
            <w:pPr>
              <w:spacing w:after="0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En curso</w:t>
            </w:r>
          </w:p>
        </w:tc>
        <w:tc>
          <w:tcPr>
            <w:tcW w:w="850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 w:rsidR="00FD5149" w:rsidRPr="006E3B0D" w:rsidTr="00EA0C09">
        <w:tc>
          <w:tcPr>
            <w:tcW w:w="1328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Ciberseguridad y gestión de riesgos</w:t>
            </w:r>
          </w:p>
        </w:tc>
        <w:tc>
          <w:tcPr>
            <w:tcW w:w="1077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Verificación de privacidad: análisis de tráfico de red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Wireshark / herramientas de captura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S15-S16</w:t>
            </w:r>
          </w:p>
        </w:tc>
        <w:tc>
          <w:tcPr>
            <w:tcW w:w="1275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Héctor Schulz e Ignacio López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Evidencia clave del argumento 100% local.</w:t>
            </w:r>
          </w:p>
        </w:tc>
        <w:tc>
          <w:tcPr>
            <w:tcW w:w="1418" w:type="dxa"/>
          </w:tcPr>
          <w:p w:rsidR="00FD5149" w:rsidRPr="00E54467" w:rsidRDefault="00FD5149" w:rsidP="00FD5149">
            <w:pPr>
              <w:spacing w:after="0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No iniciado formalmente</w:t>
            </w:r>
          </w:p>
        </w:tc>
        <w:tc>
          <w:tcPr>
            <w:tcW w:w="850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Falta definir metodología documentada.</w:t>
            </w:r>
          </w:p>
        </w:tc>
      </w:tr>
      <w:tr w:rsidR="00FD5149" w:rsidRPr="006E3B0D" w:rsidTr="00EA0C09">
        <w:tc>
          <w:tcPr>
            <w:tcW w:w="1328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Análisis y evaluación de soluciones informáticas</w:t>
            </w:r>
          </w:p>
        </w:tc>
        <w:tc>
          <w:tcPr>
            <w:tcW w:w="1077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Evaluación de precisión y tiempos de respuesta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Dataset de prueba, métricas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S15-S16</w:t>
            </w:r>
          </w:p>
        </w:tc>
        <w:tc>
          <w:tcPr>
            <w:tcW w:w="1275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Ignacio López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Depende de modelo y hardware.</w:t>
            </w:r>
          </w:p>
        </w:tc>
        <w:tc>
          <w:tcPr>
            <w:tcW w:w="1418" w:type="dxa"/>
          </w:tcPr>
          <w:p w:rsidR="00FD5149" w:rsidRPr="00E54467" w:rsidRDefault="00FD5149" w:rsidP="00FD5149">
            <w:pPr>
              <w:spacing w:after="0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Pendiente</w:t>
            </w:r>
          </w:p>
        </w:tc>
        <w:tc>
          <w:tcPr>
            <w:tcW w:w="850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Definir métricas con el docente.</w:t>
            </w:r>
          </w:p>
        </w:tc>
      </w:tr>
      <w:tr w:rsidR="00FD5149" w:rsidRPr="006E3B0D" w:rsidTr="00EA0C09">
        <w:tc>
          <w:tcPr>
            <w:tcW w:w="1328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Gestión de proyectos</w:t>
            </w:r>
          </w:p>
        </w:tc>
        <w:tc>
          <w:tcPr>
            <w:tcW w:w="1077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Informe final y presentación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Plantillas Duoc UC, PowerPoint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sz w:val="14"/>
              </w:rPr>
              <w:t>S16</w:t>
            </w:r>
          </w:p>
        </w:tc>
        <w:tc>
          <w:tcPr>
            <w:tcW w:w="1275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Todos</w:t>
            </w:r>
          </w:p>
        </w:tc>
        <w:tc>
          <w:tcPr>
            <w:tcW w:w="1276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w="1418" w:type="dxa"/>
          </w:tcPr>
          <w:p w:rsidR="00FD5149" w:rsidRPr="00E54467" w:rsidRDefault="00FD5149" w:rsidP="00FD5149">
            <w:pPr>
              <w:spacing w:after="0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En curso</w:t>
            </w:r>
          </w:p>
        </w:tc>
        <w:tc>
          <w:tcPr>
            <w:tcW w:w="850" w:type="dxa"/>
          </w:tcPr>
          <w:p w:rsidR="00FD5149" w:rsidRPr="006E3B0D" w:rsidRDefault="00FD5149" w:rsidP="00FD5149">
            <w:pPr>
              <w:spacing w:after="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</w:tbl>
    <w:p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Tr="00C5122E">
        <w:trPr>
          <w:trHeight w:val="440"/>
        </w:trPr>
        <w:tc>
          <w:tcPr>
            <w:tcW w:w="9498" w:type="dxa"/>
            <w:vAlign w:val="center"/>
          </w:tcPr>
          <w:p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:rsidTr="00C5122E">
        <w:trPr>
          <w:trHeight w:val="1936"/>
        </w:trPr>
        <w:tc>
          <w:tcPr>
            <w:tcW w:w="5000" w:type="pct"/>
            <w:vAlign w:val="center"/>
          </w:tcPr>
          <w:p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1F3864" w:themeColor="accent1" w:themeShade="80"/>
                <w:sz w:val="20"/>
              </w:rPr>
              <w:t>Factores que han f</w:t>
            </w:r>
            <w:r w:rsidRPr="00CD38BD">
              <w:rPr>
                <w:rFonts w:ascii="Calibri" w:hAnsi="Calibri"/>
                <w:b/>
                <w:color w:val="1F3864" w:themeColor="accent1" w:themeShade="80"/>
                <w:sz w:val="20"/>
              </w:rPr>
              <w:t>acilita</w:t>
            </w:r>
            <w:r>
              <w:rPr>
                <w:rFonts w:ascii="Calibri" w:hAnsi="Calibri"/>
                <w:b/>
                <w:color w:val="1F3864" w:themeColor="accent1" w:themeShade="80"/>
                <w:sz w:val="20"/>
              </w:rPr>
              <w:t>do y/odificultado el desarrollo de mi plan de trabajo</w:t>
            </w:r>
            <w:r w:rsidRPr="00CD38BD">
              <w:rPr>
                <w:rFonts w:ascii="Calibri" w:hAnsi="Calibri" w:cs="Arial"/>
                <w:b/>
                <w:color w:val="548DD4"/>
                <w:sz w:val="20"/>
                <w:szCs w:val="20"/>
                <w:lang w:eastAsia="es-CL"/>
              </w:rPr>
              <w:t xml:space="preserve">: </w:t>
            </w:r>
          </w:p>
          <w:p w:rsidR="00412FD7" w:rsidRDefault="0056551A">
            <w:pPr>
              <w:spacing w:after="60"/>
              <w:jc w:val="both"/>
            </w:pPr>
            <w:r>
              <w:rPr>
                <w:rFonts w:ascii="Calibri" w:hAnsi="Calibri"/>
                <w:b/>
                <w:sz w:val="20"/>
              </w:rPr>
              <w:t>Facilitadores:</w:t>
            </w:r>
          </w:p>
          <w:p w:rsidR="00412FD7" w:rsidRDefault="0056551A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División clara de roles: Héctor Schulz </w:t>
            </w:r>
            <w:r>
              <w:rPr>
                <w:rFonts w:ascii="Calibri" w:hAnsi="Calibri"/>
                <w:sz w:val="20"/>
              </w:rPr>
              <w:t>(jefatura, integración, empaquetado y seguridad), Ignacio López (backend e IA/RAG) y Josué García (frontend y UX/UI).</w:t>
            </w:r>
          </w:p>
          <w:p w:rsidR="00412FD7" w:rsidRDefault="0056551A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>• Uso de librerías y herramientas de código abierto, estables y bien documentadas (Flask, Electron, SQLite, Ollama, Rank-BM25).</w:t>
            </w:r>
          </w:p>
          <w:p w:rsidR="00412FD7" w:rsidRDefault="0056551A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Control </w:t>
            </w:r>
            <w:r>
              <w:rPr>
                <w:rFonts w:ascii="Calibri" w:hAnsi="Calibri"/>
                <w:sz w:val="20"/>
              </w:rPr>
              <w:t>de versiones con GitHub (GitFlow) y tablero Kanban, que permitieron integrar módulos sin conflictos mayores.</w:t>
            </w:r>
          </w:p>
          <w:p w:rsidR="00412FD7" w:rsidRDefault="0056551A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>• Procesamiento previo con hash de contenido, que evita volver a extraer e indexar los mismos archivos en cada consulta.</w:t>
            </w:r>
          </w:p>
          <w:p w:rsidR="00412FD7" w:rsidRDefault="0056551A">
            <w:pPr>
              <w:spacing w:after="60"/>
              <w:jc w:val="both"/>
            </w:pPr>
            <w:r>
              <w:rPr>
                <w:rFonts w:ascii="Calibri" w:hAnsi="Calibri"/>
                <w:b/>
                <w:sz w:val="20"/>
              </w:rPr>
              <w:t>Dificultades y acciones:</w:t>
            </w:r>
          </w:p>
          <w:p w:rsidR="00412FD7" w:rsidRDefault="0056551A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Rendimiento del modelo local:</w:t>
            </w:r>
            <w:r>
              <w:rPr>
                <w:rFonts w:ascii="Calibri" w:hAnsi="Calibri"/>
                <w:sz w:val="20"/>
              </w:rPr>
              <w:t xml:space="preserve"> la calidad y velocidad de las respuestas dependen del hardware y del modelo instalado. Se mitigó con modelos livianos (Llama 3.2), recuperación léxica BM25 que no requiere GPU y búsqueda semántica solo opcional; se enviaron a</w:t>
            </w:r>
            <w:r>
              <w:rPr>
                <w:rFonts w:ascii="Calibri" w:hAnsi="Calibri"/>
                <w:sz w:val="20"/>
              </w:rPr>
              <w:t>l modelo únicamente los fragmentos pertinentes.</w:t>
            </w:r>
          </w:p>
          <w:p w:rsidR="00412FD7" w:rsidRDefault="0056551A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</w:t>
            </w:r>
            <w:r>
              <w:rPr>
                <w:rFonts w:ascii="Calibri" w:hAnsi="Calibri"/>
                <w:b/>
                <w:sz w:val="20"/>
              </w:rPr>
              <w:t>Dependencia de Ollama:</w:t>
            </w:r>
            <w:r>
              <w:rPr>
                <w:rFonts w:ascii="Calibri" w:hAnsi="Calibri"/>
                <w:sz w:val="20"/>
              </w:rPr>
              <w:t xml:space="preserve"> el instalador de VEXA no incluye los modelos. Se documentó su instalación previa y se mantiene como mejora incluir una verificación guiada al primer inicio.</w:t>
            </w:r>
          </w:p>
          <w:p w:rsidR="00412FD7" w:rsidRDefault="0056551A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</w:t>
            </w:r>
            <w:r>
              <w:rPr>
                <w:rFonts w:ascii="Calibri" w:hAnsi="Calibri"/>
                <w:b/>
                <w:sz w:val="20"/>
              </w:rPr>
              <w:t>Alcance de colaboración:</w:t>
            </w:r>
            <w:r>
              <w:rPr>
                <w:rFonts w:ascii="Calibri" w:hAnsi="Calibri"/>
                <w:sz w:val="20"/>
              </w:rPr>
              <w:t xml:space="preserve"> la asignación a equipos funciona dentro de una instalación local; los computadores de distintos abogados no comparten usuarios, casos ni archivos. Se declara como limitación del prototipo; una </w:t>
            </w:r>
            <w:r>
              <w:rPr>
                <w:rFonts w:ascii="Calibri" w:hAnsi="Calibri"/>
                <w:sz w:val="20"/>
              </w:rPr>
              <w:lastRenderedPageBreak/>
              <w:t>versión multiusuario en red requeriría backend y base de datos</w:t>
            </w:r>
            <w:r>
              <w:rPr>
                <w:rFonts w:ascii="Calibri" w:hAnsi="Calibri"/>
                <w:sz w:val="20"/>
              </w:rPr>
              <w:t xml:space="preserve"> centrales, sincronización y controles de seguridad adicionales.</w:t>
            </w:r>
          </w:p>
          <w:p w:rsidR="00412FD7" w:rsidRDefault="0056551A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</w:t>
            </w:r>
            <w:r>
              <w:rPr>
                <w:rFonts w:ascii="Calibri" w:hAnsi="Calibri"/>
                <w:b/>
                <w:sz w:val="20"/>
              </w:rPr>
              <w:t>Cifrado parcial:</w:t>
            </w:r>
            <w:r>
              <w:rPr>
                <w:rFonts w:ascii="Calibri" w:hAnsi="Calibri"/>
                <w:sz w:val="20"/>
              </w:rPr>
              <w:t xml:space="preserve"> el contenido de los documentos se cifra en reposo, pero algunos metadatos en SQLite (nombres de archivo, títulos de caso) no. Se presenta como medida de protección del prot</w:t>
            </w:r>
            <w:r>
              <w:rPr>
                <w:rFonts w:ascii="Calibri" w:hAnsi="Calibri"/>
                <w:sz w:val="20"/>
              </w:rPr>
              <w:t>otipo y no como certificación para expedientes reales.</w:t>
            </w:r>
          </w:p>
          <w:p w:rsidR="00412FD7" w:rsidRDefault="0056551A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</w:t>
            </w:r>
            <w:r>
              <w:rPr>
                <w:rFonts w:ascii="Calibri" w:hAnsi="Calibri"/>
                <w:b/>
                <w:sz w:val="20"/>
              </w:rPr>
              <w:t>Coordinación final:</w:t>
            </w:r>
            <w:r>
              <w:rPr>
                <w:rFonts w:ascii="Calibri" w:hAnsi="Calibri"/>
                <w:sz w:val="20"/>
              </w:rPr>
              <w:t xml:space="preserve"> se acordó establecer instancias de sincronización más frecuentes para resolver bloqueos menores en la recta final.</w:t>
            </w:r>
          </w:p>
        </w:tc>
      </w:tr>
    </w:tbl>
    <w:p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:rsidTr="00C5122E">
        <w:trPr>
          <w:trHeight w:val="1936"/>
        </w:trPr>
        <w:tc>
          <w:tcPr>
            <w:tcW w:w="5000" w:type="pct"/>
            <w:vAlign w:val="center"/>
          </w:tcPr>
          <w:p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b/>
                <w:color w:val="1F3864" w:themeColor="accent1" w:themeShade="80"/>
                <w:sz w:val="20"/>
              </w:rPr>
              <w:t xml:space="preserve">Actividades ajustadas o eliminadas: </w:t>
            </w:r>
          </w:p>
          <w:p w:rsidR="00412FD7" w:rsidRDefault="0056551A">
            <w:pPr>
              <w:spacing w:after="60"/>
              <w:jc w:val="both"/>
            </w:pPr>
            <w:r>
              <w:rPr>
                <w:rFonts w:ascii="Calibri" w:hAnsi="Calibri"/>
                <w:sz w:val="20"/>
              </w:rPr>
              <w:t>Se realizaron los siguien</w:t>
            </w:r>
            <w:r>
              <w:rPr>
                <w:rFonts w:ascii="Calibri" w:hAnsi="Calibri"/>
                <w:sz w:val="20"/>
              </w:rPr>
              <w:t>tes ajustes respecto del plan de la Fase 1, todos justificados por viabilidad técnica y por el caso de uso jurídico:</w:t>
            </w:r>
          </w:p>
          <w:p w:rsidR="00412FD7" w:rsidRDefault="0056551A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</w:t>
            </w:r>
            <w:r>
              <w:rPr>
                <w:rFonts w:ascii="Calibri" w:hAnsi="Calibri"/>
                <w:b/>
                <w:sz w:val="20"/>
              </w:rPr>
              <w:t>Stack tecnológico:</w:t>
            </w:r>
            <w:r>
              <w:rPr>
                <w:rFonts w:ascii="Calibri" w:hAnsi="Calibri"/>
                <w:sz w:val="20"/>
              </w:rPr>
              <w:t xml:space="preserve"> se descartaron ChromaDB, LlamaIndex, FastAPI, Streamlit y Docker y se adoptó Electron + Flask + SQLite. Motivo: una aplicación de escritorio instalable es más simple de distribuir a usuarios no técnicos y reduce dependencias; PyInstaller y NSIS reemplazan</w:t>
            </w:r>
            <w:r>
              <w:rPr>
                <w:rFonts w:ascii="Calibri" w:hAnsi="Calibri"/>
                <w:sz w:val="20"/>
              </w:rPr>
              <w:t xml:space="preserve"> a Docker en el empaquetado.</w:t>
            </w:r>
          </w:p>
          <w:p w:rsidR="00412FD7" w:rsidRDefault="0056551A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</w:t>
            </w:r>
            <w:r>
              <w:rPr>
                <w:rFonts w:ascii="Calibri" w:hAnsi="Calibri"/>
                <w:b/>
                <w:sz w:val="20"/>
              </w:rPr>
              <w:t>Recuperación:</w:t>
            </w:r>
            <w:r>
              <w:rPr>
                <w:rFonts w:ascii="Calibri" w:hAnsi="Calibri"/>
                <w:sz w:val="20"/>
              </w:rPr>
              <w:t xml:space="preserve"> se mantuvo BM25 como base y se añadió búsqueda semántica opcional con bge-m3, combinando ambas. Motivo: BM25 funciona bien con nombres y números (frecuentes en expedientes) y la parte semántica mejora preguntas </w:t>
            </w:r>
            <w:r>
              <w:rPr>
                <w:rFonts w:ascii="Calibri" w:hAnsi="Calibri"/>
                <w:sz w:val="20"/>
              </w:rPr>
              <w:t>formuladas con otras palabras, sin volverse obligatoria.</w:t>
            </w:r>
          </w:p>
          <w:p w:rsidR="00412FD7" w:rsidRDefault="0056551A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</w:t>
            </w:r>
            <w:r>
              <w:rPr>
                <w:rFonts w:ascii="Calibri" w:hAnsi="Calibri"/>
                <w:b/>
                <w:sz w:val="20"/>
              </w:rPr>
              <w:t>Control de acceso:</w:t>
            </w:r>
            <w:r>
              <w:rPr>
                <w:rFonts w:ascii="Calibri" w:hAnsi="Calibri"/>
                <w:sz w:val="20"/>
              </w:rPr>
              <w:t xml:space="preserve"> el PIN único de Fase 1 fue reemplazado por usuarios con rol (administrador/abogado) y asignación de casos a abogados o equipos. Motivo: reflejar cómo trabaja realmente un estudio</w:t>
            </w:r>
            <w:r>
              <w:rPr>
                <w:rFonts w:ascii="Calibri" w:hAnsi="Calibri"/>
                <w:sz w:val="20"/>
              </w:rPr>
              <w:t xml:space="preserve"> jurídico.</w:t>
            </w:r>
          </w:p>
          <w:p w:rsidR="00412FD7" w:rsidRDefault="0056551A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</w:t>
            </w:r>
            <w:r>
              <w:rPr>
                <w:rFonts w:ascii="Calibri" w:hAnsi="Calibri"/>
                <w:b/>
                <w:sz w:val="20"/>
              </w:rPr>
              <w:t>Formatos:</w:t>
            </w:r>
            <w:r>
              <w:rPr>
                <w:rFonts w:ascii="Calibri" w:hAnsi="Calibri"/>
                <w:sz w:val="20"/>
              </w:rPr>
              <w:t xml:space="preserve"> se ampliaron de PDF y Word a XLSX, PPTX, TXT y CSV, con OCR opcional, porque los expedientes reales incluyen documentos de distinto tipo.</w:t>
            </w:r>
          </w:p>
          <w:p w:rsidR="00412FD7" w:rsidRDefault="0056551A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</w:t>
            </w:r>
            <w:r>
              <w:rPr>
                <w:rFonts w:ascii="Calibri" w:hAnsi="Calibri"/>
                <w:b/>
                <w:sz w:val="20"/>
              </w:rPr>
              <w:t>Funciones nuevas:</w:t>
            </w:r>
            <w:r>
              <w:rPr>
                <w:rFonts w:ascii="Calibri" w:hAnsi="Calibri"/>
                <w:sz w:val="20"/>
              </w:rPr>
              <w:t xml:space="preserve"> gestión de casos con fechas límite, carpeta vigilada y cifrado en reposo. N</w:t>
            </w:r>
            <w:r>
              <w:rPr>
                <w:rFonts w:ascii="Calibri" w:hAnsi="Calibri"/>
                <w:sz w:val="20"/>
              </w:rPr>
              <w:t>o se eliminó ninguna actividad central; la “delegación temporal de archivos” de Fase 1 fue absorbida por la gestión de casos y el procesamiento previo.</w:t>
            </w:r>
          </w:p>
        </w:tc>
      </w:tr>
    </w:tbl>
    <w:p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:rsidTr="00C5122E">
        <w:trPr>
          <w:trHeight w:val="1966"/>
        </w:trPr>
        <w:tc>
          <w:tcPr>
            <w:tcW w:w="5000" w:type="pct"/>
            <w:vAlign w:val="center"/>
          </w:tcPr>
          <w:p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b/>
                <w:color w:val="1F3864" w:themeColor="accent1" w:themeShade="80"/>
                <w:sz w:val="20"/>
              </w:rPr>
              <w:t>Actividades que no has iniciado o están retrasadas:</w:t>
            </w:r>
          </w:p>
          <w:p w:rsidR="00412FD7" w:rsidRDefault="0056551A">
            <w:pPr>
              <w:spacing w:after="60"/>
              <w:jc w:val="both"/>
            </w:pPr>
            <w:r>
              <w:rPr>
                <w:rFonts w:ascii="Calibri" w:hAnsi="Calibri"/>
                <w:sz w:val="20"/>
              </w:rPr>
              <w:t>Actividades retrasadas o sin iniciar formalmente:</w:t>
            </w:r>
          </w:p>
          <w:p w:rsidR="00412FD7" w:rsidRDefault="0056551A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</w:t>
            </w:r>
            <w:r>
              <w:rPr>
                <w:rFonts w:ascii="Calibri" w:hAnsi="Calibri"/>
                <w:b/>
                <w:sz w:val="20"/>
              </w:rPr>
              <w:t>Verificación de privacidad por análisis de tráfico de red:</w:t>
            </w:r>
            <w:r>
              <w:rPr>
                <w:rFonts w:ascii="Calibri" w:hAnsi="Calibri"/>
                <w:sz w:val="20"/>
              </w:rPr>
              <w:t xml:space="preserve"> la arquitectura ya opera solo en 127.0.0.1 y no llama a servicios externos, pero falta documentar formalmente la captura y el análisis. Motivo: se priorizó cerrar la funcionalidad principal. Est</w:t>
            </w:r>
            <w:r>
              <w:rPr>
                <w:rFonts w:ascii="Calibri" w:hAnsi="Calibri"/>
                <w:sz w:val="20"/>
              </w:rPr>
              <w:t>rategia: definir un protocolo de captura (uso normal del sistema con la red monitoreada), ejecutarlo en una sesión de prueba y adjuntar el informe como evidencia clave.</w:t>
            </w:r>
          </w:p>
          <w:p w:rsidR="00412FD7" w:rsidRDefault="0056551A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</w:t>
            </w:r>
            <w:r>
              <w:rPr>
                <w:rFonts w:ascii="Calibri" w:hAnsi="Calibri"/>
                <w:b/>
                <w:sz w:val="20"/>
              </w:rPr>
              <w:t>Evaluación de precisión y tiempos de respuesta:</w:t>
            </w:r>
            <w:r>
              <w:rPr>
                <w:rFonts w:ascii="Calibri" w:hAnsi="Calibri"/>
                <w:sz w:val="20"/>
              </w:rPr>
              <w:t xml:space="preserve"> el dataset sintético existe, pero fal</w:t>
            </w:r>
            <w:r>
              <w:rPr>
                <w:rFonts w:ascii="Calibri" w:hAnsi="Calibri"/>
                <w:sz w:val="20"/>
              </w:rPr>
              <w:t>ta consolidar las métricas. Estrategia: fijar un conjunto de preguntas con respuesta esperada, medir aciertos con fuente correcta y tiempos por consulta, y consultar al docente qué indicadores priorizar.</w:t>
            </w:r>
          </w:p>
          <w:p w:rsidR="00412FD7" w:rsidRDefault="0056551A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</w:t>
            </w:r>
            <w:r>
              <w:rPr>
                <w:rFonts w:ascii="Calibri" w:hAnsi="Calibri"/>
                <w:b/>
                <w:sz w:val="20"/>
              </w:rPr>
              <w:t>Pruebas del instalador en distintos equipos:</w:t>
            </w:r>
            <w:r>
              <w:rPr>
                <w:rFonts w:ascii="Calibri" w:hAnsi="Calibri"/>
                <w:sz w:val="20"/>
              </w:rPr>
              <w:t xml:space="preserve"> se prepararon las herramientas de empaquetado, pero hace falta probar el ejecutable en más computadores. Estrategia: todo el equipo participará en pruebas de integración final en máquinas con distintos recursos.</w:t>
            </w:r>
          </w:p>
        </w:tc>
      </w:tr>
    </w:tbl>
    <w:p w:rsidR="000073FD" w:rsidRDefault="000073FD" w:rsidP="000073FD">
      <w:pPr>
        <w:rPr>
          <w:rFonts w:ascii="Calibri" w:hAnsi="Calibri" w:cs="Arial"/>
          <w:i/>
          <w:color w:val="548DD4"/>
          <w:sz w:val="20"/>
          <w:szCs w:val="20"/>
          <w:lang w:eastAsia="es-CL"/>
        </w:rPr>
      </w:pPr>
      <w:bookmarkStart w:id="0" w:name="_GoBack"/>
      <w:bookmarkEnd w:id="0"/>
    </w:p>
    <w:p w:rsidR="000073FD" w:rsidRPr="0003309E" w:rsidRDefault="000073FD" w:rsidP="000073FD">
      <w:pPr>
        <w:rPr>
          <w:lang w:val="es-ES"/>
        </w:rPr>
      </w:pPr>
    </w:p>
    <w:sectPr w:rsidR="000073FD" w:rsidRPr="0003309E">
      <w:head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551A" w:rsidRDefault="0056551A" w:rsidP="0003309E">
      <w:pPr>
        <w:spacing w:after="0" w:line="240" w:lineRule="auto"/>
      </w:pPr>
      <w:r>
        <w:separator/>
      </w:r>
    </w:p>
  </w:endnote>
  <w:endnote w:type="continuationSeparator" w:id="0">
    <w:p w:rsidR="0056551A" w:rsidRDefault="0056551A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551A" w:rsidRDefault="0056551A" w:rsidP="0003309E">
      <w:pPr>
        <w:spacing w:after="0" w:line="240" w:lineRule="auto"/>
      </w:pPr>
      <w:r>
        <w:separator/>
      </w:r>
    </w:p>
  </w:footnote>
  <w:footnote w:type="continuationSeparator" w:id="0">
    <w:p w:rsidR="0056551A" w:rsidRDefault="0056551A" w:rsidP="0003309E">
      <w:pPr>
        <w:spacing w:after="0" w:line="240" w:lineRule="auto"/>
      </w:pPr>
      <w:r>
        <w:continuationSeparator/>
      </w:r>
    </w:p>
  </w:footnote>
  <w:footnote w:id="1">
    <w:p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073FD"/>
    <w:rsid w:val="00012FB2"/>
    <w:rsid w:val="00025477"/>
    <w:rsid w:val="0003309E"/>
    <w:rsid w:val="0004192B"/>
    <w:rsid w:val="00065341"/>
    <w:rsid w:val="000A1331"/>
    <w:rsid w:val="00145B36"/>
    <w:rsid w:val="00147283"/>
    <w:rsid w:val="003608EA"/>
    <w:rsid w:val="00412FD7"/>
    <w:rsid w:val="00470CE4"/>
    <w:rsid w:val="004B75F6"/>
    <w:rsid w:val="00521026"/>
    <w:rsid w:val="00545F23"/>
    <w:rsid w:val="00563B43"/>
    <w:rsid w:val="0056551A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027F0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72C76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0073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4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2079</Words>
  <Characters>11440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Eduardo Antonio López Ríos</cp:lastModifiedBy>
  <cp:revision>6</cp:revision>
  <dcterms:created xsi:type="dcterms:W3CDTF">2022-08-24T18:14:00Z</dcterms:created>
  <dcterms:modified xsi:type="dcterms:W3CDTF">2026-10-15T03:09:00Z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