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1EBE848" w14:textId="77777777" w:rsidR="002F7569" w:rsidRPr="00931701" w:rsidRDefault="002F756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30326E92" w:rsidR="004F2A8B" w:rsidRPr="002F7569" w:rsidRDefault="002F756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F7569">
              <w:rPr>
                <w:rFonts w:eastAsiaTheme="majorEastAsia"/>
                <w:sz w:val="24"/>
                <w:szCs w:val="24"/>
              </w:rPr>
              <w:t>Sí, en términos generales hemos avanzado acorde a la planificación. Logramos completar la configuración del entorno de desarrollo local, el desarrollo del módulo de ingesta para procesar documentos PDF y Word, y la integración inicial del motor de búsqueda léxica BM25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68A82F1" w14:textId="77777777" w:rsidR="002F7569" w:rsidRDefault="002F7569" w:rsidP="3D28A338">
            <w:pPr>
              <w:jc w:val="both"/>
              <w:rPr>
                <w:rFonts w:ascii="Calibri" w:hAnsi="Calibri"/>
              </w:rPr>
            </w:pPr>
            <w:r w:rsidRPr="002F7569">
              <w:rPr>
                <w:rFonts w:ascii="Calibri" w:hAnsi="Calibri"/>
              </w:rPr>
              <w:t>F</w:t>
            </w:r>
            <w:r w:rsidRPr="002F7569">
              <w:rPr>
                <w:rFonts w:ascii="Calibri" w:hAnsi="Calibri"/>
              </w:rPr>
              <w:t xml:space="preserve">actores que facilitaron o dificultaron el </w:t>
            </w:r>
            <w:proofErr w:type="spellStart"/>
            <w:proofErr w:type="gramStart"/>
            <w:r w:rsidRPr="002F7569">
              <w:rPr>
                <w:rFonts w:ascii="Calibri" w:hAnsi="Calibri"/>
              </w:rPr>
              <w:t>desarrollo:Facilitadores</w:t>
            </w:r>
            <w:proofErr w:type="spellEnd"/>
            <w:proofErr w:type="gramEnd"/>
            <w:r w:rsidRPr="002F7569">
              <w:rPr>
                <w:rFonts w:ascii="Calibri" w:hAnsi="Calibri"/>
              </w:rPr>
              <w:t xml:space="preserve">: La clara delimitación de los roles en el equipo, sumado al uso de librerías de código abierto estables y bien documentadas.   </w:t>
            </w:r>
          </w:p>
          <w:p w14:paraId="1873DF96" w14:textId="77777777" w:rsidR="002F7569" w:rsidRDefault="002F7569" w:rsidP="3D28A338">
            <w:pPr>
              <w:jc w:val="both"/>
              <w:rPr>
                <w:rFonts w:ascii="Calibri" w:hAnsi="Calibri"/>
              </w:rPr>
            </w:pPr>
          </w:p>
          <w:p w14:paraId="74F78CC7" w14:textId="3ACE53DC" w:rsidR="002F7569" w:rsidRPr="002F7569" w:rsidRDefault="002F7569" w:rsidP="3D28A338">
            <w:pPr>
              <w:jc w:val="both"/>
              <w:rPr>
                <w:rFonts w:ascii="Calibri" w:hAnsi="Calibri"/>
              </w:rPr>
            </w:pPr>
            <w:r w:rsidRPr="002F7569">
              <w:rPr>
                <w:rFonts w:ascii="Calibri" w:hAnsi="Calibri"/>
              </w:rPr>
              <w:t xml:space="preserve">Dificultades: Optimizar el rendimiento local para que el modelo Llama 3.2 (ejecutado mediante </w:t>
            </w:r>
            <w:proofErr w:type="spellStart"/>
            <w:r w:rsidRPr="002F7569">
              <w:rPr>
                <w:rFonts w:ascii="Calibri" w:hAnsi="Calibri"/>
              </w:rPr>
              <w:t>Ollama</w:t>
            </w:r>
            <w:proofErr w:type="spellEnd"/>
            <w:r w:rsidRPr="002F7569">
              <w:rPr>
                <w:rFonts w:ascii="Calibri" w:hAnsi="Calibri"/>
              </w:rPr>
              <w:t>) funcione de manera fluida en equipos de recursos moderados sin requerir hardware especializado.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39CD9B7" w14:textId="38F47784" w:rsidR="002F7569" w:rsidRPr="002F7569" w:rsidRDefault="002F7569" w:rsidP="3D28A338">
            <w:pPr>
              <w:jc w:val="both"/>
              <w:rPr>
                <w:rFonts w:ascii="Calibri" w:hAnsi="Calibri"/>
              </w:rPr>
            </w:pPr>
            <w:r w:rsidRPr="002F7569">
              <w:rPr>
                <w:rFonts w:ascii="Calibri" w:hAnsi="Calibri"/>
              </w:rPr>
              <w:t>Ante las limitaciones de cómputo para correr modelos vectoriales pesados, optamos por utilizar un sistema de recuperación léxica con BM25, lo cual redujo la carga computacional y mantuvo la eficiencia. Asimismo, la coordinación mediante control de versiones en GitHub nos ha permitido integrar los módulos de forma ordenada y sin conflictos de código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E2A5BC4" w:rsidR="004F2A8B" w:rsidRDefault="002F7569" w:rsidP="3D28A338">
            <w:pPr>
              <w:jc w:val="both"/>
              <w:rPr>
                <w:rFonts w:ascii="Calibri" w:hAnsi="Calibri"/>
              </w:rPr>
            </w:pPr>
            <w:r w:rsidRPr="002F7569">
              <w:rPr>
                <w:rFonts w:ascii="Calibri" w:hAnsi="Calibri"/>
              </w:rPr>
              <w:t xml:space="preserve">La evaluación es muy positiva. Hemos conseguido un prototipo funcional que cumple con el objetivo de procesar y consultar información sensible de forma 100% local, garantizando la privacidad mediante autenticación por </w:t>
            </w:r>
            <w:r>
              <w:rPr>
                <w:rFonts w:ascii="Calibri" w:hAnsi="Calibri"/>
              </w:rPr>
              <w:t>Usuario y Contraseña</w:t>
            </w:r>
          </w:p>
          <w:p w14:paraId="14C1FCE6" w14:textId="77777777" w:rsidR="002F7569" w:rsidRDefault="002F7569" w:rsidP="3D28A338">
            <w:pPr>
              <w:jc w:val="both"/>
              <w:rPr>
                <w:rFonts w:ascii="Calibri" w:hAnsi="Calibri"/>
              </w:rPr>
            </w:pPr>
          </w:p>
          <w:p w14:paraId="55FD2061" w14:textId="77777777" w:rsidR="002F7569" w:rsidRDefault="002F7569" w:rsidP="3D28A338">
            <w:pPr>
              <w:jc w:val="both"/>
              <w:rPr>
                <w:rFonts w:ascii="Calibri" w:hAnsi="Calibri"/>
              </w:rPr>
            </w:pPr>
            <w:r w:rsidRPr="002F7569">
              <w:rPr>
                <w:rFonts w:ascii="Calibri" w:hAnsi="Calibri"/>
              </w:rPr>
              <w:t>Destacamos: La solidez de la arquitectura RAG local y el respeto riguroso por la confidencialidad de los datos</w:t>
            </w:r>
          </w:p>
          <w:p w14:paraId="499721FD" w14:textId="77777777" w:rsidR="002F7569" w:rsidRDefault="002F7569" w:rsidP="3D28A338">
            <w:pPr>
              <w:jc w:val="both"/>
              <w:rPr>
                <w:rFonts w:ascii="Calibri" w:hAnsi="Calibri"/>
              </w:rPr>
            </w:pPr>
          </w:p>
          <w:p w14:paraId="04746DFE" w14:textId="407F4D8D" w:rsidR="002F7569" w:rsidRPr="002F7569" w:rsidRDefault="002F7569" w:rsidP="3D28A338">
            <w:pPr>
              <w:jc w:val="both"/>
              <w:rPr>
                <w:rFonts w:ascii="Calibri" w:hAnsi="Calibri"/>
              </w:rPr>
            </w:pPr>
            <w:r w:rsidRPr="002F7569">
              <w:rPr>
                <w:rFonts w:ascii="Calibri" w:hAnsi="Calibri"/>
              </w:rPr>
              <w:t>Por mejorar: Es necesario intensificar las pruebas de empaquetado del software para asegurar que el ejecutable funcione de manera óptima en distintos equipos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519C83E" w14:textId="77777777" w:rsidR="002F7569" w:rsidRPr="002F7569" w:rsidRDefault="002F7569" w:rsidP="002F7569">
            <w:pPr>
              <w:jc w:val="both"/>
              <w:rPr>
                <w:rFonts w:ascii="Calibri" w:hAnsi="Calibri"/>
              </w:rPr>
            </w:pPr>
            <w:r w:rsidRPr="002F7569">
              <w:rPr>
                <w:rFonts w:ascii="Calibri" w:hAnsi="Calibri"/>
              </w:rPr>
              <w:t>Inquietudes sobre cómo proceder:</w:t>
            </w:r>
          </w:p>
          <w:p w14:paraId="4D9260D8" w14:textId="0923B97C" w:rsidR="004F2A8B" w:rsidRDefault="002F7569" w:rsidP="002F7569">
            <w:pPr>
              <w:jc w:val="both"/>
              <w:rPr>
                <w:rFonts w:ascii="Calibri" w:hAnsi="Calibri"/>
              </w:rPr>
            </w:pPr>
            <w:r w:rsidRPr="002F7569">
              <w:rPr>
                <w:rFonts w:ascii="Calibri" w:hAnsi="Calibri"/>
              </w:rPr>
              <w:t>Nos queda pendiente afinar la metodología para documentar formalmente las pruebas de ausencia de tráfico de red externo de cara a la defensa final</w:t>
            </w:r>
          </w:p>
          <w:p w14:paraId="2DE36E73" w14:textId="77777777" w:rsidR="002F7569" w:rsidRDefault="002F7569" w:rsidP="002F7569">
            <w:pPr>
              <w:jc w:val="both"/>
              <w:rPr>
                <w:rFonts w:ascii="Calibri" w:hAnsi="Calibri"/>
              </w:rPr>
            </w:pPr>
          </w:p>
          <w:p w14:paraId="0307E389" w14:textId="77777777" w:rsidR="002F7569" w:rsidRPr="002F7569" w:rsidRDefault="002F7569" w:rsidP="002F7569">
            <w:pPr>
              <w:jc w:val="both"/>
              <w:rPr>
                <w:rFonts w:ascii="Calibri" w:hAnsi="Calibri"/>
              </w:rPr>
            </w:pPr>
            <w:r w:rsidRPr="002F7569">
              <w:rPr>
                <w:rFonts w:ascii="Calibri" w:hAnsi="Calibri"/>
              </w:rPr>
              <w:t>Pregunta para el docente o los pares:</w:t>
            </w:r>
          </w:p>
          <w:p w14:paraId="699390A2" w14:textId="58A8BD46" w:rsidR="002F7569" w:rsidRPr="002F7569" w:rsidRDefault="002F7569" w:rsidP="002F7569">
            <w:pPr>
              <w:jc w:val="both"/>
              <w:rPr>
                <w:rFonts w:ascii="Calibri" w:hAnsi="Calibri"/>
              </w:rPr>
            </w:pPr>
            <w:r w:rsidRPr="002F7569">
              <w:rPr>
                <w:rFonts w:ascii="Calibri" w:hAnsi="Calibri"/>
              </w:rPr>
              <w:t>Dado que estamos utilizando una combinación de recuperación léxica BM25 y Llama 3.2, ¿qué métricas o indicadores específicos nos recomiendan priorizar para evaluar objetivamente la precisión de las respuestas ante la comisión?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A5F467A" w:rsidR="004F2A8B" w:rsidRPr="002F7569" w:rsidRDefault="002F756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F7569">
              <w:rPr>
                <w:rFonts w:eastAsiaTheme="majorEastAsia"/>
                <w:sz w:val="24"/>
                <w:szCs w:val="24"/>
              </w:rPr>
              <w:t>No consideramos necesario realizar cambios drásticos, ya que la asignación actual ha dado buenos resultados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18F28A" w14:textId="7F58960F" w:rsidR="002F7569" w:rsidRPr="002F7569" w:rsidRDefault="002F756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F7569">
              <w:rPr>
                <w:rFonts w:eastAsiaTheme="majorEastAsia"/>
                <w:sz w:val="24"/>
                <w:szCs w:val="24"/>
              </w:rPr>
              <w:t>Para esta etapa de cierre, todo el equipo colaborará directamente en las pruebas de integración final y en la preparación de los empaquetados ejecutables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54B3EFC" w:rsidR="004F2A8B" w:rsidRPr="002F7569" w:rsidRDefault="002F756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F7569">
              <w:rPr>
                <w:rFonts w:eastAsiaTheme="majorEastAsia"/>
                <w:sz w:val="24"/>
                <w:szCs w:val="24"/>
              </w:rPr>
              <w:t>El clima de trabajo es excelente, caracterizado por una comunicación fluida y un fuerte compromiso con el proyecto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EAF687D" w14:textId="77777777" w:rsidR="002F7569" w:rsidRDefault="002F756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F7569">
              <w:rPr>
                <w:rFonts w:eastAsiaTheme="majorEastAsia"/>
                <w:sz w:val="24"/>
                <w:szCs w:val="24"/>
              </w:rPr>
              <w:t>Aspectos positivos y a mejorar:</w:t>
            </w:r>
          </w:p>
          <w:p w14:paraId="73036AE1" w14:textId="77777777" w:rsidR="002F7569" w:rsidRDefault="002F756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A896B7" w14:textId="77777777" w:rsidR="002F7569" w:rsidRDefault="002F756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F7569">
              <w:rPr>
                <w:rFonts w:eastAsiaTheme="majorEastAsia"/>
                <w:sz w:val="24"/>
                <w:szCs w:val="24"/>
              </w:rPr>
              <w:t>Positivos: La complementariedad técnica del grupo abarcando desarrollo full-</w:t>
            </w:r>
            <w:proofErr w:type="spellStart"/>
            <w:r w:rsidRPr="002F7569">
              <w:rPr>
                <w:rFonts w:eastAsiaTheme="majorEastAsia"/>
                <w:sz w:val="24"/>
                <w:szCs w:val="24"/>
              </w:rPr>
              <w:t>stack</w:t>
            </w:r>
            <w:proofErr w:type="spellEnd"/>
            <w:r w:rsidRPr="002F7569">
              <w:rPr>
                <w:rFonts w:eastAsiaTheme="majorEastAsia"/>
                <w:sz w:val="24"/>
                <w:szCs w:val="24"/>
              </w:rPr>
              <w:t xml:space="preserve">, IA y ciberseguridad.   </w:t>
            </w:r>
          </w:p>
          <w:p w14:paraId="733CD84F" w14:textId="77777777" w:rsidR="002F7569" w:rsidRDefault="002F756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9470060" w14:textId="4BAAD1BB" w:rsidR="002F7569" w:rsidRPr="002F7569" w:rsidRDefault="002F756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F7569">
              <w:rPr>
                <w:rFonts w:eastAsiaTheme="majorEastAsia"/>
                <w:sz w:val="24"/>
                <w:szCs w:val="24"/>
              </w:rPr>
              <w:t xml:space="preserve">A mejorar: Establecer instancias de sincronización más frecuentes para resolver bloqueos menores con mayor rapidez en la recta final.   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8A426" w14:textId="77777777" w:rsidR="00BE1545" w:rsidRDefault="00BE1545" w:rsidP="00DF38AE">
      <w:pPr>
        <w:spacing w:after="0" w:line="240" w:lineRule="auto"/>
      </w:pPr>
      <w:r>
        <w:separator/>
      </w:r>
    </w:p>
  </w:endnote>
  <w:endnote w:type="continuationSeparator" w:id="0">
    <w:p w14:paraId="45639387" w14:textId="77777777" w:rsidR="00BE1545" w:rsidRDefault="00BE154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DA45D" w14:textId="77777777" w:rsidR="00BE1545" w:rsidRDefault="00BE1545" w:rsidP="00DF38AE">
      <w:pPr>
        <w:spacing w:after="0" w:line="240" w:lineRule="auto"/>
      </w:pPr>
      <w:r>
        <w:separator/>
      </w:r>
    </w:p>
  </w:footnote>
  <w:footnote w:type="continuationSeparator" w:id="0">
    <w:p w14:paraId="3A1F2F20" w14:textId="77777777" w:rsidR="00BE1545" w:rsidRDefault="00BE154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333609">
    <w:abstractNumId w:val="3"/>
  </w:num>
  <w:num w:numId="2" w16cid:durableId="1476609173">
    <w:abstractNumId w:val="8"/>
  </w:num>
  <w:num w:numId="3" w16cid:durableId="1023438802">
    <w:abstractNumId w:val="12"/>
  </w:num>
  <w:num w:numId="4" w16cid:durableId="342518016">
    <w:abstractNumId w:val="28"/>
  </w:num>
  <w:num w:numId="5" w16cid:durableId="621762875">
    <w:abstractNumId w:val="30"/>
  </w:num>
  <w:num w:numId="6" w16cid:durableId="338625965">
    <w:abstractNumId w:val="4"/>
  </w:num>
  <w:num w:numId="7" w16cid:durableId="1393970249">
    <w:abstractNumId w:val="11"/>
  </w:num>
  <w:num w:numId="8" w16cid:durableId="869074949">
    <w:abstractNumId w:val="19"/>
  </w:num>
  <w:num w:numId="9" w16cid:durableId="1926374126">
    <w:abstractNumId w:val="15"/>
  </w:num>
  <w:num w:numId="10" w16cid:durableId="49614195">
    <w:abstractNumId w:val="9"/>
  </w:num>
  <w:num w:numId="11" w16cid:durableId="1233931309">
    <w:abstractNumId w:val="24"/>
  </w:num>
  <w:num w:numId="12" w16cid:durableId="2066489430">
    <w:abstractNumId w:val="35"/>
  </w:num>
  <w:num w:numId="13" w16cid:durableId="565995309">
    <w:abstractNumId w:val="29"/>
  </w:num>
  <w:num w:numId="14" w16cid:durableId="68622295">
    <w:abstractNumId w:val="1"/>
  </w:num>
  <w:num w:numId="15" w16cid:durableId="1660767075">
    <w:abstractNumId w:val="36"/>
  </w:num>
  <w:num w:numId="16" w16cid:durableId="2013026176">
    <w:abstractNumId w:val="21"/>
  </w:num>
  <w:num w:numId="17" w16cid:durableId="110249647">
    <w:abstractNumId w:val="17"/>
  </w:num>
  <w:num w:numId="18" w16cid:durableId="1349798815">
    <w:abstractNumId w:val="31"/>
  </w:num>
  <w:num w:numId="19" w16cid:durableId="1120297911">
    <w:abstractNumId w:val="10"/>
  </w:num>
  <w:num w:numId="20" w16cid:durableId="1610235501">
    <w:abstractNumId w:val="39"/>
  </w:num>
  <w:num w:numId="21" w16cid:durableId="189610325">
    <w:abstractNumId w:val="34"/>
  </w:num>
  <w:num w:numId="22" w16cid:durableId="1198394892">
    <w:abstractNumId w:val="13"/>
  </w:num>
  <w:num w:numId="23" w16cid:durableId="832524790">
    <w:abstractNumId w:val="14"/>
  </w:num>
  <w:num w:numId="24" w16cid:durableId="1810705973">
    <w:abstractNumId w:val="5"/>
  </w:num>
  <w:num w:numId="25" w16cid:durableId="1904682085">
    <w:abstractNumId w:val="16"/>
  </w:num>
  <w:num w:numId="26" w16cid:durableId="1361855078">
    <w:abstractNumId w:val="20"/>
  </w:num>
  <w:num w:numId="27" w16cid:durableId="1199010911">
    <w:abstractNumId w:val="23"/>
  </w:num>
  <w:num w:numId="28" w16cid:durableId="1210652620">
    <w:abstractNumId w:val="0"/>
  </w:num>
  <w:num w:numId="29" w16cid:durableId="203178175">
    <w:abstractNumId w:val="18"/>
  </w:num>
  <w:num w:numId="30" w16cid:durableId="1736664769">
    <w:abstractNumId w:val="22"/>
  </w:num>
  <w:num w:numId="31" w16cid:durableId="987438850">
    <w:abstractNumId w:val="2"/>
  </w:num>
  <w:num w:numId="32" w16cid:durableId="255098356">
    <w:abstractNumId w:val="7"/>
  </w:num>
  <w:num w:numId="33" w16cid:durableId="533078704">
    <w:abstractNumId w:val="32"/>
  </w:num>
  <w:num w:numId="34" w16cid:durableId="1728340054">
    <w:abstractNumId w:val="38"/>
  </w:num>
  <w:num w:numId="35" w16cid:durableId="1071193404">
    <w:abstractNumId w:val="6"/>
  </w:num>
  <w:num w:numId="36" w16cid:durableId="869147681">
    <w:abstractNumId w:val="25"/>
  </w:num>
  <w:num w:numId="37" w16cid:durableId="1202472551">
    <w:abstractNumId w:val="37"/>
  </w:num>
  <w:num w:numId="38" w16cid:durableId="824590301">
    <w:abstractNumId w:val="27"/>
  </w:num>
  <w:num w:numId="39" w16cid:durableId="172572871">
    <w:abstractNumId w:val="26"/>
  </w:num>
  <w:num w:numId="40" w16cid:durableId="189569505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2F7569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31CA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1545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640</Words>
  <Characters>3523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HECTOR RODRIGO SCHULZ POZO</cp:lastModifiedBy>
  <cp:revision>43</cp:revision>
  <cp:lastPrinted>2019-12-16T20:10:00Z</cp:lastPrinted>
  <dcterms:created xsi:type="dcterms:W3CDTF">2021-12-31T12:50:00Z</dcterms:created>
  <dcterms:modified xsi:type="dcterms:W3CDTF">2026-10-15T02:00:00Z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