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Guía Estudiante — Fase 1: Definición de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color w:val="2e5395"/>
          <w:sz w:val="22"/>
          <w:szCs w:val="22"/>
          <w:rtl w:val="0"/>
        </w:rPr>
        <w:t xml:space="preserve">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864" w:space="4" w:sz="12" w:val="single"/>
        </w:pBdr>
        <w:spacing w:after="200" w:before="480" w:lineRule="auto"/>
        <w:rPr/>
      </w:pPr>
      <w:r w:rsidDel="00000000" w:rsidR="00000000" w:rsidRPr="00000000">
        <w:rPr>
          <w:b w:val="1"/>
          <w:bCs w:val="1"/>
          <w:smallCaps w:val="1"/>
          <w:color w:val="1f3864"/>
          <w:sz w:val="28"/>
          <w:szCs w:val="28"/>
          <w:rtl w:val="0"/>
        </w:rPr>
        <w:t xml:space="preserve">PARTE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3864" w:val="clear"/>
        <w:spacing w:after="140" w:before="320" w:lineRule="auto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  1. Antecedentes Personales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Nombre 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Josue Garcia, Ignacio Lopez, hector Schulz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21.659.179-8,  21.496.655-7 , 20.794.178-6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Carrera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Ingenieria Informatica— 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Alamaeda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hd w:fill="1f3864" w:val="clear"/>
        <w:spacing w:after="140" w:before="320" w:lineRule="auto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  2. Descripción Proyecto APT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Nombre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Vexa </w:t>
            </w: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 Local: Sistema de Búsqueda y Consulta Inteligente de Documentos mediante IA Generativa Local (RAG On-Premise) para Organizaciones con Datos Sensibles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Área(s) de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Análisis y evaluación de soluciones informáticas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Desarrollo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Ciberseguridad y gestión de riesgos de la 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Competencias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Aplicar técnicas de minería de datos y procesamiento de lenguaje natural para extraer información relevante desde grandes volúmenes de datos no estructurados.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Implementar medidas de seguridad de la información, evaluando riesgos y aplicando controles que protejan la confidencialidad, integridad y disponibilidad de los datos de una organización.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hd w:fill="1f3864" w:val="clear"/>
        <w:spacing w:after="140" w:before="320" w:lineRule="auto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  3. Fundamentación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5395"/>
          <w:sz w:val="20"/>
          <w:szCs w:val="20"/>
          <w:rtl w:val="0"/>
        </w:rPr>
        <w:t xml:space="preserve">Relevancia del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76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Muchas organizaciones que manejan información sensible —estudios jurídicos, clínicas y centros de salud, e instituciones financieras— generan grandes volúmenes de documentación interna (contratos, fichas clínicas, políticas, normativas) que sus propios colaboradores necesitan consultar de forma rápida y precisa. Sin embargo, estas organizaciones no pueden apoyarse en herramientas de inteligencia artificial generativa disponibles en el mercado (como ChatGPT o servicios similares en la nube), ya que enviar dicha información a servidores externos implica un riesgo legal y de confidencialidad, especialmente considerando normativas como la Ley N.º 19.628 sobre Protección de la Vida Privada y, en el caso de las profesiones jurídicas y de salud, el secreto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76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Este problema es transversal a pequeñas y medianas organizaciones en Chile que no cuentan con presupuesto ni infraestructura para implementar soluciones de IA empresarial certificadas, quedando en desventaja frente a organizaciones más grandes. El proyecto es relevante para el campo laboral de la carrera porque combina minería de datos, procesamiento de lenguaje natural y ciberseguridad —pilares del perfil de egreso— para resolver una necesidad real y creciente del mercado.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5395"/>
          <w:sz w:val="20"/>
          <w:szCs w:val="20"/>
          <w:rtl w:val="0"/>
        </w:rPr>
        <w:t xml:space="preserve">Descripción del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76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El proyecto consiste en diseñar e implementar un sistema de búsqueda y consulta inteligente de documentos, basado en una arquitectura RAG (Retrieval-Augmented Generation), que funcione completamente de manera local, sin requerir conexión a internet ni el envío de información a servidores externos. El sistema permitirá cargar un conjunto de documentos (PDF o Word) y realizar preguntas en lenguaje natural, recibiendo respuestas generadas por un modelo de lenguaje que se ejecuta localmente, basadas exclusivamente en el contenido de esos documentos y citando la fuente correspondiente.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76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Para efectos de esta tesis, el sistema se probará con un conjunto de documentos sintéticos (contratos o fichas clínicas ficticias), dado que no se utilizará información real de clientes, resguardando así cualquier consideración ética o de confidencialidad.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5395"/>
          <w:sz w:val="20"/>
          <w:szCs w:val="20"/>
          <w:rtl w:val="0"/>
        </w:rPr>
        <w:t xml:space="preserve">Pertinencia del proyecto con el perfil de egreso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76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Este proyecto integra de manera directa las competencias de desarrollo de software, minería de datos y ciberseguridad desarrolladas a lo largo de la carrera. La construcción del pipeline de datos y el procesamiento de documentos se relacionan con las asignaturas de minería de datos y big data, mientras que la verificación de la privacidad del sistema y el endurecimiento (hardening) del entorno de despliegue se relacionan directamente con la asignatura de ciberseguridad y administración Linux. El proyecto demuestra así la integración de varias áreas del perfil de egreso en una solución única y coherente.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5395"/>
          <w:sz w:val="20"/>
          <w:szCs w:val="20"/>
          <w:rtl w:val="0"/>
        </w:rPr>
        <w:t xml:space="preserve">Relación con los intereses profesionales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76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Mis intereses profesionales están orientados al desarrollo de soluciones de inteligencia artificial aplicada y a la ciberseguridad, dos áreas que confluyen directamente en este proyecto. Desarrollarlo me permite profundizar en tecnologías de IA generativa local —un área en fuerte crecimiento en la industria— y en técnicas de verificación de privacidad y seguridad de datos, fortaleciendo un perfil profesional híbrido entre ciencia de datos y ciberseguridad.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5395"/>
          <w:sz w:val="20"/>
          <w:szCs w:val="20"/>
          <w:rtl w:val="0"/>
        </w:rPr>
        <w:t xml:space="preserve">Factibilidad de desarrollo del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76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El proyecto es factible de desarrollar en el plazo de un semestre considerando lo siguiente: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Duración del semestre y horas asignadas: la asignatura de Portafolio de Título contempla 20 créditos distribuidos en tres fases, lo que permite dedicar tiempo suficiente al desarrollo iterativo del sistema.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Materiales requeridos: todas las herramientas necesarias (Ollama, LlamaIndex, ChromaDB, FastAPI, Streamlit, Docker) son de código abierto y gratuitas; el desarrollo puede realizarse en un computador personal con recursos moderados usando modelos de lenguaje livianos (7-8 mil millones de parámetros).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Factores externos que facilitan su desarrollo: existe abundante documentación y comunidad activa en torno a estas tecnologías, y ya cuento con experiencia previa en Python, Linux y despliegue de soluciones en la nube (GCP), lo que reduce la curva de aprendizaje.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Factores externos que podrían dificultar su desarrollo: la principal limitación es el poder de cómputo disponible para ejecutar el modelo de lenguaje localmente; se mitigará utilizando modelos livianos optimizados para CPU y, de ser necesario, una máquina virtual con GPU de bajo costo solo para pruebas puntuales durante el desarrollo.</w:t>
      </w:r>
    </w:p>
    <w:p w:rsidR="00000000" w:rsidDel="00000000" w:rsidP="00000000" w:rsidRDefault="00000000" w:rsidRPr="00000000" w14:paraId="00000029">
      <w:pPr>
        <w:pBdr>
          <w:bottom w:color="1f3864" w:space="4" w:sz="12" w:val="single"/>
        </w:pBdr>
        <w:spacing w:after="200" w:before="480" w:lineRule="auto"/>
        <w:rPr/>
      </w:pPr>
      <w:r w:rsidDel="00000000" w:rsidR="00000000" w:rsidRPr="00000000">
        <w:rPr>
          <w:b w:val="1"/>
          <w:bCs w:val="1"/>
          <w:smallCaps w:val="1"/>
          <w:color w:val="1f3864"/>
          <w:sz w:val="28"/>
          <w:szCs w:val="28"/>
          <w:rtl w:val="0"/>
        </w:rPr>
        <w:t xml:space="preserve">PARTE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3864" w:val="clear"/>
        <w:spacing w:after="140" w:before="320" w:lineRule="auto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  4.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5395"/>
          <w:sz w:val="20"/>
          <w:szCs w:val="20"/>
          <w:rtl w:val="0"/>
        </w:rPr>
        <w:t xml:space="preserve">Objetivo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76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Diseñar e implementar un sistema de búsqueda y consulta inteligente de documentos, basado en una arquitectura RAG (Retrieval-Augmented Generation), que opere de forma 100% local, permitiendo a organizaciones con datos sensibles acceder a las capacidades de la inteligencia artificial generativa sin comprometer la confidencialidad de su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5395"/>
          <w:sz w:val="20"/>
          <w:szCs w:val="20"/>
          <w:rtl w:val="0"/>
        </w:rPr>
        <w:t xml:space="preserve">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0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Seleccionar las tecnologías de modelo de lenguaje, generación de embeddings y base de datos vectorial adecuadas para un entorno local.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0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Construir un módulo de ingesta y procesamiento de documentos (PDF y Word) que transforme el contenido en representaciones vectoriales.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0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Implementar un mecanismo de recuperación semántica que identifique los fragmentos de documentos más relevantes para una consulta dada.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0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Desarrollar una interfaz conversacional que permita a usuarios sin conocimientos técnicos realizar consultas y obtener respuestas con su fuente citada.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0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Verificar, mediante análisis de tráfico de red, que el sistema no realiza conexiones a servidores externos durante su funcionamiento.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0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Evaluar el desempeño del sistema en cuanto a precisión de las respuestas y tiempos de respuesta, utilizando un conjunto de documentos y preguntas de prueba.</w:t>
      </w:r>
    </w:p>
    <w:p w:rsidR="00000000" w:rsidDel="00000000" w:rsidP="00000000" w:rsidRDefault="00000000" w:rsidRPr="00000000" w14:paraId="00000034">
      <w:pPr>
        <w:shd w:fill="1f3864" w:val="clear"/>
        <w:spacing w:after="140" w:before="320" w:lineRule="auto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  5. Metodología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76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El desarrollo del proyecto se abordará utilizando la metodología CRISP-DM (Cross Industry Standard Process for Data Mining), complementada con un enfoque de gestión iterativo-incremental para la construcción del software. CRISP-DM guiará la comprensión del problema, la preparación de los documentos de prueba, el modelado del sistema RAG y la evaluación de resultados, mientras que el enfoque iterativo-incremental permitirá construir el sistema por componentes (ingesta, embeddings, recuperación, generación de respuestas, interfaz), probando y ajustando cada módulo antes de integrarlo al siguiente.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76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Al tratarse de un Proyecto APT individual, todas las actividades, tareas y responsabilidades del plan de trabajo serán asumidas por el estudiante.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3864" w:val="clear"/>
        <w:spacing w:after="140" w:before="320" w:lineRule="auto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  6. Evidencias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100"/>
        <w:gridCol w:w="3300"/>
        <w:gridCol w:w="2326"/>
        <w:tblGridChange w:id="0">
          <w:tblGrid>
            <w:gridCol w:w="1300"/>
            <w:gridCol w:w="2100"/>
            <w:gridCol w:w="3300"/>
            <w:gridCol w:w="2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 de la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Documento de diseño arquitectónico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Diagrama de componentes de la arquitectura RAG (ingesta, embeddings, base vectorial, generación).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Permite validar la solución técnica antes de construir el sistema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eef2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eef2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Dataset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eef2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Conjunto de documentos ficticios (contratos o fichas clínicas) y preguntas de validación.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eef2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Necesario para medir el desempeño del sistema de forma objetiva.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Prototipo funcional de ingesta y búsqueda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Módulo funcional que indexa documentos y retorna resultados relevantes a una consulta.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Evidencia el avance del desarrollo técnico central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eef2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eef2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Sistema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eef2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Aplicación funcional (backend + interfaz de chat) desplegada localmente vía Docker.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eef2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Es el entregable principal del proyecto y demuestra el cumplimiento del objetivo general.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Informe de verificación de privacidad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Captura y análisis del tráfico de red durante el uso del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Valida el argumento central de la propuesta: operación 100% local.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eef2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eef2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Informe final de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eef2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Documento con métricas de desempeño, hallazgos y conclusiones.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eef2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Cierre formal del proyecto y evidencia del aprendizaje logrado.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3864" w:val="clear"/>
        <w:spacing w:after="140" w:before="320" w:lineRule="auto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  7. Plan de Trabajo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50"/>
        <w:gridCol w:w="1450"/>
        <w:gridCol w:w="1900"/>
        <w:gridCol w:w="1250"/>
        <w:gridCol w:w="950"/>
        <w:gridCol w:w="900"/>
        <w:gridCol w:w="1326"/>
        <w:tblGridChange w:id="0">
          <w:tblGrid>
            <w:gridCol w:w="1250"/>
            <w:gridCol w:w="1450"/>
            <w:gridCol w:w="1900"/>
            <w:gridCol w:w="1250"/>
            <w:gridCol w:w="950"/>
            <w:gridCol w:w="900"/>
            <w:gridCol w:w="1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4dc" w:space="0" w:sz="4" w:val="single"/>
              <w:left w:color="b8c4dc" w:space="0" w:sz="4" w:val="single"/>
              <w:bottom w:color="b8c4dc" w:space="0" w:sz="4" w:val="single"/>
              <w:right w:color="b8c4dc" w:space="0" w:sz="4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Análisis y evaluación de soluciones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Investigación y selección de tecnologías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Comparar alternativas de LLM local, framework RAG, embeddings y base vectorial.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Computador, documentación técnica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Semana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Estudiante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Esfuerzo: 3 días/semana. Abundante documentación open source.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software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 de la arquitectura del sistema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Definir diagrama de componentes y flujo de datos del sistema RAG.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Herramienta de diagramación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Semana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Estudiante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Esfuerzo: 3 días/semana.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Minería de datos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Creación del dataset de prueba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Elaborar documentos sintéticos y preguntas de validación.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Documentos de ejemplo, plantillas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Semana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Estudiante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Esfuerzo: 3 días/semana. No usar datos reales.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software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Configuración del entorno local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Instalar y configurar Ollama, Python y dependencias.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Computador con recursos moderados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Semana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Estudiante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Esfuerzo: 3 días/semana.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software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 de ingesta de documentos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lectura y limpieza de archivos PDF y Word.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PyPDF2, python-docx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Semanas 3-4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Estudiante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Inicio Fase 2 (5 días/semana)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Minería de datos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Generación de embeddings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la vectorización semántica de los documentos.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Sentence Transformers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Semana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Estudiante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Esfuerzo: 5 días/semana.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software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Base de datos vectorial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Configurar ChromaDB para almacenar y consultar embeddings.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ChromaDB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Semana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Estudiante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Esfuerzo: 5 días/semana.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software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Pipeline RAG (recuperación + generación)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Integrar la recuperación semántica con la generación de respuestas del LLM.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LlamaIndex, Ollama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Semanas 6-7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Estudiante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Esfuerzo: 5 días/semana. Ajuste iterativo de prompts.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software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Backend (API)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Exponer el sistema mediante una API REST.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FastAPI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Semana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Estudiante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Esfuerzo: 5 días/semana.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software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Interfaz de usuario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interfaz tipo chat para el usuario final.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Streamlit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Semana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Estudiante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Esfuerzo: 5 días/semana.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Ciberseguridad y gestión de riesgos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funcionales y ajustes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Evaluar respuestas del sistema contra el set de preguntas de prueba.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Dataset de prueba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Semana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Estudiante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Esfuerzo: 5 días/semana.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software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Empaquetado del sistema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Contenerizar la solución para facilitar su instalación.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Docker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Semana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Estudiante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Esfuerzo: 5 días/semana. Cierre Fase 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Ciberseguridad y gestión de riesgos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Verificación de privacidad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Analizar tráfico de red para confirmar que no existan conexiones externas.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Wireshark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Semana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Estudiante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Inicio Fase 3 (3 días/semana)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Evidencia clave.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Análisis y evaluación de soluciones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Evaluación de resultados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Medir precisión y tiempos de respuesta; documentar hallazgos.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Métricas, informe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Semana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Estudiante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Esfuerzo: 3 días/semana.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software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Informe final y presentación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Consolidar documentación, resultados y preparar la defensa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Plantilla de informe final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Semana 12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Estudiante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Esfuerzo: 3 días/semana </w:t>
            </w:r>
          </w:p>
        </w:tc>
      </w:tr>
    </w:tbl>
    <w:p w:rsidR="00000000" w:rsidDel="00000000" w:rsidP="00000000" w:rsidRDefault="00000000" w:rsidRPr="00000000" w14:paraId="000000CA">
      <w:pPr>
        <w:rPr/>
        <w:sectPr>
          <w:headerReference r:id="rId6" w:type="default"/>
          <w:footerReference r:id="rId7" w:type="default"/>
          <w:pgSz w:h="16838" w:w="11906" w:orient="portrait"/>
          <w:pgMar w:bottom="1000" w:top="100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f3864" w:val="clear"/>
        <w:spacing w:after="200" w:before="0" w:lineRule="auto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  8. Carta Gantt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before="200" w:lineRule="auto"/>
        <w:rPr>
          <w:i w:val="1"/>
          <w:iCs w:val="1"/>
          <w:color w:val="55555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before="200" w:lineRule="auto"/>
        <w:rPr>
          <w:i w:val="1"/>
          <w:iCs w:val="1"/>
          <w:color w:val="555555"/>
          <w:sz w:val="16"/>
          <w:szCs w:val="16"/>
        </w:rPr>
      </w:pPr>
      <w:r w:rsidDel="00000000" w:rsidR="00000000" w:rsidRPr="00000000">
        <w:rPr>
          <w:i w:val="1"/>
          <w:iCs w:val="1"/>
          <w:color w:val="555555"/>
          <w:sz w:val="16"/>
          <w:szCs w:val="16"/>
        </w:rPr>
        <w:drawing>
          <wp:inline distB="114300" distT="114300" distL="114300" distR="114300">
            <wp:extent cx="9777600" cy="163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before="200" w:lineRule="auto"/>
        <w:rPr/>
      </w:pPr>
      <w:r w:rsidDel="00000000" w:rsidR="00000000" w:rsidRPr="00000000">
        <w:rPr>
          <w:i w:val="1"/>
          <w:iCs w:val="1"/>
          <w:color w:val="555555"/>
          <w:sz w:val="16"/>
          <w:szCs w:val="16"/>
          <w:rtl w:val="0"/>
        </w:rPr>
        <w:t xml:space="preserve">Fase 1: Definición del proyecto (S1-S4)   |   Fase 2: Desarrollo (S5-S16)   |   Fase 3: Cierre y presentación (S17-S18)</w:t>
      </w: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700" w:top="700" w:left="720" w:right="72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jc w:val="center"/>
      <w:rPr/>
    </w:pPr>
    <w:r w:rsidDel="00000000" w:rsidR="00000000" w:rsidRPr="00000000">
      <w:rPr>
        <w:color w:val="808080"/>
        <w:sz w:val="14"/>
        <w:szCs w:val="14"/>
        <w:rtl w:val="0"/>
      </w:rPr>
      <w:t xml:space="preserve">Página </w:t>
    </w:r>
    <w:r w:rsidDel="00000000" w:rsidR="00000000" w:rsidRPr="00000000">
      <w:rPr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jc w:val="right"/>
      <w:rPr/>
    </w:pPr>
    <w:r w:rsidDel="00000000" w:rsidR="00000000" w:rsidRPr="00000000">
      <w:rPr>
        <w:color w:val="808080"/>
        <w:sz w:val="14"/>
        <w:szCs w:val="14"/>
        <w:rtl w:val="0"/>
      </w:rPr>
      <w:t xml:space="preserve">Portafolio de Título — Fase 1: Definición de Proyecto APT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0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