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anual-técnico-y-de-desarrollo---rifapro"/>
    <w:p>
      <w:pPr>
        <w:pStyle w:val="Heading1"/>
      </w:pPr>
      <w:r>
        <w:t xml:space="preserve">Manual Técnico y de Desarrollo - RifaPro 💻</w:t>
      </w:r>
    </w:p>
    <w:p>
      <w:pPr>
        <w:pStyle w:val="FirstParagraph"/>
      </w:pPr>
      <w:r>
        <w:t xml:space="preserve">Este documento detalla la arquitectura, el código base y las mejores prácticas de desarrollo implementadas en RifaPro. Está dirigido a Ingenieros de Software y administradores de sistemas.</w:t>
      </w:r>
    </w:p>
    <w:p>
      <w:r>
        <w:pict>
          <v:rect style="width:0;height:1.5pt" o:hralign="center" o:hrstd="t" o:hr="t"/>
        </w:pict>
      </w:r>
    </w:p>
    <w:bookmarkStart w:id="9" w:name="arquitectura-del-sistema"/>
    <w:p>
      <w:pPr>
        <w:pStyle w:val="Heading2"/>
      </w:pPr>
      <w:r>
        <w:t xml:space="preserve">1. Arquitectura del Sistema</w:t>
      </w:r>
    </w:p>
    <w:p>
      <w:pPr>
        <w:pStyle w:val="FirstParagraph"/>
      </w:pPr>
      <w:r>
        <w:rPr>
          <w:b/>
          <w:bCs/>
        </w:rPr>
        <w:t xml:space="preserve">Stack Principal (Frontend):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Framework:</w:t>
      </w:r>
      <w:r>
        <w:t xml:space="preserve"> </w:t>
      </w:r>
      <w:r>
        <w:t xml:space="preserve">React 19 + Vite.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Enrutamiento: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v6.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Estilos:</w:t>
      </w:r>
      <w:r>
        <w:t xml:space="preserve"> </w:t>
      </w:r>
      <w:r>
        <w:t xml:space="preserve">CSS Vanilla (</w:t>
      </w:r>
      <w:r>
        <w:rPr>
          <w:rStyle w:val="VerbatimChar"/>
        </w:rPr>
        <w:t xml:space="preserve">index.css</w:t>
      </w:r>
      <w:r>
        <w:t xml:space="preserve">) con variables CSS para temas (Dark/Light).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Iconos: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Stack Backend (BaaS):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Proveedor:</w:t>
      </w:r>
      <w:r>
        <w:t xml:space="preserve"> </w:t>
      </w:r>
      <w:r>
        <w:t xml:space="preserve">Supabase.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Base de Datos:</w:t>
      </w:r>
      <w:r>
        <w:t xml:space="preserve"> </w:t>
      </w:r>
      <w:r>
        <w:t xml:space="preserve">PostgreSQL.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Autenticación:</w:t>
      </w:r>
      <w:r>
        <w:t xml:space="preserve"> </w:t>
      </w:r>
      <w:r>
        <w:t xml:space="preserve">Supabase Auth (Email/Password).</w:t>
      </w:r>
    </w:p>
    <w:p>
      <w:r>
        <w:pict>
          <v:rect style="width:0;height:1.5pt" o:hralign="center" o:hrstd="t" o:hr="t"/>
        </w:pict>
      </w:r>
    </w:p>
    <w:bookmarkEnd w:id="9"/>
    <w:bookmarkStart w:id="10" w:name="estructura-de-directorios-clave-scr"/>
    <w:p>
      <w:pPr>
        <w:pStyle w:val="Heading2"/>
      </w:pPr>
      <w:r>
        <w:t xml:space="preserve">2. Estructura de Directorios Clave (</w:t>
      </w:r>
      <w:r>
        <w:rPr>
          <w:rStyle w:val="VerbatimChar"/>
        </w:rPr>
        <w:t xml:space="preserve">scr/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/pages</w:t>
      </w:r>
      <w:r>
        <w:t xml:space="preserve">: Contiene las vistas principales (rutas completas del navegador).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LandingPage.jsx</w:t>
      </w:r>
      <w:r>
        <w:t xml:space="preserve">: Vista de inicio pública (Marketing).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Dashboard.jsx</w:t>
      </w:r>
      <w:r>
        <w:t xml:space="preserve">: Panel de control principal para organizadores (protegido).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PublicGrid.jsx</w:t>
      </w:r>
      <w:r>
        <w:t xml:space="preserve">: Vista dinámica de grilla para clientes (Pública generada por</w:t>
      </w:r>
      <w:r>
        <w:t xml:space="preserve"> </w:t>
      </w:r>
      <w:r>
        <w:rPr>
          <w:rStyle w:val="VerbatimChar"/>
        </w:rPr>
        <w:t xml:space="preserve">/rifa/:id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RaffleManagement.jsx</w:t>
      </w:r>
      <w:r>
        <w:t xml:space="preserve">: Vista para gestionar las boletas reservadas/pagadas.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AdminDashboard.jsx</w:t>
      </w:r>
      <w:r>
        <w:t xml:space="preserve">: Consola de Super-Administrador del SaaS.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/services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supabase.js</w:t>
      </w:r>
      <w:r>
        <w:t xml:space="preserve">: Inicializador del cliente global de Supabase usando variables de entorno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seguridad-y-variables-de-entorno"/>
    <w:p>
      <w:pPr>
        <w:pStyle w:val="Heading2"/>
      </w:pPr>
      <w:r>
        <w:t xml:space="preserve">3. Seguridad y Variables de Entorno</w:t>
      </w:r>
    </w:p>
    <w:bookmarkStart w:id="11" w:name="archivo-.env-obligatorio"/>
    <w:p>
      <w:pPr>
        <w:pStyle w:val="Heading3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(Obligatorio)</w:t>
      </w:r>
    </w:p>
    <w:p>
      <w:pPr>
        <w:pStyle w:val="FirstParagraph"/>
      </w:pPr>
      <w:r>
        <w:t xml:space="preserve">El proyecto requiere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por seguridad:</w:t>
      </w:r>
    </w:p>
    <w:p>
      <w:pPr>
        <w:pStyle w:val="SourceCode"/>
      </w:pPr>
      <w:r>
        <w:rPr>
          <w:rStyle w:val="VerbatimChar"/>
        </w:rPr>
        <w:t xml:space="preserve">VITE_SUPABASE_URL=tu_url_de_proyecto</w:t>
      </w:r>
      <w:r>
        <w:br/>
      </w:r>
      <w:r>
        <w:rPr>
          <w:rStyle w:val="VerbatimChar"/>
        </w:rPr>
        <w:t xml:space="preserve">VITE_SUPABASE_ANON_KEY=tu_anon_key_publica</w:t>
      </w:r>
    </w:p>
    <w:p>
      <w:pPr>
        <w:pStyle w:val="FirstParagraph"/>
      </w:pPr>
      <w:r>
        <w:rPr>
          <w:i/>
          <w:iCs/>
        </w:rPr>
        <w:t xml:space="preserve">Atención: Nunca realices commits de este archivo; ya está agregado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.</w:t>
      </w:r>
    </w:p>
    <w:bookmarkEnd w:id="11"/>
    <w:bookmarkStart w:id="12" w:name="Xf7a437a70ea4867dd2bd5bbe3a24b94828cf68f"/>
    <w:p>
      <w:pPr>
        <w:pStyle w:val="Heading3"/>
      </w:pPr>
      <w:r>
        <w:t xml:space="preserve">Seguridad de Base de Datos (Row Level Security - RLS)</w:t>
      </w:r>
    </w:p>
    <w:p>
      <w:pPr>
        <w:pStyle w:val="FirstParagraph"/>
      </w:pPr>
      <w:r>
        <w:t xml:space="preserve">Para evitar que organizadores borren rifas de otros organizadores, Supabase debe tener RLS activado.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Tabla Rifas:</w:t>
      </w:r>
      <w:r>
        <w:t xml:space="preserve"> </w:t>
      </w:r>
      <w:r>
        <w:rPr>
          <w:rStyle w:val="VerbatimChar"/>
        </w:rPr>
        <w:t xml:space="preserve">organizer_id</w:t>
      </w:r>
      <w:r>
        <w:t xml:space="preserve"> </w:t>
      </w:r>
      <w:r>
        <w:t xml:space="preserve">debe coincidir con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Tabla Tickets:</w:t>
      </w:r>
      <w:r>
        <w:t xml:space="preserve"> </w:t>
      </w:r>
      <w:r>
        <w:t xml:space="preserve">Cualquiera puede insertar (INSERT), pero solo el</w:t>
      </w:r>
      <w:r>
        <w:t xml:space="preserve"> </w:t>
      </w:r>
      <w:r>
        <w:rPr>
          <w:rStyle w:val="VerbatimChar"/>
        </w:rPr>
        <w:t xml:space="preserve">organizer_id</w:t>
      </w:r>
      <w:r>
        <w:t xml:space="preserve"> </w:t>
      </w:r>
      <w:r>
        <w:t xml:space="preserve">dueño de la rifa puede actualizar (UPDATE) el estado a</w:t>
      </w:r>
      <w:r>
        <w:t xml:space="preserve"> </w:t>
      </w:r>
      <w:r>
        <w:t xml:space="preserve">“pagado”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funciones-críticas-backend-supabase"/>
    <w:p>
      <w:pPr>
        <w:pStyle w:val="Heading2"/>
      </w:pPr>
      <w:r>
        <w:t xml:space="preserve">4. Funciones Críticas (Backend Supabase)</w:t>
      </w:r>
    </w:p>
    <w:bookmarkStart w:id="14" w:name="X7429d34431094f8e70a2b01fe179a7c7a9e7cd4"/>
    <w:p>
      <w:pPr>
        <w:pStyle w:val="Heading3"/>
      </w:pPr>
      <w:r>
        <w:t xml:space="preserve">Autenticación de Super Administrador (RPC Seguro)</w:t>
      </w:r>
    </w:p>
    <w:p>
      <w:pPr>
        <w:pStyle w:val="FirstParagraph"/>
      </w:pPr>
      <w:r>
        <w:t xml:space="preserve">El login del Super Admin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hardcodea el PIN en el Frontend. Depende de un script SQL (Función RPC de PostgreSQL) que debe correrse en Supabase.</w:t>
      </w:r>
      <w:r>
        <w:t xml:space="preserve"> </w:t>
      </w:r>
      <w:r>
        <w:rPr>
          <w:b/>
          <w:bCs/>
        </w:rPr>
        <w:t xml:space="preserve">Script (</w:t>
      </w:r>
      <w:r>
        <w:rPr>
          <w:rStyle w:val="VerbatimChar"/>
          <w:b/>
          <w:bCs/>
        </w:rPr>
        <w:t xml:space="preserve">secure_admin_rpc.sql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verify_admin_pin(pin text) RETURNS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real_pin 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'7777'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Valor seguro en backend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real_pin;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decisiones-de-rendimiento-algorítmico-o1"/>
    <w:p>
      <w:pPr>
        <w:pStyle w:val="Heading2"/>
      </w:pPr>
      <w:r>
        <w:t xml:space="preserve">5. Decisiones de Rendimiento Algorítmico (O(1))</w:t>
      </w:r>
    </w:p>
    <w:bookmarkStart w:id="16" w:name="renderizado-de-grillas-masivas"/>
    <w:p>
      <w:pPr>
        <w:pStyle w:val="Heading3"/>
      </w:pPr>
      <w:r>
        <w:t xml:space="preserve">Renderizado de Grillas Masivas</w:t>
      </w:r>
    </w:p>
    <w:p>
      <w:pPr>
        <w:pStyle w:val="FirstParagraph"/>
      </w:pPr>
      <w:r>
        <w:t xml:space="preserve">En lugar de iterar con</w:t>
      </w:r>
      <w:r>
        <w:t xml:space="preserve"> </w:t>
      </w:r>
      <w:r>
        <w:rPr>
          <w:rStyle w:val="VerbatimChar"/>
        </w:rPr>
        <w:t xml:space="preserve">.find()</w:t>
      </w:r>
      <w:r>
        <w:t xml:space="preserve"> </w:t>
      </w:r>
      <w:r>
        <w:t xml:space="preserve">100 veces sobre miles de tickets (</w:t>
      </w:r>
      <w:r>
        <w:rPr>
          <w:rStyle w:val="VerbatimChar"/>
        </w:rPr>
        <w:t xml:space="preserve">O(N^2)</w:t>
      </w:r>
      <w:r>
        <w:t xml:space="preserve">), en</w:t>
      </w:r>
      <w:r>
        <w:t xml:space="preserve"> </w:t>
      </w:r>
      <w:r>
        <w:rPr>
          <w:rStyle w:val="VerbatimChar"/>
        </w:rPr>
        <w:t xml:space="preserve">PublicGrid.jsx</w:t>
      </w:r>
      <w:r>
        <w:t xml:space="preserve"> </w:t>
      </w:r>
      <w:r>
        <w:t xml:space="preserve">los tickets extraídos de la BD se transforman en memoria en un</w:t>
      </w:r>
      <w:r>
        <w:t xml:space="preserve"> </w:t>
      </w:r>
      <w:r>
        <w:rPr>
          <w:b/>
          <w:bCs/>
        </w:rPr>
        <w:t xml:space="preserve">Hash Map</w:t>
      </w:r>
      <w:r>
        <w:t xml:space="preserve"> </w:t>
      </w:r>
      <w:r>
        <w:t xml:space="preserve">(</w:t>
      </w:r>
      <w:r>
        <w:rPr>
          <w:rStyle w:val="VerbatimChar"/>
        </w:rPr>
        <w:t xml:space="preserve">ticketsMap</w:t>
      </w:r>
      <w:r>
        <w:t xml:space="preserve">) usando</w:t>
      </w:r>
      <w:r>
        <w:t xml:space="preserve"> </w:t>
      </w:r>
      <w:r>
        <w:rPr>
          <w:rStyle w:val="VerbatimChar"/>
        </w:rPr>
        <w:t xml:space="preserve">useMemo()</w:t>
      </w:r>
      <w:r>
        <w:t xml:space="preserve">. Esto permite la validación visual de la grilla en tiempo constante de ejecución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21c5fbf52d53bd3969b16526b9a1bbb772bec81"/>
    <w:p>
      <w:pPr>
        <w:pStyle w:val="Heading2"/>
      </w:pPr>
      <w:r>
        <w:t xml:space="preserve">6. Pasarela de Pagos (Fase Implementación Webhook)</w:t>
      </w:r>
    </w:p>
    <w:p>
      <w:pPr>
        <w:pStyle w:val="FirstParagraph"/>
      </w:pPr>
      <w:r>
        <w:t xml:space="preserve">El sistema actual incluye el</w:t>
      </w:r>
      <w:r>
        <w:t xml:space="preserve"> </w:t>
      </w:r>
      <w:r>
        <w:rPr>
          <w:i/>
          <w:iCs/>
        </w:rPr>
        <w:t xml:space="preserve">Stub Visual</w:t>
      </w:r>
      <w:r>
        <w:t xml:space="preserve"> </w:t>
      </w:r>
      <w:r>
        <w:t xml:space="preserve">para pagos. Para escalar a producción con dinero real:</w:t>
      </w:r>
      <w:r>
        <w:t xml:space="preserve"> </w:t>
      </w:r>
      <w:r>
        <w:t xml:space="preserve">1. Conectar los botones Wompi/MercadoPago en</w:t>
      </w:r>
      <w:r>
        <w:t xml:space="preserve"> </w:t>
      </w:r>
      <w:r>
        <w:rPr>
          <w:rStyle w:val="VerbatimChar"/>
        </w:rPr>
        <w:t xml:space="preserve">Dashboard.jsx</w:t>
      </w:r>
      <w:r>
        <w:t xml:space="preserve"> </w:t>
      </w:r>
      <w:r>
        <w:t xml:space="preserve">para generar una</w:t>
      </w:r>
      <w:r>
        <w:t xml:space="preserve"> </w:t>
      </w:r>
      <w:r>
        <w:t xml:space="preserve">“Preferencia”</w:t>
      </w:r>
      <w:r>
        <w:t xml:space="preserve"> </w:t>
      </w:r>
      <w:r>
        <w:t xml:space="preserve">vía API.</w:t>
      </w:r>
      <w:r>
        <w:t xml:space="preserve"> </w:t>
      </w:r>
      <w:r>
        <w:t xml:space="preserve">2. Levantar un Node Server / Edge Function que escuche los Webhooks bancarios.</w:t>
      </w:r>
      <w:r>
        <w:t xml:space="preserve"> </w:t>
      </w:r>
      <w:r>
        <w:t xml:space="preserve">3. Al recibir pago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ejecutar en servidor la consulta:</w:t>
      </w:r>
      <w:r>
        <w:t xml:space="preserve"> </w:t>
      </w:r>
      <w:r>
        <w:rPr>
          <w:rStyle w:val="VerbatimChar"/>
        </w:rPr>
        <w:t xml:space="preserve">UPDATE rifas SET is_paid = true WHERE id = transaccion_id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2026-03-06T20:39:07Z</dcterms:created>
  <dcterms:modified xsi:type="dcterms:W3CDTF">2026-03-06T20:39:07Z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