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2106" w14:textId="77777777" w:rsidR="00090655" w:rsidRPr="00300DCB" w:rsidRDefault="00000000">
      <w:pPr>
        <w:pStyle w:val="Title"/>
        <w:jc w:val="center"/>
        <w:rPr>
          <w:color w:val="000000" w:themeColor="text1"/>
          <w:sz w:val="40"/>
          <w:szCs w:val="40"/>
        </w:rPr>
      </w:pPr>
      <w:r w:rsidRPr="00300DCB">
        <w:rPr>
          <w:color w:val="000000" w:themeColor="text1"/>
          <w:sz w:val="40"/>
          <w:szCs w:val="40"/>
        </w:rPr>
        <w:t>Literature Review</w:t>
      </w:r>
    </w:p>
    <w:p w14:paraId="44E3F6AE" w14:textId="77777777" w:rsidR="00300DCB" w:rsidRPr="00300DCB" w:rsidRDefault="00300DCB">
      <w:pPr>
        <w:jc w:val="center"/>
        <w:rPr>
          <w:i/>
          <w:iCs/>
          <w:color w:val="000000" w:themeColor="text1"/>
        </w:rPr>
      </w:pPr>
    </w:p>
    <w:p w14:paraId="7196C788" w14:textId="0075FAB2" w:rsidR="00090655" w:rsidRPr="00300DCB" w:rsidRDefault="00000000" w:rsidP="00300DCB">
      <w:pPr>
        <w:spacing w:after="240"/>
        <w:jc w:val="center"/>
        <w:rPr>
          <w:color w:val="000000" w:themeColor="text1"/>
          <w:sz w:val="22"/>
          <w:szCs w:val="22"/>
        </w:rPr>
      </w:pPr>
      <w:r w:rsidRPr="00300DCB">
        <w:rPr>
          <w:i/>
          <w:iCs/>
          <w:color w:val="000000" w:themeColor="text1"/>
          <w:sz w:val="22"/>
          <w:szCs w:val="22"/>
        </w:rPr>
        <w:t>SAE-MAS: Causal Analysis of Feedback Uptake in Solver-Critic Multi-Agent LLM Systems</w:t>
      </w:r>
    </w:p>
    <w:p w14:paraId="552205BB" w14:textId="74587463" w:rsidR="00300DCB" w:rsidRPr="00300DCB" w:rsidRDefault="00300DCB">
      <w:pPr>
        <w:spacing w:after="200"/>
        <w:jc w:val="center"/>
        <w:rPr>
          <w:color w:val="000000" w:themeColor="text1"/>
        </w:rPr>
      </w:pPr>
      <w:r w:rsidRPr="00300DCB">
        <w:rPr>
          <w:color w:val="000000" w:themeColor="text1"/>
        </w:rPr>
        <w:t>Raye Oji | Joshua Schechter | Israel Omoniyi</w:t>
      </w:r>
    </w:p>
    <w:p w14:paraId="40719FB9" w14:textId="77777777" w:rsidR="00090655" w:rsidRPr="00300DCB" w:rsidRDefault="00000000">
      <w:pPr>
        <w:spacing w:after="400"/>
        <w:jc w:val="center"/>
        <w:rPr>
          <w:color w:val="000000" w:themeColor="text1"/>
        </w:rPr>
      </w:pPr>
      <w:r w:rsidRPr="00300DCB">
        <w:rPr>
          <w:color w:val="000000" w:themeColor="text1"/>
        </w:rPr>
        <w:t>September 26, 2026</w:t>
      </w:r>
    </w:p>
    <w:p w14:paraId="620944A9" w14:textId="77777777" w:rsidR="00090655" w:rsidRPr="00300DCB" w:rsidRDefault="00000000">
      <w:pPr>
        <w:pStyle w:val="Heading1"/>
        <w:rPr>
          <w:color w:val="000000" w:themeColor="text1"/>
        </w:rPr>
      </w:pPr>
      <w:r w:rsidRPr="00300DCB">
        <w:rPr>
          <w:color w:val="000000" w:themeColor="text1"/>
        </w:rPr>
        <w:t>1. Introduction</w:t>
      </w:r>
    </w:p>
    <w:p w14:paraId="189BFA0A" w14:textId="506247D9" w:rsidR="00090655" w:rsidRPr="00300DCB" w:rsidRDefault="00000000">
      <w:pPr>
        <w:spacing w:after="300"/>
        <w:rPr>
          <w:color w:val="000000" w:themeColor="text1"/>
        </w:rPr>
      </w:pPr>
      <w:r w:rsidRPr="00300DCB">
        <w:rPr>
          <w:color w:val="000000" w:themeColor="text1"/>
        </w:rPr>
        <w:t xml:space="preserve">This document is a living literature review for </w:t>
      </w:r>
      <w:r w:rsidR="00300DCB">
        <w:rPr>
          <w:color w:val="000000" w:themeColor="text1"/>
        </w:rPr>
        <w:t>our</w:t>
      </w:r>
      <w:r w:rsidRPr="00300DCB">
        <w:rPr>
          <w:color w:val="000000" w:themeColor="text1"/>
        </w:rPr>
        <w:t xml:space="preserve"> SAE-MAS capstone project. It currently covers the two source</w:t>
      </w:r>
      <w:r w:rsidR="00300DCB">
        <w:rPr>
          <w:color w:val="000000" w:themeColor="text1"/>
        </w:rPr>
        <w:t>s we’ve used directly in our project so far:</w:t>
      </w:r>
      <w:r w:rsidRPr="00300DCB">
        <w:rPr>
          <w:color w:val="000000" w:themeColor="text1"/>
        </w:rPr>
        <w:t xml:space="preserve"> the benchmark dataset underlying our Solver-Critic interaction pipeline, and the sparse autoencoder methodology underlying our interpretability and causal-intervention work. Additional entries covering SHAP, LIME, linear probing, and multi-agent critique/debate literature will be added as the project's discovery phase continues, per the project's weekly milestones. Each entry below summarize</w:t>
      </w:r>
      <w:r w:rsidR="00300DCB">
        <w:rPr>
          <w:color w:val="000000" w:themeColor="text1"/>
        </w:rPr>
        <w:t>s the papers and highlights</w:t>
      </w:r>
      <w:r w:rsidRPr="00300DCB">
        <w:rPr>
          <w:color w:val="000000" w:themeColor="text1"/>
        </w:rPr>
        <w:t xml:space="preserve"> how our project's contribution differs from the cited work.</w:t>
      </w:r>
    </w:p>
    <w:p w14:paraId="32D401AA" w14:textId="77777777" w:rsidR="00090655" w:rsidRPr="00300DCB" w:rsidRDefault="00000000">
      <w:pPr>
        <w:pStyle w:val="Heading1"/>
        <w:rPr>
          <w:color w:val="000000" w:themeColor="text1"/>
        </w:rPr>
      </w:pPr>
      <w:r w:rsidRPr="00300DCB">
        <w:rPr>
          <w:color w:val="000000" w:themeColor="text1"/>
        </w:rPr>
        <w:t>2. Reviewed Works</w:t>
      </w:r>
    </w:p>
    <w:p w14:paraId="0A509ACC" w14:textId="77777777" w:rsidR="00090655" w:rsidRPr="00300DCB" w:rsidRDefault="00000000">
      <w:pPr>
        <w:pStyle w:val="Heading2"/>
        <w:rPr>
          <w:color w:val="000000" w:themeColor="text1"/>
        </w:rPr>
      </w:pPr>
      <w:r w:rsidRPr="00300DCB">
        <w:rPr>
          <w:color w:val="000000" w:themeColor="text1"/>
        </w:rPr>
        <w:t xml:space="preserve">2.1 </w:t>
      </w:r>
      <w:proofErr w:type="spellStart"/>
      <w:r w:rsidRPr="00300DCB">
        <w:rPr>
          <w:color w:val="000000" w:themeColor="text1"/>
        </w:rPr>
        <w:t>MuSiQue</w:t>
      </w:r>
      <w:proofErr w:type="spellEnd"/>
      <w:r w:rsidRPr="00300DCB">
        <w:rPr>
          <w:color w:val="000000" w:themeColor="text1"/>
        </w:rPr>
        <w:t xml:space="preserve">: </w:t>
      </w:r>
      <w:proofErr w:type="spellStart"/>
      <w:r w:rsidRPr="00300DCB">
        <w:rPr>
          <w:color w:val="000000" w:themeColor="text1"/>
        </w:rPr>
        <w:t>Multihop</w:t>
      </w:r>
      <w:proofErr w:type="spellEnd"/>
      <w:r w:rsidRPr="00300DCB">
        <w:rPr>
          <w:color w:val="000000" w:themeColor="text1"/>
        </w:rPr>
        <w:t xml:space="preserve"> Questions via Single-hop Question Composition [2]</w:t>
      </w:r>
    </w:p>
    <w:p w14:paraId="514F34E3" w14:textId="77777777" w:rsidR="00090655" w:rsidRPr="00300DCB" w:rsidRDefault="00000000">
      <w:pPr>
        <w:spacing w:after="200"/>
        <w:rPr>
          <w:color w:val="000000" w:themeColor="text1"/>
        </w:rPr>
      </w:pPr>
      <w:r w:rsidRPr="00300DCB">
        <w:rPr>
          <w:b/>
          <w:bCs/>
          <w:color w:val="000000" w:themeColor="text1"/>
        </w:rPr>
        <w:t xml:space="preserve">Summary. </w:t>
      </w:r>
      <w:r w:rsidRPr="00300DCB">
        <w:rPr>
          <w:color w:val="000000" w:themeColor="text1"/>
        </w:rPr>
        <w:t xml:space="preserve">Trivedi et al. observe that existing multi-hop question-answering benchmarks can often be solved without a model </w:t>
      </w:r>
      <w:proofErr w:type="gramStart"/>
      <w:r w:rsidRPr="00300DCB">
        <w:rPr>
          <w:color w:val="000000" w:themeColor="text1"/>
        </w:rPr>
        <w:t>actually performing</w:t>
      </w:r>
      <w:proofErr w:type="gramEnd"/>
      <w:r w:rsidRPr="00300DCB">
        <w:rPr>
          <w:color w:val="000000" w:themeColor="text1"/>
        </w:rPr>
        <w:t xml:space="preserve"> </w:t>
      </w:r>
      <w:proofErr w:type="gramStart"/>
      <w:r w:rsidRPr="00300DCB">
        <w:rPr>
          <w:color w:val="000000" w:themeColor="text1"/>
        </w:rPr>
        <w:t>all of</w:t>
      </w:r>
      <w:proofErr w:type="gramEnd"/>
      <w:r w:rsidRPr="00300DCB">
        <w:rPr>
          <w:color w:val="000000" w:themeColor="text1"/>
        </w:rPr>
        <w:t xml:space="preserve"> the intended reasoning steps, because sub-questions frequently contain enough information on their own to be answered without depending on an earlier sub-question's answer. To address this, the authors build multi-hop questions bottom-up from a large pool of single-hop questions drawn from five existing QA datasets, rather than crowdsourcing multi-hop questions directly. Candidate single-hop question pairs are only composed into a multi-hop question if a trained model, with the bridging answer masked out, still fails to answer the later sub-question correctly — a filtering step the authors call connected reasoning (or the </w:t>
      </w:r>
      <w:proofErr w:type="spellStart"/>
      <w:r w:rsidRPr="00300DCB">
        <w:rPr>
          <w:color w:val="000000" w:themeColor="text1"/>
        </w:rPr>
        <w:t>MuSiQue</w:t>
      </w:r>
      <w:proofErr w:type="spellEnd"/>
      <w:r w:rsidRPr="00300DCB">
        <w:rPr>
          <w:color w:val="000000" w:themeColor="text1"/>
        </w:rPr>
        <w:t xml:space="preserve"> condition), which forces genuine dependency between reasoning steps. The pipeline additionally minimizes train-test leakage through a custom data-splitting procedure and adds harder distractor paragraphs pulled from the same single-hop question pool rather than generic Wikipedia text. The resulting dataset, evaluated against strong transformer baselines, shows a substantially larger human-machine performance gap and a much lower “disconnected reasoning” </w:t>
      </w:r>
      <w:proofErr w:type="spellStart"/>
      <w:r w:rsidRPr="00300DCB">
        <w:rPr>
          <w:color w:val="000000" w:themeColor="text1"/>
        </w:rPr>
        <w:t>cheatability</w:t>
      </w:r>
      <w:proofErr w:type="spellEnd"/>
      <w:r w:rsidRPr="00300DCB">
        <w:rPr>
          <w:color w:val="000000" w:themeColor="text1"/>
        </w:rPr>
        <w:t xml:space="preserve"> score than prior multi-hop benchmarks such as </w:t>
      </w:r>
      <w:proofErr w:type="spellStart"/>
      <w:r w:rsidRPr="00300DCB">
        <w:rPr>
          <w:color w:val="000000" w:themeColor="text1"/>
        </w:rPr>
        <w:t>HotpotQA</w:t>
      </w:r>
      <w:proofErr w:type="spellEnd"/>
      <w:r w:rsidRPr="00300DCB">
        <w:rPr>
          <w:color w:val="000000" w:themeColor="text1"/>
        </w:rPr>
        <w:t xml:space="preserve"> and 2WikiMultihopQA.</w:t>
      </w:r>
    </w:p>
    <w:p w14:paraId="66ACCBD1" w14:textId="77777777" w:rsidR="00090655" w:rsidRPr="00300DCB" w:rsidRDefault="00000000">
      <w:pPr>
        <w:spacing w:after="300"/>
        <w:rPr>
          <w:color w:val="000000" w:themeColor="text1"/>
        </w:rPr>
      </w:pPr>
      <w:r w:rsidRPr="00300DCB">
        <w:rPr>
          <w:b/>
          <w:bCs/>
          <w:color w:val="000000" w:themeColor="text1"/>
        </w:rPr>
        <w:t xml:space="preserve">How our project differs. </w:t>
      </w:r>
      <w:r w:rsidRPr="00300DCB">
        <w:rPr>
          <w:color w:val="000000" w:themeColor="text1"/>
        </w:rPr>
        <w:t xml:space="preserve">Our project uses </w:t>
      </w:r>
      <w:proofErr w:type="spellStart"/>
      <w:r w:rsidRPr="00300DCB">
        <w:rPr>
          <w:color w:val="000000" w:themeColor="text1"/>
        </w:rPr>
        <w:t>MuSiQue</w:t>
      </w:r>
      <w:proofErr w:type="spellEnd"/>
      <w:r w:rsidRPr="00300DCB">
        <w:rPr>
          <w:color w:val="000000" w:themeColor="text1"/>
        </w:rPr>
        <w:t xml:space="preserve"> purely as a source of grounded, multi-hop questions with unambiguous gold answers — it is the raw material from which our Solver-Critic interaction dataset is generated, not an object of </w:t>
      </w:r>
      <w:proofErr w:type="gramStart"/>
      <w:r w:rsidRPr="00300DCB">
        <w:rPr>
          <w:color w:val="000000" w:themeColor="text1"/>
        </w:rPr>
        <w:t>study in its own right</w:t>
      </w:r>
      <w:proofErr w:type="gramEnd"/>
      <w:r w:rsidRPr="00300DCB">
        <w:rPr>
          <w:color w:val="000000" w:themeColor="text1"/>
        </w:rPr>
        <w:t>. We are not evaluating multi-hop QA models, nor concerned with dataset construction methodology, disconnection filtering, or train-test leakage reduction as ends in themselves. What we take from this work is its guarantee that each question genuinely requires multi-step reasoning and has a verifiable correct answer, which lets us reliably score whether our Solver's answer, and its Critic's advocated answer, are correct or incorrect. Nothing in Trivedi et al.'s methodology addresses a model's internal representations, feedback dynamics between agents, or whether a model's answer changes for the right reasons after receiving external critique — that question, which is entirely orthogonal to their contribution, is the actual subject of our project.</w:t>
      </w:r>
    </w:p>
    <w:p w14:paraId="0E140B96" w14:textId="77777777" w:rsidR="00090655" w:rsidRPr="00300DCB" w:rsidRDefault="00000000">
      <w:pPr>
        <w:pStyle w:val="Heading2"/>
        <w:rPr>
          <w:color w:val="000000" w:themeColor="text1"/>
        </w:rPr>
      </w:pPr>
      <w:r w:rsidRPr="00300DCB">
        <w:rPr>
          <w:color w:val="000000" w:themeColor="text1"/>
        </w:rPr>
        <w:t>2.2 Sparse Autoencoders Find Highly Interpretable Features in Language Models [1]</w:t>
      </w:r>
    </w:p>
    <w:p w14:paraId="320D3A3B" w14:textId="77777777" w:rsidR="00090655" w:rsidRPr="00300DCB" w:rsidRDefault="00000000">
      <w:pPr>
        <w:spacing w:after="200"/>
        <w:rPr>
          <w:color w:val="000000" w:themeColor="text1"/>
        </w:rPr>
      </w:pPr>
      <w:r w:rsidRPr="00300DCB">
        <w:rPr>
          <w:b/>
          <w:bCs/>
          <w:color w:val="000000" w:themeColor="text1"/>
        </w:rPr>
        <w:t xml:space="preserve">Summary. </w:t>
      </w:r>
      <w:r w:rsidRPr="00300DCB">
        <w:rPr>
          <w:color w:val="000000" w:themeColor="text1"/>
        </w:rPr>
        <w:t xml:space="preserve">Cunningham et al. address the problem of </w:t>
      </w:r>
      <w:proofErr w:type="spellStart"/>
      <w:r w:rsidRPr="00300DCB">
        <w:rPr>
          <w:color w:val="000000" w:themeColor="text1"/>
        </w:rPr>
        <w:t>polysemanticity</w:t>
      </w:r>
      <w:proofErr w:type="spellEnd"/>
      <w:r w:rsidRPr="00300DCB">
        <w:rPr>
          <w:color w:val="000000" w:themeColor="text1"/>
        </w:rPr>
        <w:t xml:space="preserve"> in language model neurons — individual neurons that activate for several unrelated concepts — which they attribute to superposition, where a model represents more features than it has dimensions by encoding them as an overcomplete, non-orthogonal basis. Their proposed solution is to train a sparse autoencoder (a single hidden layer with a </w:t>
      </w:r>
      <w:proofErr w:type="spellStart"/>
      <w:r w:rsidRPr="00300DCB">
        <w:rPr>
          <w:color w:val="000000" w:themeColor="text1"/>
        </w:rPr>
        <w:t>ReLU</w:t>
      </w:r>
      <w:proofErr w:type="spellEnd"/>
      <w:r w:rsidRPr="00300DCB">
        <w:rPr>
          <w:color w:val="000000" w:themeColor="text1"/>
        </w:rPr>
        <w:t xml:space="preserve"> nonlinearity and a decoder tied to the encoder's transposed weights) directly on a language model's residual-stream activations, with an ℓ₁ sparsity penalty on the hidden “dictionary feature” coefficients. They show, using an automated GPT-4-based interpretability scoring procedure, that the resulting sparse features are consistently more interpretable than comparable baselines such as PCA, ICA, and the raw neuron basis. Critically, they also demonstrate that these features are not just descriptively interpretable but causally relevant: using activation patching on the Indirect Object Identification (IOI) </w:t>
      </w:r>
      <w:r w:rsidRPr="00300DCB">
        <w:rPr>
          <w:color w:val="000000" w:themeColor="text1"/>
        </w:rPr>
        <w:lastRenderedPageBreak/>
        <w:t xml:space="preserve">task, they show that editing a small number of sparse dictionary features reproduces a target </w:t>
      </w:r>
      <w:proofErr w:type="spellStart"/>
      <w:r w:rsidRPr="00300DCB">
        <w:rPr>
          <w:color w:val="000000" w:themeColor="text1"/>
        </w:rPr>
        <w:t>behavioral</w:t>
      </w:r>
      <w:proofErr w:type="spellEnd"/>
      <w:r w:rsidRPr="00300DCB">
        <w:rPr>
          <w:color w:val="000000" w:themeColor="text1"/>
        </w:rPr>
        <w:t xml:space="preserve"> change with fewer and smaller edits than editing an equivalent number of PCA components. Case studies on individual features (e.g., an apostrophe-detecting feature, a closing-parenthesis feature) further show that ablating a single feature produces a predictable, semantically sensible change in the model's output logits.</w:t>
      </w:r>
    </w:p>
    <w:p w14:paraId="407FC0E0" w14:textId="77777777" w:rsidR="00090655" w:rsidRPr="00300DCB" w:rsidRDefault="00000000">
      <w:pPr>
        <w:spacing w:after="300"/>
        <w:rPr>
          <w:color w:val="000000" w:themeColor="text1"/>
        </w:rPr>
      </w:pPr>
      <w:r w:rsidRPr="00300DCB">
        <w:rPr>
          <w:b/>
          <w:bCs/>
          <w:color w:val="000000" w:themeColor="text1"/>
        </w:rPr>
        <w:t xml:space="preserve">How our project differs. </w:t>
      </w:r>
      <w:r w:rsidRPr="00300DCB">
        <w:rPr>
          <w:color w:val="000000" w:themeColor="text1"/>
        </w:rPr>
        <w:t xml:space="preserve">This paper establishes that SAE features are both interpretable and causally tractable via ablation on a single, well-studied, purely syntactic </w:t>
      </w:r>
      <w:proofErr w:type="spellStart"/>
      <w:r w:rsidRPr="00300DCB">
        <w:rPr>
          <w:color w:val="000000" w:themeColor="text1"/>
        </w:rPr>
        <w:t>behavior</w:t>
      </w:r>
      <w:proofErr w:type="spellEnd"/>
      <w:r w:rsidRPr="00300DCB">
        <w:rPr>
          <w:color w:val="000000" w:themeColor="text1"/>
        </w:rPr>
        <w:t xml:space="preserve"> (IOI) in a base pretrained language model, using one general-purpose dictionary trained on broad web text with no task-specific supervision. Our project applies the same SAE-plus-ablation machinery to a substantively different </w:t>
      </w:r>
      <w:proofErr w:type="spellStart"/>
      <w:r w:rsidRPr="00300DCB">
        <w:rPr>
          <w:color w:val="000000" w:themeColor="text1"/>
        </w:rPr>
        <w:t>behavior</w:t>
      </w:r>
      <w:proofErr w:type="spellEnd"/>
      <w:r w:rsidRPr="00300DCB">
        <w:rPr>
          <w:color w:val="000000" w:themeColor="text1"/>
        </w:rPr>
        <w:t xml:space="preserve">: whether a Solver model, embedded in a multi-agent Solver-Critic system, accepts or rejects feedback from a separate Critic agent. Where Cunningham et al. intervene on a single activation site at a single point in a single-turn generation, our design compares Solver activations before and after it receives Critic feedback, and separately compares a general pretrained SAE against one trained specifically on activations collected from Solver-Critic interactions — a direct comparison their paper does not make, since their dictionaries are always trained on generic corpus data rather than on activations from a specific downstream interaction. We also extend their single-condition patching design (one </w:t>
      </w:r>
      <w:proofErr w:type="spellStart"/>
      <w:r w:rsidRPr="00300DCB">
        <w:rPr>
          <w:color w:val="000000" w:themeColor="text1"/>
        </w:rPr>
        <w:t>behavior</w:t>
      </w:r>
      <w:proofErr w:type="spellEnd"/>
      <w:r w:rsidRPr="00300DCB">
        <w:rPr>
          <w:color w:val="000000" w:themeColor="text1"/>
        </w:rPr>
        <w:t xml:space="preserve">, one causal question) into a three-condition comparison — natural, controlled-correct, and controlled-incorrect Critic feedback — with reconstruction-only and random-feature controls, specifically to distinguish a feature representing general deference to any feedback from one representing genuine sensitivity to feedback correctness. No such distinction is drawn or possible in the IOI case study, since that task has no analogous notion of externally supplied, </w:t>
      </w:r>
      <w:proofErr w:type="gramStart"/>
      <w:r w:rsidRPr="00300DCB">
        <w:rPr>
          <w:color w:val="000000" w:themeColor="text1"/>
        </w:rPr>
        <w:t>possibly-incorrect</w:t>
      </w:r>
      <w:proofErr w:type="gramEnd"/>
      <w:r w:rsidRPr="00300DCB">
        <w:rPr>
          <w:color w:val="000000" w:themeColor="text1"/>
        </w:rPr>
        <w:t xml:space="preserve"> feedback to accept or reject.</w:t>
      </w:r>
    </w:p>
    <w:p w14:paraId="00172A3F" w14:textId="77777777" w:rsidR="00090655" w:rsidRPr="00300DCB" w:rsidRDefault="00000000">
      <w:pPr>
        <w:pStyle w:val="Heading1"/>
        <w:rPr>
          <w:color w:val="000000" w:themeColor="text1"/>
        </w:rPr>
      </w:pPr>
      <w:r w:rsidRPr="00300DCB">
        <w:rPr>
          <w:color w:val="000000" w:themeColor="text1"/>
        </w:rPr>
        <w:t>3. Next Steps</w:t>
      </w:r>
    </w:p>
    <w:p w14:paraId="13BC5056" w14:textId="77777777" w:rsidR="00090655" w:rsidRPr="00300DCB" w:rsidRDefault="00000000">
      <w:pPr>
        <w:spacing w:after="400"/>
        <w:rPr>
          <w:color w:val="000000" w:themeColor="text1"/>
        </w:rPr>
      </w:pPr>
      <w:r w:rsidRPr="00300DCB">
        <w:rPr>
          <w:color w:val="000000" w:themeColor="text1"/>
        </w:rPr>
        <w:t>This review currently covers 2 of the required 10+ cited works. Planned additions, consistent with the project's methodology, include the original SHAP (Lundberg &amp; Lee) and LIME (Ribeiro et al.) papers underlying our interpretability pipeline, foundational linear-probing literature, and prior work on multi-agent debate/critique systems, to be added as drafted ahead of the October 6 draft deadline and finalized by the October 20 preliminary presentation.</w:t>
      </w:r>
    </w:p>
    <w:p w14:paraId="3A62B57B" w14:textId="77777777" w:rsidR="00090655" w:rsidRPr="00300DCB" w:rsidRDefault="00000000">
      <w:pPr>
        <w:pStyle w:val="Heading1"/>
        <w:rPr>
          <w:color w:val="000000" w:themeColor="text1"/>
        </w:rPr>
      </w:pPr>
      <w:r w:rsidRPr="00300DCB">
        <w:rPr>
          <w:color w:val="000000" w:themeColor="text1"/>
        </w:rPr>
        <w:t>References</w:t>
      </w:r>
    </w:p>
    <w:p w14:paraId="77D906B1" w14:textId="77777777" w:rsidR="00090655" w:rsidRPr="00300DCB" w:rsidRDefault="00000000">
      <w:pPr>
        <w:spacing w:after="150"/>
        <w:rPr>
          <w:color w:val="000000" w:themeColor="text1"/>
        </w:rPr>
      </w:pPr>
      <w:r w:rsidRPr="00300DCB">
        <w:rPr>
          <w:color w:val="000000" w:themeColor="text1"/>
        </w:rPr>
        <w:t xml:space="preserve">[1] Hoagy Cunningham, Aidan Ewart, Logan Riggs, Robert Huben, and Lee Sharkey. Sparse autoencoders find highly interpretable features in language models. </w:t>
      </w:r>
      <w:proofErr w:type="spellStart"/>
      <w:r w:rsidRPr="00300DCB">
        <w:rPr>
          <w:color w:val="000000" w:themeColor="text1"/>
        </w:rPr>
        <w:t>arXiv</w:t>
      </w:r>
      <w:proofErr w:type="spellEnd"/>
      <w:r w:rsidRPr="00300DCB">
        <w:rPr>
          <w:color w:val="000000" w:themeColor="text1"/>
        </w:rPr>
        <w:t xml:space="preserve"> preprint arXiv:2309.08600, 2023.</w:t>
      </w:r>
    </w:p>
    <w:p w14:paraId="5BE2A837" w14:textId="77777777" w:rsidR="00090655" w:rsidRPr="00300DCB" w:rsidRDefault="00000000">
      <w:pPr>
        <w:spacing w:after="150"/>
        <w:rPr>
          <w:color w:val="000000" w:themeColor="text1"/>
          <w:lang w:val="fr-FR"/>
        </w:rPr>
      </w:pPr>
      <w:r w:rsidRPr="00300DCB">
        <w:rPr>
          <w:color w:val="000000" w:themeColor="text1"/>
        </w:rPr>
        <w:t xml:space="preserve">[2] Harsh Trivedi, Niranjan Balasubramanian, Tushar Khot, and Ashish Sabharwal. </w:t>
      </w:r>
      <w:proofErr w:type="spellStart"/>
      <w:proofErr w:type="gramStart"/>
      <w:r w:rsidRPr="00300DCB">
        <w:rPr>
          <w:color w:val="000000" w:themeColor="text1"/>
          <w:lang w:val="fr-FR"/>
        </w:rPr>
        <w:t>MuSiQue</w:t>
      </w:r>
      <w:proofErr w:type="spellEnd"/>
      <w:r w:rsidRPr="00300DCB">
        <w:rPr>
          <w:color w:val="000000" w:themeColor="text1"/>
          <w:lang w:val="fr-FR"/>
        </w:rPr>
        <w:t>:</w:t>
      </w:r>
      <w:proofErr w:type="gramEnd"/>
      <w:r w:rsidRPr="00300DCB">
        <w:rPr>
          <w:color w:val="000000" w:themeColor="text1"/>
          <w:lang w:val="fr-FR"/>
        </w:rPr>
        <w:t xml:space="preserve"> </w:t>
      </w:r>
      <w:proofErr w:type="spellStart"/>
      <w:r w:rsidRPr="00300DCB">
        <w:rPr>
          <w:color w:val="000000" w:themeColor="text1"/>
          <w:lang w:val="fr-FR"/>
        </w:rPr>
        <w:t>Multihop</w:t>
      </w:r>
      <w:proofErr w:type="spellEnd"/>
      <w:r w:rsidRPr="00300DCB">
        <w:rPr>
          <w:color w:val="000000" w:themeColor="text1"/>
          <w:lang w:val="fr-FR"/>
        </w:rPr>
        <w:t xml:space="preserve"> questions via single-hop question composition. </w:t>
      </w:r>
      <w:proofErr w:type="spellStart"/>
      <w:proofErr w:type="gramStart"/>
      <w:r w:rsidRPr="00300DCB">
        <w:rPr>
          <w:color w:val="000000" w:themeColor="text1"/>
          <w:lang w:val="fr-FR"/>
        </w:rPr>
        <w:t>arXiv</w:t>
      </w:r>
      <w:proofErr w:type="spellEnd"/>
      <w:proofErr w:type="gramEnd"/>
      <w:r w:rsidRPr="00300DCB">
        <w:rPr>
          <w:color w:val="000000" w:themeColor="text1"/>
          <w:lang w:val="fr-FR"/>
        </w:rPr>
        <w:t xml:space="preserve"> </w:t>
      </w:r>
      <w:proofErr w:type="spellStart"/>
      <w:r w:rsidRPr="00300DCB">
        <w:rPr>
          <w:color w:val="000000" w:themeColor="text1"/>
          <w:lang w:val="fr-FR"/>
        </w:rPr>
        <w:t>preprint</w:t>
      </w:r>
      <w:proofErr w:type="spellEnd"/>
      <w:r w:rsidRPr="00300DCB">
        <w:rPr>
          <w:color w:val="000000" w:themeColor="text1"/>
          <w:lang w:val="fr-FR"/>
        </w:rPr>
        <w:t xml:space="preserve"> </w:t>
      </w:r>
      <w:proofErr w:type="gramStart"/>
      <w:r w:rsidRPr="00300DCB">
        <w:rPr>
          <w:color w:val="000000" w:themeColor="text1"/>
          <w:lang w:val="fr-FR"/>
        </w:rPr>
        <w:t>arXiv:</w:t>
      </w:r>
      <w:proofErr w:type="gramEnd"/>
      <w:r w:rsidRPr="00300DCB">
        <w:rPr>
          <w:color w:val="000000" w:themeColor="text1"/>
          <w:lang w:val="fr-FR"/>
        </w:rPr>
        <w:t>2108.00573, 2022.</w:t>
      </w:r>
    </w:p>
    <w:sectPr w:rsidR="00090655" w:rsidRPr="00300DC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543117"/>
    <w:multiLevelType w:val="hybridMultilevel"/>
    <w:tmpl w:val="18F8201A"/>
    <w:lvl w:ilvl="0" w:tplc="DC26243E">
      <w:start w:val="1"/>
      <w:numFmt w:val="bullet"/>
      <w:lvlText w:val="●"/>
      <w:lvlJc w:val="left"/>
      <w:pPr>
        <w:ind w:left="720" w:hanging="360"/>
      </w:pPr>
    </w:lvl>
    <w:lvl w:ilvl="1" w:tplc="A60CBEA0">
      <w:start w:val="1"/>
      <w:numFmt w:val="bullet"/>
      <w:lvlText w:val="○"/>
      <w:lvlJc w:val="left"/>
      <w:pPr>
        <w:ind w:left="1440" w:hanging="360"/>
      </w:pPr>
    </w:lvl>
    <w:lvl w:ilvl="2" w:tplc="7C6CC976">
      <w:start w:val="1"/>
      <w:numFmt w:val="bullet"/>
      <w:lvlText w:val="■"/>
      <w:lvlJc w:val="left"/>
      <w:pPr>
        <w:ind w:left="2160" w:hanging="360"/>
      </w:pPr>
    </w:lvl>
    <w:lvl w:ilvl="3" w:tplc="3B7A215E">
      <w:start w:val="1"/>
      <w:numFmt w:val="bullet"/>
      <w:lvlText w:val="●"/>
      <w:lvlJc w:val="left"/>
      <w:pPr>
        <w:ind w:left="2880" w:hanging="360"/>
      </w:pPr>
    </w:lvl>
    <w:lvl w:ilvl="4" w:tplc="66CC0A66">
      <w:start w:val="1"/>
      <w:numFmt w:val="bullet"/>
      <w:lvlText w:val="○"/>
      <w:lvlJc w:val="left"/>
      <w:pPr>
        <w:ind w:left="3600" w:hanging="360"/>
      </w:pPr>
    </w:lvl>
    <w:lvl w:ilvl="5" w:tplc="58BCC11A">
      <w:start w:val="1"/>
      <w:numFmt w:val="bullet"/>
      <w:lvlText w:val="■"/>
      <w:lvlJc w:val="left"/>
      <w:pPr>
        <w:ind w:left="4320" w:hanging="360"/>
      </w:pPr>
    </w:lvl>
    <w:lvl w:ilvl="6" w:tplc="9DF2BE44">
      <w:start w:val="1"/>
      <w:numFmt w:val="bullet"/>
      <w:lvlText w:val="●"/>
      <w:lvlJc w:val="left"/>
      <w:pPr>
        <w:ind w:left="5040" w:hanging="360"/>
      </w:pPr>
    </w:lvl>
    <w:lvl w:ilvl="7" w:tplc="C02CD432">
      <w:start w:val="1"/>
      <w:numFmt w:val="bullet"/>
      <w:lvlText w:val="●"/>
      <w:lvlJc w:val="left"/>
      <w:pPr>
        <w:ind w:left="5760" w:hanging="360"/>
      </w:pPr>
    </w:lvl>
    <w:lvl w:ilvl="8" w:tplc="13889992">
      <w:start w:val="1"/>
      <w:numFmt w:val="bullet"/>
      <w:lvlText w:val="●"/>
      <w:lvlJc w:val="left"/>
      <w:pPr>
        <w:ind w:left="6480" w:hanging="360"/>
      </w:pPr>
    </w:lvl>
  </w:abstractNum>
  <w:num w:numId="1" w16cid:durableId="865946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655"/>
    <w:rsid w:val="00090655"/>
    <w:rsid w:val="002A0E5D"/>
    <w:rsid w:val="00300D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EBEAB5"/>
  <w15:docId w15:val="{329B3DBC-0686-2043-B9FB-4D8454451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1089</Words>
  <Characters>6211</Characters>
  <Application>Microsoft Office Word</Application>
  <DocSecurity>0</DocSecurity>
  <Lines>51</Lines>
  <Paragraphs>14</Paragraphs>
  <ScaleCrop>false</ScaleCrop>
  <Company/>
  <LinksUpToDate>false</LinksUpToDate>
  <CharactersWithSpaces>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raye.oji@outlook.com</cp:lastModifiedBy>
  <cp:revision>2</cp:revision>
  <dcterms:created xsi:type="dcterms:W3CDTF">2026-09-26T22:41:00Z</dcterms:created>
  <dcterms:modified xsi:type="dcterms:W3CDTF">2026-09-26T22:48:00Z</dcterms:modified>
</cp:coreProperties>
</file>