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i/>
          <w:iCs/>
        </w:rPr>
        <w:t xml:space="preserve">SAE-MAS: Causal Analysis of Feedback Uptake in Solver-Critic Multi-Agent LLM Systems</w:t>
      </w:r>
    </w:p>
    <w:p>
      <w:pPr>
        <w:spacing w:after="200"/>
        <w:jc w:val="center"/>
      </w:pPr>
      <w:r>
        <w:t xml:space="preserve">Raye Oji | Joshua Schechter | Israel Omoniyi</w:t>
      </w:r>
    </w:p>
    <w:p>
      <w:pPr>
        <w:spacing w:after="400"/>
        <w:jc w:val="center"/>
      </w:pPr>
      <w:r>
        <w:t xml:space="preserve">October 10, 2026</w:t>
      </w:r>
    </w:p>
    <w:p>
      <w:pPr>
        <w:pStyle w:val="Heading1"/>
      </w:pPr>
      <w:r>
        <w:t xml:space="preserve">1. Introduction</w:t>
      </w:r>
    </w:p>
    <w:p>
      <w:pPr>
        <w:spacing w:after="300"/>
      </w:pPr>
      <w:r>
        <w:t xml:space="preserve">This document is a living literature review for our SAE-MAS capstone project. It covers eleven sources, grouped by the role they play in our pipeline: the benchmark dataset behind our Solver-Critic interactions (Section 2.1); sparse autoencoders and their use for causal analysis (2.2–2.4); linear probing and the interpretability methods applied to our probe (2.5–2.8); and prior work on multi-model critique, self-correction, and sycophancy that frames the behavior we study (2.9–2.11). Each entry below summarizes the paper and highlights how our project’s contribution differs from the cited work.</w:t>
      </w:r>
    </w:p>
    <w:p>
      <w:pPr>
        <w:pStyle w:val="Heading1"/>
      </w:pPr>
      <w:r>
        <w:t xml:space="preserve">2. Reviewed Works</w:t>
      </w:r>
    </w:p>
    <w:p>
      <w:pPr>
        <w:pStyle w:val="Heading2"/>
      </w:pPr>
      <w:r>
        <w:t xml:space="preserve">2.1 MuSiQue: Multihop Questions via Single-hop Question Composition [11]</w:t>
      </w:r>
    </w:p>
    <w:p>
      <w:pPr>
        <w:spacing w:after="200"/>
      </w:pPr>
      <w:r>
        <w:rPr>
          <w:b/>
          <w:bCs/>
        </w:rPr>
        <w:t xml:space="preserve">Summary. </w:t>
      </w:r>
      <w:r>
        <w:t xml:space="preserve">Trivedi et al. observe that existing multi-hop question-answering benchmarks can often be solved without a model actually performing all of the intended reasoning steps, because sub-questions frequently contain enough information on their own to be answered without depending on an earlier sub-question’s answer. To address this, the authors build multi-hop questions bottom-up from a large pool of single-hop questions drawn from five existing QA datasets, rather than crowdsourcing multi-hop questions directly. Candidate single-hop question pairs are only composed into a multi-hop question if a trained model, with the bridging answer masked out, still fails to answer the later sub-question correctly — a filtering step that forces genuine dependency between reasoning steps. The pipeline additionally minimizes train-test leakage through a custom data-splitting procedure and adds harder distractor paragraphs pulled from the same single-hop question pool rather than generic Wikipedia text. The resulting dataset, evaluated against strong transformer baselines, shows a substantially larger human-machine performance gap and a much lower “disconnected reasoning” cheatability score than prior multi-hop benchmarks such as HotpotQA and 2WikiMultihopQA.</w:t>
      </w:r>
    </w:p>
    <w:p>
      <w:pPr>
        <w:spacing w:after="300"/>
      </w:pPr>
      <w:r>
        <w:rPr>
          <w:b/>
          <w:bCs/>
        </w:rPr>
        <w:t xml:space="preserve">How our project differs. </w:t>
      </w:r>
      <w:r>
        <w:t xml:space="preserve">Our project uses MuSiQue purely as a source of grounded, multi-hop questions with unambiguous gold answers — it is the raw material from which our Solver-Critic interaction dataset is generated, not an object of study in its own right. We are not evaluating multi-hop QA models, nor concerned with dataset construction methodology, disconnection filtering, or train-test leakage reduction as ends in themselves. What we take from this work is its guarantee that each question genuinely requires multi-step reasoning and has a verifiable correct answer, which lets us score whether the Solver’s answer and the Critic’s answer are correct or incorrect. Nothing in Trivedi et al.’s methodology addresses a model’s internal representations, feedback dynamics between agents, or whether a model’s answer changes for the right reasons after receiving external critique — that question, which is orthogonal to their contribution, is the subject of our project.</w:t>
      </w:r>
    </w:p>
    <w:p>
      <w:pPr>
        <w:pStyle w:val="Heading2"/>
      </w:pPr>
      <w:r>
        <w:t xml:space="preserve">2.2 Sparse Autoencoders Find Highly Interpretable Features in Language Models [2]</w:t>
      </w:r>
    </w:p>
    <w:p>
      <w:pPr>
        <w:spacing w:after="200"/>
      </w:pPr>
      <w:r>
        <w:rPr>
          <w:b/>
          <w:bCs/>
        </w:rPr>
        <w:t xml:space="preserve">Summary. </w:t>
      </w:r>
      <w:r>
        <w:t xml:space="preserve">Cunningham et al. address the problem of polysemanticity in language model neurons — individual neurons that activate for several unrelated concepts — which they attribute to superposition, where a model represents more features than it has dimensions by encoding them as an overcomplete, non-orthogonal basis. Their proposed solution is to train a sparse autoencoder (a single hidden layer with a ReLU nonlinearity and a decoder tied to the encoder’s transposed weights) directly on a language model’s residual-stream activations, with an ℓ1 sparsity penalty on the hidden “dictionary feature” coefficients. They show, using an automated GPT-4-based interpretability scoring procedure, that the resulting sparse features are consistently more interpretable than comparable baselines such as PCA, ICA, and the raw neuron basis. Critically, they also demonstrate that these features are not just descriptively interpretable but causally relevant: using activation patching on the Indirect Object Identification (IOI) task, they show that editing a small number of sparse dictionary features reproduces a target behavioral change with fewer and smaller edits than editing an equivalent number of PCA components.</w:t>
      </w:r>
    </w:p>
    <w:p>
      <w:pPr>
        <w:spacing w:after="300"/>
      </w:pPr>
      <w:r>
        <w:rPr>
          <w:b/>
          <w:bCs/>
        </w:rPr>
        <w:t xml:space="preserve">How our project differs. </w:t>
      </w:r>
      <w:r>
        <w:t xml:space="preserve">This paper establishes that SAE features are both interpretable and causally tractable via ablation on a single, well-studied, purely syntactic behavior (IOI) in a base pretrained language model, using one general-purpose dictionary trained on broad web text with no task-specific supervision. Our project applies the same SAE-plus-intervention machinery to a substantively different behavior: whether a Solver model (Gemma 3 4B), working with an independent Critic model (Qwen3 4B), adopts or does not adopt the Critic’s feedback. Where Cunningham et al. use a general-purpose dictionary, we train our own sparse autoencoder on Solver activations collected from our own interactions, read at the last prompt token before the Solver’s second answer so that the activation already contains the feedback. Our causal test also differs: rather than patching activations within one forward pass, we plan to re-run the Solver on questions reserved from all earlier analysis with a selected feature clamped, and compare the new second answer with the stored one. The experiment uses naturally occurring feedback; the controlled-correct and controlled-incorrect conditions in our original proposal were narrowed out of scope rather than found invalid.</w:t>
      </w:r>
    </w:p>
    <w:p>
      <w:pPr>
        <w:pStyle w:val="Heading2"/>
      </w:pPr>
      <w:r>
        <w:t xml:space="preserve">2.3 Scaling and Evaluating Sparse Autoencoders [4]</w:t>
      </w:r>
    </w:p>
    <w:p>
      <w:pPr>
        <w:spacing w:after="200"/>
      </w:pPr>
      <w:r>
        <w:rPr>
          <w:b/>
          <w:bCs/>
        </w:rPr>
        <w:t xml:space="preserve">Summary. </w:t>
      </w:r>
      <w:r>
        <w:t xml:space="preserve">Gao et al. study how to train very large sparse autoencoders reliably. They replace the usual ℓ1 sparsity penalty with a k-sparse (TopK) activation that keeps only the k largest latents, which sets the number of active features directly and removes the need to tune a penalty coefficient; they argue that ℓ1 is only an imperfect approximation of the true sparsity objective and shrinks every positive activation toward zero. They also describe two modifications — initializing the encoder as the transpose of the decoder and adding an auxiliary loss that helps dead latents recover — that keep the share of dead latents small even in their largest autoencoder, whereas their ablations show dead latents can exceed 90% when nothing is done about them. The authors report clean scaling laws in autoencoder size and sparsity, propose evaluation metrics beyond reconstruction error and sparsity (recovery of hypothesized features, explainability of activation patterns, and sparsity of downstream effects), and train a 16-million-latent autoencoder on GPT-4 activations.</w:t>
      </w:r>
    </w:p>
    <w:p>
      <w:pPr>
        <w:spacing w:after="300"/>
      </w:pPr>
      <w:r>
        <w:rPr>
          <w:b/>
          <w:bCs/>
        </w:rPr>
        <w:t xml:space="preserve">How our project differs. </w:t>
      </w:r>
      <w:r>
        <w:t xml:space="preserve">Our setting is small by comparison: one 4-billion-parameter Solver, activations at a single chosen layer, and an autoencoder sized for a capstone project, with the goal of finding features that predict and causally affect one behavior rather than studying scaling. Our current sparse autoencoder uses an ℓ1 penalty, and a development run showed the two problems this paper describes — many latents active for each example and a large share of latents that never activate. TopK activation, the dead-latent mitigations, and the paper’s downstream-effect metric are therefore candidate changes for the final autoencoder, and the paper gives us a principled way to describe and report how sparse our dictionary actually is before interpreting any individual feature.</w:t>
      </w:r>
    </w:p>
    <w:p>
      <w:pPr>
        <w:pStyle w:val="Heading2"/>
      </w:pPr>
      <w:r>
        <w:t xml:space="preserve">2.4 Sparse Feature Circuits: Discovering and Editing Interpretable Causal Graphs in Language Models [8]</w:t>
      </w:r>
    </w:p>
    <w:p>
      <w:pPr>
        <w:spacing w:after="200"/>
      </w:pPr>
      <w:r>
        <w:rPr>
          <w:b/>
          <w:bCs/>
        </w:rPr>
        <w:t xml:space="preserve">Summary. </w:t>
      </w:r>
      <w:r>
        <w:t xml:space="preserve">Marks et al. introduce methods for discovering and applying sparse feature circuits: subnetworks of human-interpretable sparse-autoencoder features that are causally implicated in a language model behavior. Earlier circuit analyses were built from units such as attention heads or neurons, which are often polysemantic and hard to interpret; building circuits from fine-grained SAE features makes the explanation more detailed and usable. The authors show the approach is useful downstream with a method called SHIFT, which improves a classifier’s generalization by ablating features that a human judges to be irrelevant to the task, and they demonstrate an unsupervised, scalable pipeline that discovers thousands of circuits for automatically found model behaviors. They also note that units found with supervised methods such as linear probing depend on a pre-existing hypothesis about what to look for.</w:t>
      </w:r>
    </w:p>
    <w:p>
      <w:pPr>
        <w:spacing w:after="300"/>
      </w:pPr>
      <w:r>
        <w:rPr>
          <w:b/>
          <w:bCs/>
        </w:rPr>
        <w:t xml:space="preserve">How our project differs. </w:t>
      </w:r>
      <w:r>
        <w:t xml:space="preserve">Marks et al. map causal graphs across many features and layers for tasks such as subject-verb agreement and a classifier, and can proceed without a pre-specified behavior. Our search is deliberately narrower and supervised: we start from a specific hypothesis (that some feature predicts whether the Solver adopts the Critic’s feedback), select candidate features with a linear probe at one chosen layer, and test whether clamping a single selected feature changes the Solver’s second answer on held-out questions, compared with reconstruction-only and random-feature controls. We do not attempt circuit discovery. Their work is nonetheless the closest published precedent for ablating SAE features to test causal involvement, and it frames the limits of a probe-guided search like ours.</w:t>
      </w:r>
    </w:p>
    <w:p>
      <w:pPr>
        <w:pStyle w:val="Heading2"/>
      </w:pPr>
      <w:r>
        <w:t xml:space="preserve">2.5 Understanding Intermediate Layers Using Linear Classifier Probes [1]</w:t>
      </w:r>
    </w:p>
    <w:p>
      <w:pPr>
        <w:spacing w:after="200"/>
      </w:pPr>
      <w:r>
        <w:rPr>
          <w:b/>
          <w:bCs/>
        </w:rPr>
        <w:t xml:space="preserve">Summary. </w:t>
      </w:r>
      <w:r>
        <w:t xml:space="preserve">Alain and Bengio propose monitoring a network’s features at every layer by attaching linear classifiers, which they call probes, to each intermediate layer. The probes are trained entirely independently of the model and are never allowed to influence it, so they measure how suitable each layer’s features are for a classification task without changing what the network computes. Applying the technique to Inception v3 and ResNet-50, the authors observe that the linear separability of the features increases monotonically with depth, and they show how probes can be used to build intuition about a model and to diagnose potential problems.</w:t>
      </w:r>
    </w:p>
    <w:p>
      <w:pPr>
        <w:spacing w:after="300"/>
      </w:pPr>
      <w:r>
        <w:rPr>
          <w:b/>
          <w:bCs/>
        </w:rPr>
        <w:t xml:space="preserve">How our project differs. </w:t>
      </w:r>
      <w:r>
        <w:t xml:space="preserve">Alain and Bengio probe image classifiers against class labels and find a clean monotonic trend with depth. We probe a language model’s residual-stream activations at the last prompt token for a behavioral label (whether the Solver adopts the Critic’s answer), where we have no reason to expect that the best layer is the deepest one. We therefore use probes in two ways: to compare candidate layers (fitting on a training partition and ranking on a validation partition, with the test and intervention partitions sealed), and later on sparse autoencoder features to select candidates for intervention. Because the information needed to predict the behavior may already be visible in the prompt, we also score a text-only baseline built from the first answer and the Critic’s text, so that a layer’s score can be compared with what the input alone already reveals.</w:t>
      </w:r>
    </w:p>
    <w:p>
      <w:pPr>
        <w:pStyle w:val="Heading2"/>
      </w:pPr>
      <w:r>
        <w:t xml:space="preserve">2.6 Designing and Interpreting Probes with Control Tasks [5]</w:t>
      </w:r>
    </w:p>
    <w:p>
      <w:pPr>
        <w:spacing w:after="200"/>
      </w:pPr>
      <w:r>
        <w:rPr>
          <w:b/>
          <w:bCs/>
        </w:rPr>
        <w:t xml:space="preserve">Summary. </w:t>
      </w:r>
      <w:r>
        <w:t xml:space="preserve">Hewitt and Liang ask whether a probe’s high accuracy shows that a representation encodes a property or only that the probe learned the task itself. They propose control tasks, which assign random outputs to word types so that a probe can only succeed by memorizing, and define selectivity as high accuracy on the real linguistic task together with low accuracy on the control task. For part-of-speech tagging and dependency edge prediction they show that popular probes on ELMo representations are not very selective, that dropout does not improve the selectivity of multilayer-perceptron probes while other forms of regularization do, and that a layer with slightly lower task accuracy can be substantially more selective, which complicates deciding which layer best represents a property.</w:t>
      </w:r>
    </w:p>
    <w:p>
      <w:pPr>
        <w:spacing w:after="300"/>
      </w:pPr>
      <w:r>
        <w:rPr>
          <w:b/>
          <w:bCs/>
        </w:rPr>
        <w:t xml:space="preserve">How our project differs. </w:t>
      </w:r>
      <w:r>
        <w:t xml:space="preserve">Their control tasks are built from word types in linguistic tasks, which has no direct analogue for a question-level behavioral label, so we use different safeguards with the same purpose. We use linear probes with regularization chosen only inside the training data, compare against a text-only baseline, report uncertainty with bootstrap confidence intervals, and run a label-shuffle control in which labels are permuted across questions and the whole procedure is repeated, which should return chance-level performance if the pipeline is not leaking information. Their central caution also shapes how we read results: a high probe score is not evidence that the Solver uses a feature, which is why our final step is an intervention on held-out questions and not an accuracy number.</w:t>
      </w:r>
    </w:p>
    <w:p>
      <w:pPr>
        <w:pStyle w:val="Heading2"/>
      </w:pPr>
      <w:r>
        <w:t xml:space="preserve">2.7 A Unified Approach to Interpreting Model Predictions [7]</w:t>
      </w:r>
    </w:p>
    <w:p>
      <w:pPr>
        <w:spacing w:after="200"/>
      </w:pPr>
      <w:r>
        <w:rPr>
          <w:b/>
          <w:bCs/>
        </w:rPr>
        <w:t xml:space="preserve">Summary. </w:t>
      </w:r>
      <w:r>
        <w:t xml:space="preserve">Lundberg and Lee present SHAP (SHapley Additive exPlanations), a framework that assigns each feature an importance value for a particular prediction. They identify a class of additive feature-importance measures, prove that a single solution within that class satisfies a set of desirable properties, and show that the class unifies six existing explanation methods, several of which lack those properties. From this unification they derive new estimation methods with better computational performance or closer agreement with human intuition than earlier approaches.</w:t>
      </w:r>
    </w:p>
    <w:p>
      <w:pPr>
        <w:spacing w:after="300"/>
      </w:pPr>
      <w:r>
        <w:rPr>
          <w:b/>
          <w:bCs/>
        </w:rPr>
        <w:t xml:space="preserve">How our project differs. </w:t>
      </w:r>
      <w:r>
        <w:t xml:space="preserve">SHAP is introduced as a general-purpose method for explaining complex models. We apply it to a simple one: a linear probe over sparse autoencoder features, where Shapley values can be computed exactly, and we use it to rank which features drive the probe’s predictions as a cross-check on the probe’s own coefficients and on how stably features are selected across data folds. SHAP values describe the probe, not the Solver, so a high-ranked feature is only a candidate; whether the Solver relies on it is tested separately by intervention.</w:t>
      </w:r>
    </w:p>
    <w:p>
      <w:pPr>
        <w:pStyle w:val="Heading2"/>
      </w:pPr>
      <w:r>
        <w:t xml:space="preserve">2.8 “Why Should I Trust You?”: Explaining the Predictions of Any Classifier [9]</w:t>
      </w:r>
    </w:p>
    <w:p>
      <w:pPr>
        <w:spacing w:after="200"/>
      </w:pPr>
      <w:r>
        <w:rPr>
          <w:b/>
          <w:bCs/>
        </w:rPr>
        <w:t xml:space="preserve">Summary. </w:t>
      </w:r>
      <w:r>
        <w:t xml:space="preserve">Ribeiro, Singh, and Guestrin propose LIME, a technique that explains an individual prediction of any classifier by learning an interpretable model locally around that prediction. They also propose presenting a small set of representative individual predictions and their explanations in a non-redundant way by framing the selection as a submodular optimization problem. The methods are demonstrated on text classifiers such as random forests and on image classifiers such as neural networks, and the authors evaluate them in simulated and human-subject experiments on trust-related tasks: deciding whether to trust a prediction, choosing between models, improving an untrustworthy classifier, and identifying why a classifier should not be trusted.</w:t>
      </w:r>
    </w:p>
    <w:p>
      <w:pPr>
        <w:spacing w:after="300"/>
      </w:pPr>
      <w:r>
        <w:rPr>
          <w:b/>
          <w:bCs/>
        </w:rPr>
        <w:t xml:space="preserve">How our project differs. </w:t>
      </w:r>
      <w:r>
        <w:t xml:space="preserve">We use LIME in a narrow supporting role: a local, model-agnostic cross-check on a handful of examples against the exact SHAP values and the probe’s coefficients. Because LIME is a local approximation whose explanations can vary from example to example, agreement among the three methods raises our confidence in a candidate feature but does not establish it. The trust question in our project is also different from theirs: it is not whether to trust a classifier’s prediction, but whether the Solver itself depends on a feature, which no explanation of a probe can answer and which we test by clamping the feature during generation.</w:t>
      </w:r>
    </w:p>
    <w:p>
      <w:pPr>
        <w:pStyle w:val="Heading2"/>
      </w:pPr>
      <w:r>
        <w:t xml:space="preserve">2.9 Improving Factuality and Reasoning in Language Models through Multiagent Debate [3]</w:t>
      </w:r>
    </w:p>
    <w:p>
      <w:pPr>
        <w:spacing w:after="200"/>
      </w:pPr>
      <w:r>
        <w:rPr>
          <w:b/>
          <w:bCs/>
        </w:rPr>
        <w:t xml:space="preserve">Summary. </w:t>
      </w:r>
      <w:r>
        <w:t xml:space="preserve">Du et al. propose having several instances of a language model each propose an answer and its reasoning, then debate over multiple rounds until they reach a common final answer — a “society of minds” approach. They report that this improves mathematical and strategic reasoning on a range of tasks and improves the factual validity of generated content, reducing fallacious answers and hallucinations. The method works with black-box models and uses the same procedure and prompts across all tasks they study.</w:t>
      </w:r>
    </w:p>
    <w:p>
      <w:pPr>
        <w:spacing w:after="300"/>
      </w:pPr>
      <w:r>
        <w:rPr>
          <w:b/>
          <w:bCs/>
        </w:rPr>
        <w:t xml:space="preserve">How our project differs. </w:t>
      </w:r>
      <w:r>
        <w:t xml:space="preserve">Du et al. evaluate whether debate improves task accuracy and treat the models as black boxes. We study a single critique round between two different models, a Gemma 3 4B Solver and a Qwen3 4B Critic, and ask a different question: not whether accuracy improves, but what changes inside the Solver when it does or does not adopt the Critic’s feedback. The Critic forms its own answer before it sees the Solver’s and is never told to agree or disagree. In our own validation work, a Critic from the same model family as the Solver mostly repeated the Solver’s answer, which left too little disagreement to study, so we use an independent Critic to produce naturally varying feedback.</w:t>
      </w:r>
    </w:p>
    <w:p>
      <w:pPr>
        <w:pStyle w:val="Heading2"/>
      </w:pPr>
      <w:r>
        <w:t xml:space="preserve">2.10 Large Language Models Cannot Self-Correct Reasoning Yet [6]</w:t>
      </w:r>
    </w:p>
    <w:p>
      <w:pPr>
        <w:spacing w:after="200"/>
      </w:pPr>
      <w:r>
        <w:rPr>
          <w:b/>
          <w:bCs/>
        </w:rPr>
        <w:t xml:space="preserve">Summary. </w:t>
      </w:r>
      <w:r>
        <w:t xml:space="preserve">Huang et al. examine intrinsic self-correction, in which a language model tries to improve its own earlier response using only its inherent capabilities, without any external feedback. In the context of reasoning, they find that models struggle to self-correct and that performance can even degrade after a self-correction attempt. The paper also points out that the term “self-correction” is used in different ways across the literature, and it encourages future work on methods that can genuinely correct reasoning, for example by incorporating external feedback.</w:t>
      </w:r>
    </w:p>
    <w:p>
      <w:pPr>
        <w:spacing w:after="300"/>
      </w:pPr>
      <w:r>
        <w:rPr>
          <w:b/>
          <w:bCs/>
        </w:rPr>
        <w:t xml:space="preserve">How our project differs. </w:t>
      </w:r>
      <w:r>
        <w:t xml:space="preserve">Our Solver does not correct itself; it receives external feedback from a separate Critic, which is the direction this paper recommends. Their finding that revision can make a response worse is relevant to our design because a revised answer is not necessarily a better one: we record whether the Solver’s first answer and the Critic’s answer are correct, so that adopting a wrong Critic answer over a correct first answer can be distinguished from adopting a correct one. Their evaluation is behavioral; ours asks which internal representations accompany the decision to adopt or not adopt the feedback, and whether those representations are causally involved.</w:t>
      </w:r>
    </w:p>
    <w:p>
      <w:pPr>
        <w:pStyle w:val="Heading2"/>
      </w:pPr>
      <w:r>
        <w:t xml:space="preserve">2.11 Towards Understanding Sycophancy in Language Models [10]</w:t>
      </w:r>
    </w:p>
    <w:p>
      <w:pPr>
        <w:spacing w:after="200"/>
      </w:pPr>
      <w:r>
        <w:rPr>
          <w:b/>
          <w:bCs/>
        </w:rPr>
        <w:t xml:space="preserve">Summary. </w:t>
      </w:r>
      <w:r>
        <w:t xml:space="preserve">Sharma et al. investigate sycophancy: the tendency of AI assistants trained with human feedback to give responses that match a user’s beliefs over truthful ones. They show that five state-of-the-art assistants consistently exhibit sycophancy across four varied free-form text-generation tasks. Analyzing human preference data, they find that a response matching a user’s views is more likely to be preferred, and that both humans and preference models sometimes prefer convincingly written sycophantic responses over correct ones. Optimizing model outputs against preference models also sometimes sacrifices truthfulness in favor of sycophancy, leading the authors to conclude that sycophancy is a general behavior of such models, likely driven in part by human preference judgments.</w:t>
      </w:r>
    </w:p>
    <w:p>
      <w:pPr>
        <w:spacing w:after="300"/>
      </w:pPr>
      <w:r>
        <w:rPr>
          <w:b/>
          <w:bCs/>
        </w:rPr>
        <w:t xml:space="preserve">How our project differs. </w:t>
      </w:r>
      <w:r>
        <w:t xml:space="preserve">Sharma et al. characterize sycophancy behaviorally and trace it to training data and preference models, with a human user as the source of pressure. In our setting the pressure comes from another language model, the Critic, and the Solver is a small open model whose internal activations we can read and intervene on. We do not test their training-based explanation. Our label records only whether the Solver adopted the Critic’s answer, which by itself cannot separate sycophantic deference from legitimate correction, so we track the correctness of both answers and study uptake of correct and incorrect feedback separately. The question we add is where in the Solver this uptake decision is represented, and whether it is causally involved.</w:t>
      </w:r>
    </w:p>
    <w:p>
      <w:pPr>
        <w:pStyle w:val="Heading1"/>
      </w:pPr>
      <w:r>
        <w:t xml:space="preserve">3. Next Steps</w:t>
      </w:r>
    </w:p>
    <w:p>
      <w:pPr>
        <w:spacing w:after="400"/>
      </w:pPr>
      <w:r>
        <w:t xml:space="preserve">This review now covers eleven cited works, which meets the course’s requirement of at least ten. It remains a living document: as the project moves from layer selection to sparse autoencoder training, feature selection, and the causal clamp experiment, we will add sources specific to each stage (for example, work on the Gemma model family and on activation steering), tighten the “how our project differs” paragraphs against our actual results, and update the description of the Solver-Critic design if the experimental conditions change.</w:t>
      </w:r>
    </w:p>
    <w:p>
      <w:pPr>
        <w:pStyle w:val="Heading1"/>
      </w:pPr>
      <w:r>
        <w:t xml:space="preserve">References</w:t>
      </w:r>
    </w:p>
    <w:p>
      <w:pPr>
        <w:spacing w:after="150"/>
      </w:pPr>
      <w:r>
        <w:t xml:space="preserve">[1] Guillaume Alain and Yoshua Bengio. Understanding intermediate layers using linear classifier probes. arXiv preprint arXiv:1610.01644, 2016.</w:t>
      </w:r>
    </w:p>
    <w:p>
      <w:pPr>
        <w:spacing w:after="150"/>
      </w:pPr>
      <w:r>
        <w:t xml:space="preserve">[2] Hoagy Cunningham, Aidan Ewart, Logan Riggs, Robert Huben, and Lee Sharkey. Sparse autoencoders find highly interpretable features in language models. arXiv preprint arXiv:2309.08600, 2023.</w:t>
      </w:r>
    </w:p>
    <w:p>
      <w:pPr>
        <w:spacing w:after="150"/>
      </w:pPr>
      <w:r>
        <w:t xml:space="preserve">[3] Yilun Du, Shuang Li, Antonio Torralba, Joshua B. Tenenbaum, and Igor Mordatch. Improving factuality and reasoning in language models through multiagent debate. In International Conference on Machine Learning (ICML), 2024. arXiv:2305.14325.</w:t>
      </w:r>
    </w:p>
    <w:p>
      <w:pPr>
        <w:spacing w:after="150"/>
      </w:pPr>
      <w:r>
        <w:t xml:space="preserve">[4] Leo Gao, Tom Dupré la Tour, Henk Tillman, Gabriel Goh, Rajan Troll, Alec Radford, Ilya Sutskever, Jan Leike, and Jeffrey Wu. Scaling and evaluating sparse autoencoders. In International Conference on Learning Representations (ICLR), 2025. arXiv:2406.04093.</w:t>
      </w:r>
    </w:p>
    <w:p>
      <w:pPr>
        <w:spacing w:after="150"/>
      </w:pPr>
      <w:r>
        <w:t xml:space="preserve">[5] John Hewitt and Percy Liang. Designing and interpreting probes with control tasks. In Proceedings of EMNLP-IJCNLP, pages 2733–2743, 2019.</w:t>
      </w:r>
    </w:p>
    <w:p>
      <w:pPr>
        <w:spacing w:after="150"/>
      </w:pPr>
      <w:r>
        <w:t xml:space="preserve">[6] Jie Huang, Xinyun Chen, Swaroop Mishra, Huaixiu Steven Zheng, Adams Wei Yu, Xinying Song, and Denny Zhou. Large language models cannot self-correct reasoning yet. In International Conference on Learning Representations (ICLR), 2024. arXiv:2310.01798.</w:t>
      </w:r>
    </w:p>
    <w:p>
      <w:pPr>
        <w:spacing w:after="150"/>
      </w:pPr>
      <w:r>
        <w:t xml:space="preserve">[7] Scott M. Lundberg and Su-In Lee. A unified approach to interpreting model predictions. In Advances in Neural Information Processing Systems 30, 2017.</w:t>
      </w:r>
    </w:p>
    <w:p>
      <w:pPr>
        <w:spacing w:after="150"/>
      </w:pPr>
      <w:r>
        <w:t xml:space="preserve">[8] Samuel Marks, Can Rager, Eric J. Michaud, Yonatan Belinkov, David Bau, and Aaron Mueller. Sparse feature circuits: Discovering and editing interpretable causal graphs in language models. In International Conference on Learning Representations (ICLR), 2025. arXiv:2403.19647.</w:t>
      </w:r>
    </w:p>
    <w:p>
      <w:pPr>
        <w:spacing w:after="150"/>
      </w:pPr>
      <w:r>
        <w:t xml:space="preserve">[9] Marco Tulio Ribeiro, Sameer Singh, and Carlos Guestrin. “Why should I trust you?”: Explaining the predictions of any classifier. In Proceedings of the 22nd ACM SIGKDD International Conference on Knowledge Discovery and Data Mining, pages 1135–1144, 2016.</w:t>
      </w:r>
    </w:p>
    <w:p>
      <w:pPr>
        <w:spacing w:after="150"/>
      </w:pPr>
      <w:r>
        <w:t xml:space="preserve">[10] Mrinank Sharma, Meg Tong, Tomasz Korbak, David Duvenaud, Amanda Askell, Samuel R. Bowman, Newton Cheng, Esin Durmus, Zac Hatfield-Dodds, Scott R. Johnston, Shauna Kravec, Timothy Maxwell, Sam McCandlish, Kamal Ndousse, Oliver Rausch, Nicholas Schiefer, Da Yan, Miranda Zhang, and Ethan Perez. Towards understanding sycophancy in language models. In International Conference on Learning Representations (ICLR), 2024. arXiv:2310.13548.</w:t>
      </w:r>
    </w:p>
    <w:p>
      <w:pPr>
        <w:spacing w:after="150"/>
      </w:pPr>
      <w:r>
        <w:t xml:space="preserve">[11] Harsh Trivedi, Niranjan Balasubramanian, Tushar Khot, and Ashish Sabharwal. MuSiQue: Multihop questions via single-hop question composition. arXiv preprint arXiv:2108.00573,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2026-10-10T17:54:36.798Z</dcterms:created>
  <dcterms:modified xsi:type="dcterms:W3CDTF">2026-10-10T17:54:36.803Z</dcterms:modified>
</cp:coreProperties>
</file>

<file path=docProps/custom.xml><?xml version="1.0" encoding="utf-8"?>
<Properties xmlns="http://schemas.openxmlformats.org/officeDocument/2006/custom-properties" xmlns:vt="http://schemas.openxmlformats.org/officeDocument/2006/docPropsVTypes"/>
</file>