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2026-07-14 and shall continue for a period of One (1) years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independent product-design consulting and written recommendations for the owner's widget catalog.</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pay commissions as set forth in writing in this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years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years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Carolina_,_______).  As used herein, the expression “a business the same or similar to that of Owner” means the business of Manufacture and sell commercial widgets..  In the event any court of competent jurisdiction shall determine that this restriction is unreasonable as to time or territory, the time shall be deemed amended by the parties to read 1 years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years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123 Widget Way</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assign not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14:paraId="5D1B9669" w14:textId="0EEDC54E" w:rsidR="00CD195C" w:rsidRDefault="00CD195C">
            <w:pPr>
              <w:spacing w:line="216" w:lineRule="auto"/>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OWNER                         </w:t>
            </w:r>
          </w:p>
        </w:tc>
        <w:tc>
          <w:tcPr>
            <w:tcW w:w="5035" w:type="dxa"/>
            <w:vAlign w:val="bottom"/>
          </w:tcPr>
          <w:p w14:paraId="06661496" w14:textId="04CFAA5D" w:rsidR="00CD195C" w:rsidRDefault="00CD195C" w:rsidP="00CD195C">
            <w:pPr>
              <w:spacing w:line="216"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CONTRACTOR</w:t>
            </w:r>
          </w:p>
        </w:tc>
      </w:tr>
      <w:tr w:rsidR="00CD195C" w14:paraId="321A28BA" w14:textId="77777777" w:rsidTr="00C55F82">
        <w:tc>
          <w:tcPr>
            <w:tcW w:w="5035" w:type="dxa"/>
          </w:tcPr>
          <w:p w14:paraId="7F756D16"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6FD184EA"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3C95D28"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5084C52D"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5C7A1B4"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7F0D93D" w14:textId="1F57600A" w:rsidR="00CD195C" w:rsidRDefault="00CD195C">
            <w:pPr>
              <w:spacing w:line="216" w:lineRule="auto"/>
              <w:jc w:val="both"/>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w:t>
            </w:r>
            <w:proofErr w:type="gramStart"/>
            <w:r w:rsidRPr="00CD195C">
              <w:rPr>
                <w:rFonts w:ascii="Times New Roman" w:eastAsia="Times New Roman" w:hAnsi="Times New Roman" w:cs="Times New Roman"/>
                <w:b/>
                <w:bCs/>
                <w:color w:val="000000"/>
                <w:sz w:val="22"/>
                <w:szCs w:val="22"/>
              </w:rPr>
              <w:t xml:space="preserve">SEAL)   </w:t>
            </w:r>
            <w:proofErr w:type="gramEnd"/>
            <w:r w:rsidRPr="00CD195C">
              <w:rPr>
                <w:rFonts w:ascii="Times New Roman" w:eastAsia="Times New Roman" w:hAnsi="Times New Roman" w:cs="Times New Roman"/>
                <w:b/>
                <w:bCs/>
                <w:color w:val="000000"/>
                <w:sz w:val="22"/>
                <w:szCs w:val="22"/>
              </w:rPr>
              <w:t xml:space="preserve">    </w:t>
            </w:r>
          </w:p>
        </w:tc>
        <w:tc>
          <w:tcPr>
            <w:tcW w:w="5035" w:type="dxa"/>
            <w:vAlign w:val="bottom"/>
          </w:tcPr>
          <w:p w14:paraId="0DCAA49F" w14:textId="5594D74C" w:rsidR="00CD195C" w:rsidRDefault="00CD195C" w:rsidP="00CD195C">
            <w:pPr>
              <w:spacing w:line="216" w:lineRule="auto"/>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(SEAL)</w:t>
            </w:r>
          </w:p>
        </w:tc>
      </w:tr>
      <w:tr w:rsidR="00C55F82" w14:paraId="42CE80B7" w14:textId="77777777" w:rsidTr="00C55F82">
        <w:tc>
          <w:tcPr>
            <w:tcW w:w="5035" w:type="dxa"/>
          </w:tcPr>
          <w:p w14:paraId="65EF2AB1" w14:textId="77777777" w:rsidR="00C55F82" w:rsidRDefault="00C55F82">
            <w:pPr>
              <w:spacing w:line="216" w:lineRule="auto"/>
              <w:jc w:val="both"/>
              <w:rPr>
                <w:rFonts w:ascii="Times New Roman" w:eastAsia="Times New Roman" w:hAnsi="Times New Roman" w:cs="Times New Roman"/>
                <w:b/>
                <w:bCs/>
                <w:color w:val="000000"/>
                <w:sz w:val="22"/>
                <w:szCs w:val="22"/>
              </w:rPr>
            </w:pPr>
          </w:p>
        </w:tc>
        <w:tc>
          <w:tcPr>
            <w:tcW w:w="5035" w:type="dxa"/>
            <w:vAlign w:val="bottom"/>
          </w:tcPr>
          <w:p w14:paraId="2345AB6F" w14:textId="77777777" w:rsidR="00C55F82" w:rsidRPr="00CD195C" w:rsidRDefault="00C55F82" w:rsidP="00CD195C">
            <w:pPr>
              <w:spacing w:line="216" w:lineRule="auto"/>
              <w:rPr>
                <w:rFonts w:ascii="Times New Roman" w:eastAsia="Times New Roman" w:hAnsi="Times New Roman" w:cs="Times New Roman"/>
                <w:b/>
                <w:bCs/>
                <w:color w:val="000000"/>
                <w:sz w:val="22"/>
                <w:szCs w:val="22"/>
              </w:rPr>
            </w:pPr>
          </w:p>
        </w:tc>
      </w:tr>
      <w:tr w:rsidR="00CD195C" w14:paraId="6C15FBCE" w14:textId="77777777" w:rsidTr="00C55F82">
        <w:trPr>
          <w:trHeight w:val="58"/>
        </w:trPr>
        <w:tc>
          <w:tcPr>
            <w:tcW w:w="5035" w:type="dxa"/>
          </w:tcPr>
          <w:p w14:paraId="25E005C2" w14:textId="77777777" w:rsidR="00CD195C"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Alex Morgan </w:t>
            </w:r>
            <w:r w:rsidRPr="00C55F82">
              <w:rPr>
                <w:rFonts w:ascii="Times New Roman" w:eastAsia="Times New Roman" w:hAnsi="Times New Roman" w:cs="Times New Roman"/>
                <w:color w:val="000000"/>
                <w:sz w:val="22"/>
                <w:szCs w:val="22"/>
              </w:rPr>
              <w:t xml:space="preserve"> </w:t>
            </w:r>
          </w:p>
          <w:p w14:paraId="094A93A4"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09DE823E"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5DBF1B7A" w14:textId="7847D2F7" w:rsidR="00C55F82" w:rsidRDefault="00C55F82">
            <w:pPr>
              <w:spacing w:line="216" w:lineRule="auto"/>
              <w:jc w:val="both"/>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c>
          <w:tcPr>
            <w:tcW w:w="5035" w:type="dxa"/>
            <w:vAlign w:val="bottom"/>
          </w:tcPr>
          <w:p w14:paraId="6B5D46F3" w14:textId="4C4FC181" w:rsidR="00C55F82" w:rsidRDefault="00C55F82" w:rsidP="00C55F8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Jane Q. Contractor </w:t>
            </w:r>
          </w:p>
          <w:p w14:paraId="04E82424" w14:textId="77777777" w:rsidR="00CD195C" w:rsidRDefault="00CD195C" w:rsidP="00CD195C">
            <w:pPr>
              <w:spacing w:line="216" w:lineRule="auto"/>
              <w:rPr>
                <w:rFonts w:ascii="Times New Roman" w:eastAsia="Times New Roman" w:hAnsi="Times New Roman" w:cs="Times New Roman"/>
                <w:b/>
                <w:bCs/>
                <w:color w:val="000000"/>
                <w:sz w:val="22"/>
                <w:szCs w:val="22"/>
              </w:rPr>
            </w:pPr>
          </w:p>
          <w:p w14:paraId="368DB2BF" w14:textId="77777777" w:rsidR="00C55F82" w:rsidRDefault="00C55F82" w:rsidP="00CD195C">
            <w:pPr>
              <w:spacing w:line="216" w:lineRule="auto"/>
              <w:rPr>
                <w:rFonts w:ascii="Times New Roman" w:eastAsia="Times New Roman" w:hAnsi="Times New Roman" w:cs="Times New Roman"/>
                <w:b/>
                <w:bCs/>
                <w:color w:val="000000"/>
                <w:sz w:val="22"/>
                <w:szCs w:val="22"/>
              </w:rPr>
            </w:pPr>
          </w:p>
          <w:p w14:paraId="078DF5A9" w14:textId="79BAAC01" w:rsidR="00C55F82" w:rsidRDefault="00C55F82" w:rsidP="00CD195C">
            <w:pPr>
              <w:spacing w:line="216" w:lineRule="auto"/>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r>
      <w:tr w:rsidR="00C55F82" w14:paraId="2E7688A7" w14:textId="77777777" w:rsidTr="00C55F82">
        <w:tc>
          <w:tcPr>
            <w:tcW w:w="5035" w:type="dxa"/>
          </w:tcPr>
          <w:p w14:paraId="2036E134" w14:textId="54AA69DD" w:rsidR="00C55F82"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 </w:t>
            </w:r>
          </w:p>
        </w:tc>
        <w:tc>
          <w:tcPr>
            <w:tcW w:w="5035" w:type="dxa"/>
            <w:vAlign w:val="bottom"/>
          </w:tcPr>
          <w:p w14:paraId="746A561D" w14:textId="5A9FE131" w:rsidR="00C55F82" w:rsidRDefault="00C55F82" w:rsidP="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