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240"/>
        <w:jc w:val="center"/>
      </w:pPr>
      <w:r>
        <w:rPr>
          <w:b/>
          <w:color w:val="1B365D"/>
          <w:sz w:val="32"/>
        </w:rPr>
        <w:t>AGREEMENT OF LIMITED PARTNERSHIP OF THORNE HOLDINGS, L.P.</w:t>
      </w:r>
    </w:p>
    <w:p>
      <w:pPr>
        <w:spacing w:before="0" w:after="360"/>
        <w:jc w:val="center"/>
      </w:pPr>
      <w:r>
        <w:rPr>
          <w:i/>
          <w:color w:val="4A5568"/>
          <w:sz w:val="24"/>
        </w:rPr>
        <w:t>A Family Limited Partnership for Multi-Generational Asset Management &amp; Valuation Discount Planning</w:t>
      </w:r>
    </w:p>
    <w:p>
      <w:pPr>
        <w:spacing w:after="120" w:line="276" w:lineRule="auto"/>
      </w:pPr>
      <w:r>
        <w:t>THIS AGREEMENT OF LIMITED PARTNERSHIP is made and entered into effective as of the 15th day of November, 2026, by and among Thorne Management, LLC, a Texas limited liability company, as the General Partner, and VICTORIA H. THORNE, ALISTAIR C. THORNE, and the family trusts listed on Schedule A attached hereto, as the Limited Partners.</w:t>
      </w:r>
    </w:p>
    <w:p>
      <w:pPr>
        <w:keepNext/>
        <w:spacing w:before="280" w:after="120"/>
      </w:pPr>
      <w:r>
        <w:rPr>
          <w:b/>
          <w:color w:val="1B365D"/>
          <w:sz w:val="26"/>
        </w:rPr>
        <w:t>Article I: FORMATION, NON-TAX BUSINESS PURPOSE &amp; PRINCIPAL OFFICE</w:t>
      </w:r>
    </w:p>
    <w:p>
      <w:pPr>
        <w:spacing w:after="120" w:line="276" w:lineRule="auto"/>
      </w:pPr>
      <w:r>
        <w:rPr>
          <w:b/>
        </w:rPr>
        <w:t xml:space="preserve">Section 1.01 Formation Under State Act. </w:t>
      </w:r>
      <w:r>
        <w:t>The Partners hereby form a limited partnership pursuant to the Texas Business Organizations Code upon the filing of a Certificate of Formation with the Secretary of State of Texas.</w:t>
      </w:r>
    </w:p>
    <w:p>
      <w:pPr>
        <w:spacing w:after="120" w:line="276" w:lineRule="auto"/>
      </w:pPr>
      <w:r>
        <w:rPr>
          <w:b/>
        </w:rPr>
        <w:t xml:space="preserve">Section 1.02 Legitimate Non-Tax Business Purposes. </w:t>
      </w:r>
      <w:r>
        <w:t>The Partnership is established for substantial, bona fide non-tax business and investment purposes, including: consolidating commercial real estate and private equity holdings; establishing centralized multi-generational investment governance; and protecting enterprise assets from judgment creditors.</w:t>
      </w:r>
    </w:p>
    <w:p>
      <w:pPr>
        <w:keepNext/>
        <w:spacing w:before="280" w:after="120"/>
      </w:pPr>
      <w:r>
        <w:rPr>
          <w:b/>
          <w:color w:val="1B365D"/>
          <w:sz w:val="26"/>
        </w:rPr>
        <w:t>Article II: CAPITAL CONTRIBUTIONS &amp; UNIT STRUCTURE</w:t>
      </w:r>
    </w:p>
    <w:p>
      <w:pPr>
        <w:spacing w:after="120" w:line="276" w:lineRule="auto"/>
      </w:pPr>
      <w:r>
        <w:rPr>
          <w:b/>
        </w:rPr>
        <w:t xml:space="preserve">Section 2.01 Initial Capital Contributions &amp; Unit Classes. </w:t>
      </w:r>
      <w:r>
        <w:t>Each Partner has contributed property in exchange for Units:</w:t>
        <w:br/>
        <w:t>• Class A GP Voting Units (1.00%): Held by Thorne Management, LLC (100% management control).</w:t>
        <w:br/>
        <w:t>• Class B LP Non-Voting Units (99.00%): Held by Limited Partners, carrying zero voting rights.</w:t>
      </w:r>
    </w:p>
    <w:p>
      <w:pPr>
        <w:keepNext/>
        <w:spacing w:before="280" w:after="120"/>
      </w:pPr>
      <w:r>
        <w:rPr>
          <w:b/>
          <w:color w:val="1B365D"/>
          <w:sz w:val="26"/>
        </w:rPr>
        <w:t>Article III: MANAGEMENT &amp; PRO-RATA DISTRIBUTIONS</w:t>
      </w:r>
    </w:p>
    <w:p>
      <w:pPr>
        <w:spacing w:after="120" w:line="276" w:lineRule="auto"/>
      </w:pPr>
      <w:r>
        <w:rPr>
          <w:b/>
        </w:rPr>
        <w:t xml:space="preserve">Section 3.01 Management &amp; Distributions. </w:t>
      </w:r>
      <w:r>
        <w:t>The General Partner shall have sole authority to manage operations and investments. All distributions shall be made strictly PRO RATA among all Partners in accordance with their respective Percentage Interests.</w:t>
      </w:r>
    </w:p>
    <w:p>
      <w:pPr>
        <w:keepNext/>
        <w:spacing w:before="280" w:after="120"/>
      </w:pPr>
      <w:r>
        <w:rPr>
          <w:b/>
          <w:color w:val="1B365D"/>
          <w:sz w:val="26"/>
        </w:rPr>
        <w:t>Article IV: TRANSFER RESTRICTIONS &amp; RIGHT OF FIRST REFUSAL</w:t>
      </w:r>
    </w:p>
    <w:p>
      <w:pPr>
        <w:spacing w:after="120" w:line="276" w:lineRule="auto"/>
      </w:pPr>
      <w:r>
        <w:rPr>
          <w:b/>
        </w:rPr>
        <w:t xml:space="preserve">Section 4.01 Transfer Restrictions &amp; ROFR. </w:t>
      </w:r>
      <w:r>
        <w:t>No Limited Partner may transfer LP Units without GP consent. The Partnership retains a 90-day Right of First Refusal at appraised Fair Market Value with applicable minority and lack-of-marketability discounts.</w:t>
      </w:r>
    </w:p>
    <w:p>
      <w:pPr>
        <w:keepNext/>
        <w:spacing w:before="280" w:after="120"/>
      </w:pPr>
      <w:r>
        <w:rPr>
          <w:b/>
          <w:color w:val="1B365D"/>
          <w:sz w:val="26"/>
        </w:rPr>
        <w:t>SCHEDULE A — CAPITAL CONTRIBUTIONS &amp; PARTNERSHIP UNIT LEDGER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</w:tcPr>
          <w:p>
            <w:r>
              <w:rPr>
                <w:b/>
              </w:rPr>
              <w:t>Partner Name</w:t>
            </w:r>
          </w:p>
        </w:tc>
        <w:tc>
          <w:tcPr>
            <w:tcW w:type="dxa" w:w="2340"/>
          </w:tcPr>
          <w:p>
            <w:r>
              <w:rPr>
                <w:b/>
              </w:rPr>
              <w:t>Unit Class</w:t>
            </w:r>
          </w:p>
        </w:tc>
        <w:tc>
          <w:tcPr>
            <w:tcW w:type="dxa" w:w="2340"/>
          </w:tcPr>
          <w:p>
            <w:r>
              <w:rPr>
                <w:b/>
              </w:rPr>
              <w:t>% Interest</w:t>
            </w:r>
          </w:p>
        </w:tc>
        <w:tc>
          <w:tcPr>
            <w:tcW w:type="dxa" w:w="2340"/>
          </w:tcPr>
          <w:p>
            <w:r>
              <w:rPr>
                <w:b/>
              </w:rPr>
              <w:t>Contributed Asset &amp; Value</w:t>
            </w:r>
          </w:p>
        </w:tc>
      </w:tr>
      <w:tr>
        <w:tc>
          <w:tcPr>
            <w:tcW w:type="dxa" w:w="2340"/>
          </w:tcPr>
          <w:p>
            <w:r>
              <w:t>Thorne Management, LLC</w:t>
            </w:r>
          </w:p>
        </w:tc>
        <w:tc>
          <w:tcPr>
            <w:tcW w:type="dxa" w:w="2340"/>
          </w:tcPr>
          <w:p>
            <w:r>
              <w:t>Class A GP (Voting)</w:t>
            </w:r>
          </w:p>
        </w:tc>
        <w:tc>
          <w:tcPr>
            <w:tcW w:type="dxa" w:w="2340"/>
          </w:tcPr>
          <w:p>
            <w:r>
              <w:t>1.00%</w:t>
            </w:r>
          </w:p>
        </w:tc>
        <w:tc>
          <w:tcPr>
            <w:tcW w:type="dxa" w:w="2340"/>
          </w:tcPr>
          <w:p>
            <w:r>
              <w:t>Cash GP Contribution ($150,000)</w:t>
            </w:r>
          </w:p>
        </w:tc>
      </w:tr>
      <w:tr>
        <w:tc>
          <w:tcPr>
            <w:tcW w:type="dxa" w:w="2340"/>
          </w:tcPr>
          <w:p>
            <w:r>
              <w:t>Victoria H. Thorne Revocable Trust</w:t>
            </w:r>
          </w:p>
        </w:tc>
        <w:tc>
          <w:tcPr>
            <w:tcW w:type="dxa" w:w="2340"/>
          </w:tcPr>
          <w:p>
            <w:r>
              <w:t>Class B LP (Non-Voting)</w:t>
            </w:r>
          </w:p>
        </w:tc>
        <w:tc>
          <w:tcPr>
            <w:tcW w:type="dxa" w:w="2340"/>
          </w:tcPr>
          <w:p>
            <w:r>
              <w:t>39.00%</w:t>
            </w:r>
          </w:p>
        </w:tc>
        <w:tc>
          <w:tcPr>
            <w:tcW w:type="dxa" w:w="2340"/>
          </w:tcPr>
          <w:p>
            <w:r>
              <w:t>Houston Commercial RE Portfolio ($5,850,000)</w:t>
            </w:r>
          </w:p>
        </w:tc>
      </w:tr>
      <w:tr>
        <w:tc>
          <w:tcPr>
            <w:tcW w:type="dxa" w:w="2340"/>
          </w:tcPr>
          <w:p>
            <w:r>
              <w:t>The Thorne Dynasty Trust</w:t>
            </w:r>
          </w:p>
        </w:tc>
        <w:tc>
          <w:tcPr>
            <w:tcW w:type="dxa" w:w="2340"/>
          </w:tcPr>
          <w:p>
            <w:r>
              <w:t>Class B LP (Non-Voting)</w:t>
            </w:r>
          </w:p>
        </w:tc>
        <w:tc>
          <w:tcPr>
            <w:tcW w:type="dxa" w:w="2340"/>
          </w:tcPr>
          <w:p>
            <w:r>
              <w:t>30.00%</w:t>
            </w:r>
          </w:p>
        </w:tc>
        <w:tc>
          <w:tcPr>
            <w:tcW w:type="dxa" w:w="2340"/>
          </w:tcPr>
          <w:p>
            <w:r>
              <w:t>Gifted/Sold LP Units ($4,500,000)</w:t>
            </w:r>
          </w:p>
        </w:tc>
      </w:tr>
      <w:tr>
        <w:tc>
          <w:tcPr>
            <w:tcW w:type="dxa" w:w="2340"/>
          </w:tcPr>
          <w:p>
            <w:r>
              <w:t>The Thorne Spousal Lifetime Access Trust</w:t>
            </w:r>
          </w:p>
        </w:tc>
        <w:tc>
          <w:tcPr>
            <w:tcW w:type="dxa" w:w="2340"/>
          </w:tcPr>
          <w:p>
            <w:r>
              <w:t>Class B LP (Non-Voting)</w:t>
            </w:r>
          </w:p>
        </w:tc>
        <w:tc>
          <w:tcPr>
            <w:tcW w:type="dxa" w:w="2340"/>
          </w:tcPr>
          <w:p>
            <w:r>
              <w:t>30.00%</w:t>
            </w:r>
          </w:p>
        </w:tc>
        <w:tc>
          <w:tcPr>
            <w:tcW w:type="dxa" w:w="2340"/>
          </w:tcPr>
          <w:p>
            <w:r>
              <w:t>Gifted/Sold LP Units ($4,500,000)</w:t>
            </w:r>
          </w:p>
        </w:tc>
      </w:tr>
    </w:tbl>
    <w:p>
      <w:pPr>
        <w:spacing w:after="120" w:line="276" w:lineRule="auto"/>
      </w:pPr>
      <w:r>
        <w:t>IN WITNESS WHEREOF, the General Partner and Limited Partners have executed this Agreement on November 15, 2026.</w:t>
      </w:r>
    </w:p>
    <w:p>
      <w:pPr>
        <w:spacing w:before="360" w:after="40"/>
      </w:pPr>
      <w:r>
        <w:rPr>
          <w:b/>
        </w:rPr>
        <w:t>__________________________________________________</w:t>
      </w:r>
    </w:p>
    <w:p>
      <w:pPr>
        <w:spacing w:after="240"/>
      </w:pPr>
      <w:r>
        <w:rPr>
          <w:b/>
        </w:rPr>
        <w:t>VICTORIA H. THORNE, Managing Member, Thorne Management, LLC</w:t>
      </w:r>
    </w:p>
    <w:p>
      <w:pPr>
        <w:spacing w:before="360" w:after="40"/>
      </w:pPr>
      <w:r>
        <w:rPr>
          <w:b/>
        </w:rPr>
        <w:t>__________________________________________________</w:t>
      </w:r>
    </w:p>
    <w:p>
      <w:pPr>
        <w:spacing w:after="240"/>
      </w:pPr>
      <w:r>
        <w:rPr>
          <w:b/>
        </w:rPr>
        <w:t>ALISTAIR C. THORNE, Limited Partner &amp; Trustee</w:t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color w:val="333333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