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THE THORNE SPOUSAL LIFETIME ACCESS &amp; DYNASTY TRUST</w:t>
      </w:r>
    </w:p>
    <w:p>
      <w:pPr>
        <w:spacing w:before="0" w:after="360"/>
        <w:jc w:val="center"/>
      </w:pPr>
      <w:r>
        <w:rPr>
          <w:i/>
          <w:color w:val="4A5568"/>
          <w:sz w:val="24"/>
        </w:rPr>
        <w:t>A GST-Exempt Multi-Generational Irrevocable Grantor Trust (South Dakota Domicile)</w:t>
      </w:r>
    </w:p>
    <w:p>
      <w:pPr>
        <w:spacing w:after="120" w:line="276" w:lineRule="auto"/>
      </w:pPr>
      <w:r>
        <w:t>THIS IRREVOCABLE SPOUSAL LIFETIME ACCESS AND DYNASTY TRUST AGREEMENT is made this 15th day of November, 2026, by and between VICTORIA H. THORNE, of Houston, Texas (the "Grantor"), SAMUEL T. STERLING as Distribution Trustee, and South Dakota Trust Company LLC as Administrative Trustee.</w:t>
      </w:r>
    </w:p>
    <w:p>
      <w:pPr>
        <w:keepNext/>
        <w:spacing w:before="280" w:after="120"/>
      </w:pPr>
      <w:r>
        <w:rPr>
          <w:b/>
          <w:color w:val="1B365D"/>
          <w:sz w:val="26"/>
        </w:rPr>
        <w:t>Article I: IRREVOCABILITY &amp; RECIPROCAL TRUST DOCTRINE COMPLIANCE</w:t>
      </w:r>
    </w:p>
    <w:p>
      <w:pPr>
        <w:spacing w:after="120" w:line="276" w:lineRule="auto"/>
      </w:pPr>
      <w:r>
        <w:rPr>
          <w:b/>
        </w:rPr>
        <w:t xml:space="preserve">Section 1.01 Irrevocable Gift &amp; Non-Reciprocal Drafting. </w:t>
      </w:r>
      <w:r>
        <w:t>Funded exclusively with Grantor's separate Class B LP Units in Thorne Holdings, L.P. Structured with distinct administrative terms under United States v. Estate of Grace to comply with the Reciprocal Trust Doctrine.</w:t>
      </w:r>
    </w:p>
    <w:p>
      <w:pPr>
        <w:keepNext/>
        <w:spacing w:before="280" w:after="120"/>
      </w:pPr>
      <w:r>
        <w:rPr>
          <w:b/>
          <w:color w:val="1B365D"/>
          <w:sz w:val="26"/>
        </w:rPr>
        <w:t>Article II: LIFETIME SPOUSAL ACCESS PERIOD (SLAT PHASE)</w:t>
      </w:r>
    </w:p>
    <w:p>
      <w:pPr>
        <w:spacing w:after="120" w:line="276" w:lineRule="auto"/>
      </w:pPr>
      <w:r>
        <w:rPr>
          <w:b/>
        </w:rPr>
        <w:t xml:space="preserve">Section 2.01 Spousal Access &amp; Divorce Cutoff. </w:t>
      </w:r>
      <w:r>
        <w:t>During the lifetime of Beneficiary Spouse ALISTAIR C. THORNE, the Independent Distribution Trustee may distribute income/principal for HEMS or in sole discretion. Spousal status terminates automatically upon divorce filing.</w:t>
      </w:r>
    </w:p>
    <w:p>
      <w:pPr>
        <w:keepNext/>
        <w:spacing w:before="280" w:after="120"/>
      </w:pPr>
      <w:r>
        <w:rPr>
          <w:b/>
          <w:color w:val="1B365D"/>
          <w:sz w:val="26"/>
        </w:rPr>
        <w:t>Article III: PERPETUAL MULTI-GENERATIONAL DYNASTY TRUST</w:t>
      </w:r>
    </w:p>
    <w:p>
      <w:pPr>
        <w:spacing w:after="120" w:line="276" w:lineRule="auto"/>
      </w:pPr>
      <w:r>
        <w:rPr>
          <w:b/>
        </w:rPr>
        <w:t xml:space="preserve">Section 3.01 South Dakota Dynasty Situs. </w:t>
      </w:r>
      <w:r>
        <w:t>Upon the death of the Beneficiary Spouse, assets divide into perpetual GST-exempt Dynasty Sub-Trusts for descendants, governed under South Dakota law abolishing the Rule Against Perpetuities.</w:t>
      </w:r>
    </w:p>
    <w:p>
      <w:pPr>
        <w:keepNext/>
        <w:spacing w:before="280" w:after="120"/>
      </w:pPr>
      <w:r>
        <w:rPr>
          <w:b/>
          <w:color w:val="1B365D"/>
          <w:sz w:val="26"/>
        </w:rPr>
        <w:t>Article IV: INTENTIONALLY DEFECTIVE GRANTOR TRUST (IDGT) POWERS</w:t>
      </w:r>
    </w:p>
    <w:p>
      <w:pPr>
        <w:spacing w:after="120" w:line="276" w:lineRule="auto"/>
      </w:pPr>
      <w:r>
        <w:rPr>
          <w:b/>
        </w:rPr>
        <w:t xml:space="preserve">Section 4.01 IDGT Substitution Power. </w:t>
      </w:r>
      <w:r>
        <w:t>Grantor retains nonfiduciary substitution powers under IRC § 675(4)(C), causing IDGT tax status to allow income tax payments and tax-free asset transfers.</w:t>
      </w:r>
    </w:p>
    <w:p>
      <w:pPr>
        <w:spacing w:after="120" w:line="276" w:lineRule="auto"/>
      </w:pPr>
      <w:r>
        <w:t>IN WITNESS WHEREOF, the Grantor and Trustees have executed this Agreement on November 15, 2026.</w:t>
      </w:r>
    </w:p>
    <w:p>
      <w:pPr>
        <w:spacing w:before="360" w:after="40"/>
      </w:pPr>
      <w:r>
        <w:rPr>
          <w:b/>
        </w:rPr>
        <w:t>__________________________________________________</w:t>
      </w:r>
    </w:p>
    <w:p>
      <w:pPr>
        <w:spacing w:after="240"/>
      </w:pPr>
      <w:r>
        <w:rPr>
          <w:b/>
        </w:rPr>
        <w:t>VICTORIA H. THORNE, Grantor</w:t>
      </w:r>
    </w:p>
    <w:p>
      <w:pPr>
        <w:spacing w:before="360" w:after="40"/>
      </w:pPr>
      <w:r>
        <w:rPr>
          <w:b/>
        </w:rPr>
        <w:t>__________________________________________________</w:t>
      </w:r>
    </w:p>
    <w:p>
      <w:pPr>
        <w:spacing w:after="240"/>
      </w:pPr>
      <w:r>
        <w:rPr>
          <w:b/>
        </w:rPr>
        <w:t>SAMUEL T. STERLING, Distribution Trustee</w:t>
      </w:r>
    </w:p>
    <w:p>
      <w:pPr>
        <w:spacing w:before="360" w:after="40"/>
      </w:pPr>
      <w:r>
        <w:rPr>
          <w:b/>
        </w:rPr>
        <w:t>__________________________________________________</w:t>
      </w:r>
    </w:p>
    <w:p>
      <w:pPr>
        <w:spacing w:after="240"/>
      </w:pPr>
      <w:r>
        <w:rPr>
          <w:b/>
        </w:rPr>
        <w:t>BEATRICE MONROE, Authorized Officer, South Dakota Trust Company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