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b/>
          <w:color w:val="1B365D"/>
          <w:sz w:val="32"/>
        </w:rPr>
        <w:t>THE VICTORIA H. THORNE 2026 ZEROED-OUT GRAT</w:t>
      </w:r>
    </w:p>
    <w:p>
      <w:pPr>
        <w:spacing w:before="0" w:after="360"/>
        <w:jc w:val="center"/>
      </w:pPr>
      <w:r>
        <w:rPr>
          <w:i/>
          <w:color w:val="4A5568"/>
          <w:sz w:val="24"/>
        </w:rPr>
        <w:t>Qualified Annuity Interest Estate-Freeze Trust Under IRC § 2702 &amp; Treas. Reg. § 25.2702-3</w:t>
      </w:r>
    </w:p>
    <w:p>
      <w:pPr>
        <w:spacing w:after="120" w:line="276" w:lineRule="auto"/>
      </w:pPr>
      <w:r>
        <w:t>THIS GRANTOR RETAINED ANNUITY TRUST AGREEMENT is made this 15th day of November, 2026, by and between VICTORIA H. THORNE (the "Grantor") and SAMUEL T. STERLING (the "Trustee").</w:t>
      </w:r>
    </w:p>
    <w:p>
      <w:pPr>
        <w:keepNext/>
        <w:spacing w:before="280" w:after="120"/>
      </w:pPr>
      <w:r>
        <w:rPr>
          <w:b/>
          <w:color w:val="1B365D"/>
          <w:sz w:val="26"/>
        </w:rPr>
        <w:t>Article I: IRREVOCABILITY &amp; INITIAL CONTRIBUTION</w:t>
      </w:r>
    </w:p>
    <w:p>
      <w:pPr>
        <w:spacing w:after="120" w:line="276" w:lineRule="auto"/>
      </w:pPr>
      <w:r>
        <w:rPr>
          <w:b/>
        </w:rPr>
        <w:t xml:space="preserve">Section 1.01 Irrevocability &amp; Funding. </w:t>
      </w:r>
      <w:r>
        <w:t>Irrevocable 2-year GRAT funded with Class B LP Units of Thorne Holdings, L.P. Additional contributions are strictly prohibited.</w:t>
      </w:r>
    </w:p>
    <w:p>
      <w:pPr>
        <w:keepNext/>
        <w:spacing w:before="280" w:after="120"/>
      </w:pPr>
      <w:r>
        <w:rPr>
          <w:b/>
          <w:color w:val="1B365D"/>
          <w:sz w:val="26"/>
        </w:rPr>
        <w:t>Article II: ANNUITY TERM &amp; ZEROED-OUT ANNUITY PAYOUT</w:t>
      </w:r>
    </w:p>
    <w:p>
      <w:pPr>
        <w:spacing w:after="120" w:line="276" w:lineRule="auto"/>
      </w:pPr>
      <w:r>
        <w:rPr>
          <w:b/>
        </w:rPr>
        <w:t xml:space="preserve">Section 2.01 Walton Zeroed-Out Structure. </w:t>
      </w:r>
      <w:r>
        <w:t>Pays mandatory annual annuity payments calculated under Walton v. Commissioner to yield a near-zero taxable gift on Form 709 ($1.00 gift value) using the IRC § 7520 hurdle rate.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Annuity Year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Defined % of Initial FMV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Estimated Payout</w:t>
            </w:r>
          </w:p>
        </w:tc>
      </w:tr>
      <w:tr>
        <w:tc>
          <w:tcPr>
            <w:tcW w:type="dxa" w:w="3120"/>
          </w:tcPr>
          <w:p>
            <w:r>
              <w:t>Year 1</w:t>
            </w:r>
          </w:p>
        </w:tc>
        <w:tc>
          <w:tcPr>
            <w:tcW w:type="dxa" w:w="3120"/>
          </w:tcPr>
          <w:p>
            <w:r>
              <w:t>48.6542% of Initial FMV</w:t>
            </w:r>
          </w:p>
        </w:tc>
        <w:tc>
          <w:tcPr>
            <w:tcW w:type="dxa" w:w="3120"/>
          </w:tcPr>
          <w:p>
            <w:r>
              <w:t>$2,432,710</w:t>
            </w:r>
          </w:p>
        </w:tc>
      </w:tr>
      <w:tr>
        <w:tc>
          <w:tcPr>
            <w:tcW w:type="dxa" w:w="3120"/>
          </w:tcPr>
          <w:p>
            <w:r>
              <w:t>Year 2</w:t>
            </w:r>
          </w:p>
        </w:tc>
        <w:tc>
          <w:tcPr>
            <w:tcW w:type="dxa" w:w="3120"/>
          </w:tcPr>
          <w:p>
            <w:r>
              <w:t>58.3850% of Initial FMV (120% of Yr 1)</w:t>
            </w:r>
          </w:p>
        </w:tc>
        <w:tc>
          <w:tcPr>
            <w:tcW w:type="dxa" w:w="3120"/>
          </w:tcPr>
          <w:p>
            <w:r>
              <w:t>$2,919,250</w:t>
            </w:r>
          </w:p>
        </w:tc>
      </w:tr>
    </w:tbl>
    <w:p>
      <w:pPr>
        <w:keepNext/>
        <w:spacing w:before="280" w:after="120"/>
      </w:pPr>
      <w:r>
        <w:rPr>
          <w:b/>
          <w:color w:val="1B365D"/>
          <w:sz w:val="26"/>
        </w:rPr>
        <w:t>Article III: DISPOSITION OF TAX-FREE APPRECIATION</w:t>
      </w:r>
    </w:p>
    <w:p>
      <w:pPr>
        <w:spacing w:after="120" w:line="276" w:lineRule="auto"/>
      </w:pPr>
      <w:r>
        <w:rPr>
          <w:b/>
        </w:rPr>
        <w:t xml:space="preserve">Section 3.01 Remainder Transfer. </w:t>
      </w:r>
      <w:r>
        <w:t>All growth in excess of the IRC § 7520 hurdle rate passes tax-free at term end to The Thorne Dynasty Trust.</w:t>
      </w:r>
    </w:p>
    <w:p>
      <w:pPr>
        <w:spacing w:after="120" w:line="276" w:lineRule="auto"/>
      </w:pPr>
      <w:r>
        <w:t>IN WITNESS WHEREOF, the Grantor and Trustee have executed this Agreement on November 15, 2026.</w:t>
      </w:r>
    </w:p>
    <w:p>
      <w:pPr>
        <w:spacing w:before="360" w:after="40"/>
      </w:pPr>
      <w:r>
        <w:rPr>
          <w:b/>
        </w:rPr>
        <w:t>__________________________________________________</w:t>
      </w:r>
    </w:p>
    <w:p>
      <w:pPr>
        <w:spacing w:after="240"/>
      </w:pPr>
      <w:r>
        <w:rPr>
          <w:b/>
        </w:rPr>
        <w:t>VICTORIA H. THORNE, Grantor</w:t>
      </w:r>
    </w:p>
    <w:p>
      <w:pPr>
        <w:spacing w:before="360" w:after="40"/>
      </w:pPr>
      <w:r>
        <w:rPr>
          <w:b/>
        </w:rPr>
        <w:t>__________________________________________________</w:t>
      </w:r>
    </w:p>
    <w:p>
      <w:pPr>
        <w:spacing w:after="240"/>
      </w:pPr>
      <w:r>
        <w:rPr>
          <w:b/>
        </w:rPr>
        <w:t>SAMUEL T. STERLING, Trustee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