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color w:val="1B365D"/>
          <w:sz w:val="32"/>
        </w:rPr>
        <w:t>THE THORNE CHARITABLE REMAINDER TRUST AGREEMENT</w:t>
      </w:r>
    </w:p>
    <w:p>
      <w:pPr>
        <w:spacing w:before="0" w:after="360"/>
        <w:jc w:val="center"/>
      </w:pPr>
      <w:r>
        <w:rPr>
          <w:i/>
          <w:color w:val="4A5568"/>
          <w:sz w:val="24"/>
        </w:rPr>
        <w:t>Tax-Exempt Split-Interest Trust Under IRC § 664 (FLIP-CRUT Structure)</w:t>
      </w:r>
    </w:p>
    <w:p>
      <w:pPr>
        <w:spacing w:after="120" w:line="276" w:lineRule="auto"/>
      </w:pPr>
      <w:r>
        <w:t>THIS CHARITABLE REMAINDER TRUST AGREEMENT is made this 15th day of November, 2026, by and between VICTORIA H. THORNE and ALISTAIR C. THORNE (Donors), and SAMUEL T. STERLING (Trustee).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I: IRREVOCABILITY &amp; FLIP-CRUT ELECTION</w:t>
      </w:r>
    </w:p>
    <w:p>
      <w:pPr>
        <w:spacing w:after="120" w:line="276" w:lineRule="auto"/>
      </w:pPr>
      <w:r>
        <w:rPr>
          <w:b/>
        </w:rPr>
        <w:t xml:space="preserve">Section 1.01 FLIP-CRUT Structure. </w:t>
      </w:r>
      <w:r>
        <w:t>Irrevocable tax-exempt split-interest trust under IRC § 664 modeled on IRS Rev. Proc. 2005-52. Operates as NIMCRUT initially for appreciated commercial property and FLIPS to a Standard 6.00% CRUT on January 1st post-sale.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II: UNITRUST PAYOUT &amp; STATUTORY TESTS</w:t>
      </w:r>
    </w:p>
    <w:p>
      <w:pPr>
        <w:spacing w:after="120" w:line="276" w:lineRule="auto"/>
      </w:pPr>
      <w:r>
        <w:rPr>
          <w:b/>
        </w:rPr>
        <w:t xml:space="preserve">Section 2.01 Payout &amp; Actuarial Tests. </w:t>
      </w:r>
      <w:r>
        <w:t>Pays 6.00% annual unitrust stream for joint lifetimes. Meets the statutory 10% minimum charitable remainder requirement under IRC § 664(d)(2)(D).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III: CHARITABLE REMAINDERMAN</w:t>
      </w:r>
    </w:p>
    <w:p>
      <w:pPr>
        <w:spacing w:after="120" w:line="276" w:lineRule="auto"/>
      </w:pPr>
      <w:r>
        <w:rPr>
          <w:b/>
        </w:rPr>
        <w:t xml:space="preserve">Section 3.01 Private Foundation Remainder. </w:t>
      </w:r>
      <w:r>
        <w:t>Upon death of the survivor, remaining principal passes 100% to The Thorne Family Private Foundation (IRC § 170(c) / § 2055(a) compliant).</w:t>
      </w:r>
    </w:p>
    <w:p>
      <w:pPr>
        <w:spacing w:after="120" w:line="276" w:lineRule="auto"/>
      </w:pPr>
      <w:r>
        <w:t>IN WITNESS WHEREOF, the Donors and Trustee have executed this Agreement on November 15, 2026.</w:t>
      </w:r>
    </w:p>
    <w:p>
      <w:pPr>
        <w:spacing w:before="360" w:after="40"/>
      </w:pPr>
      <w:r>
        <w:rPr>
          <w:b/>
        </w:rPr>
        <w:t>__________________________________________________</w:t>
      </w:r>
    </w:p>
    <w:p>
      <w:pPr>
        <w:spacing w:after="240"/>
      </w:pPr>
      <w:r>
        <w:rPr>
          <w:b/>
        </w:rPr>
        <w:t>VICTORIA H. THORNE, Donor</w:t>
      </w:r>
    </w:p>
    <w:p>
      <w:pPr>
        <w:spacing w:before="360" w:after="40"/>
      </w:pPr>
      <w:r>
        <w:rPr>
          <w:b/>
        </w:rPr>
        <w:t>__________________________________________________</w:t>
      </w:r>
    </w:p>
    <w:p>
      <w:pPr>
        <w:spacing w:after="240"/>
      </w:pPr>
      <w:r>
        <w:rPr>
          <w:b/>
        </w:rPr>
        <w:t>ALISTAIR C. THORNE, Donor</w:t>
      </w:r>
    </w:p>
    <w:p>
      <w:pPr>
        <w:spacing w:before="360" w:after="40"/>
      </w:pPr>
      <w:r>
        <w:rPr>
          <w:b/>
        </w:rPr>
        <w:t>__________________________________________________</w:t>
      </w:r>
    </w:p>
    <w:p>
      <w:pPr>
        <w:spacing w:after="240"/>
      </w:pPr>
      <w:r>
        <w:rPr>
          <w:b/>
        </w:rPr>
        <w:t>SAMUEL T. STERLING, Trustee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