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SHAREHOLDERS' BUY-SELL &amp; RECAPITALIZATION AGREEMENT</w:t>
      </w:r>
    </w:p>
    <w:p>
      <w:pPr>
        <w:spacing w:after="240"/>
        <w:jc w:val="center"/>
      </w:pPr>
      <w:r>
        <w:rPr>
          <w:rFonts w:ascii="Times New Roman" w:hAnsi="Times New Roman"/>
          <w:i/>
          <w:sz w:val="22"/>
        </w:rPr>
        <w:t>Cross-Purchase / Wait-and-See Hybrid Succession Plan for [COMPANY NAME, INC.] (IRC § 2703 Compliant)</w:t>
      </w:r>
    </w:p>
    <w:p>
      <w:pPr>
        <w:spacing w:after="240"/>
        <w:pBdr>
          <w:bottom w:val="single" w:sz="12" w:space="1" w:color="1A1A1A"/>
        </w:pBdr>
      </w:pPr>
    </w:p>
    <w:p>
      <w:pPr>
        <w:jc w:val="both"/>
      </w:pPr>
      <w:r>
        <w:t>THIS BUY-SELL AND RECAPITALIZATION AGREEMENT (the "Agreement") is entered into this ______ day of ________________________, 20____, by and among [COMPANY NAME, INC.], a [STATE] corporation (the "Company"), and the Shareholders listed on Schedule A (including the Founders, Active Family Management Shareholders, and Non-Active Family Trusts, collectively the "Shareholders").</w:t>
      </w:r>
    </w:p>
    <w:p>
      <w:pPr>
        <w:keepNext/>
        <w:spacing w:before="280" w:after="120"/>
        <w:jc w:val="left"/>
      </w:pPr>
      <w:r>
        <w:rPr>
          <w:rFonts w:ascii="Times New Roman" w:hAnsi="Times New Roman"/>
          <w:b/>
          <w:sz w:val="24"/>
          <w:u w:val="single"/>
        </w:rPr>
        <w:t>Article I: VOTING &amp; NON-VOTING RECAPITALIZATION FOR ACTIVE VS. NON-ACTIVE HEIRS</w:t>
      </w:r>
    </w:p>
    <w:p>
      <w:pPr>
        <w:jc w:val="both"/>
      </w:pPr>
      <w:r>
        <w:rPr>
          <w:b/>
        </w:rPr>
        <w:t xml:space="preserve">Section 1.01 Dual-Class Equity Recapitalization. </w:t>
      </w:r>
      <w:r>
        <w:t>To separate operational governance from economic value and ensure harmonious family business succession, the Company's equity has been recapitalized into two classes of stock having identical economic rights per share:</w:t>
        <w:br/>
        <w:t>• Class A Voting Common Stock (1% to 5% of total shares): Carries 100% of voting power to elect the Board of Directors and manage corporate operations; restricted exclusively to Active Family Shareholders working full-time in the business ([ACTIVE CHILDREN NAMES]).</w:t>
        <w:br/>
        <w:t>• Class B Non-Voting Common Stock (95% to 99% of total shares): Carries zero voting power but identical dividend and liquidation rights; eligible to be held by Non-Active Family Shareholders, SLATs, GRATs, and Dynasty Trusts.</w:t>
      </w:r>
    </w:p>
    <w:p>
      <w:pPr>
        <w:keepNext/>
        <w:spacing w:before="280" w:after="120"/>
        <w:jc w:val="left"/>
      </w:pPr>
      <w:r>
        <w:rPr>
          <w:rFonts w:ascii="Times New Roman" w:hAnsi="Times New Roman"/>
          <w:b/>
          <w:sz w:val="24"/>
          <w:u w:val="single"/>
        </w:rPr>
        <w:t>Article II: RESTRICTIONS ON TRANSFER &amp; TRIGGERING EVENTS</w:t>
      </w:r>
    </w:p>
    <w:p>
      <w:pPr>
        <w:jc w:val="both"/>
      </w:pPr>
      <w:r>
        <w:rPr>
          <w:b/>
        </w:rPr>
        <w:t xml:space="preserve">Section 2.01 Triggering Events. </w:t>
      </w:r>
      <w:r>
        <w:t>No Shareholder may transfer, encumber, or dispose of any Shares except as permitted herein. The occurrence of any of the following events with respect to a Shareholder (a "Triggering Event") shall trigger the mandatory or optional purchase rights in Article III:</w:t>
        <w:br/>
        <w:t>(a) Death of a Shareholder (Mandatory Buyout unless transferred to a pre-approved Family Trust);</w:t>
        <w:br/>
        <w:t>(b) Permanent Disability (inability to perform executive duties for twelve (12) consecutive months);</w:t>
        <w:br/>
        <w:t>(c) Involuntary Transfer, Bankruptcy, or Creditor Attachment;</w:t>
        <w:br/>
        <w:t>(d) Marital Dissolution / Divorce (if a court attempts to award Shares to a non-family spouse); or</w:t>
        <w:br/>
        <w:t>(e) Voluntary Retirement or Termination of Employment of an Active Class A Shareholder.</w:t>
      </w:r>
    </w:p>
    <w:p>
      <w:pPr>
        <w:keepNext/>
        <w:spacing w:before="280" w:after="120"/>
        <w:jc w:val="left"/>
      </w:pPr>
      <w:r>
        <w:rPr>
          <w:rFonts w:ascii="Times New Roman" w:hAnsi="Times New Roman"/>
          <w:b/>
          <w:sz w:val="24"/>
          <w:u w:val="single"/>
        </w:rPr>
        <w:t>Article III: WAIT-AND-SEE HYBRID / CROSS-PURCHASE MECHANICS (CONNELLY V. UNITED STATES STRUCTURING)</w:t>
      </w:r>
    </w:p>
    <w:p>
      <w:pPr>
        <w:jc w:val="both"/>
      </w:pPr>
      <w:r>
        <w:rPr>
          <w:b/>
        </w:rPr>
        <w:t xml:space="preserve">Section 3.01 Wait-and-See Purchase Priority &amp; Connelly Estate Tax Protection. </w:t>
      </w:r>
      <w:r>
        <w:t>NOTE ON SUPREME COURT COMPLIANCE (Connelly v. United States, 602 U.S. ___ (2024)): Under Connelly, corporate-owned life insurance proceeds used to redeem a deceased shareholder's stock are included in the fair market value of the corporation for federal estate tax purposes without an offsetting liability for the redemption obligation. Accordingly, the parties establish the following priority:</w:t>
        <w:br/>
        <w:t>1. Primary Option — Cross-Purchase by Surviving Shareholders / Insurance LLC (Days 1–60): The surviving Active Shareholders (or a Special Purpose Insurance LLC owned by them) shall have the primary obligation/option to purchase the deceased Shareholder's Shares directly, utilizing Cross-Purchase life insurance proceeds (which do NOT inflate the Company's corporate valuation under Connelly and provide the surviving Shareholders with an income-tax basis step-up under IRC § 1012).</w:t>
        <w:br/>
        <w:t>2. Secondary Option — Company Redemption (Days 61–90): Only to the extent not purchased by the surviving Shareholders, the Company shall redeem the remaining Shares.</w:t>
      </w:r>
    </w:p>
    <w:p>
      <w:pPr>
        <w:keepNext/>
        <w:spacing w:before="280" w:after="120"/>
        <w:jc w:val="left"/>
      </w:pPr>
      <w:r>
        <w:rPr>
          <w:rFonts w:ascii="Times New Roman" w:hAnsi="Times New Roman"/>
          <w:b/>
          <w:sz w:val="24"/>
          <w:u w:val="single"/>
        </w:rPr>
        <w:t>Article IV: VALUATION FORMULA &amp; IRC § 2703 THREE-PRONG SAFE HARBOR</w:t>
      </w:r>
    </w:p>
    <w:p>
      <w:pPr>
        <w:jc w:val="both"/>
      </w:pPr>
      <w:r>
        <w:rPr>
          <w:b/>
        </w:rPr>
        <w:t xml:space="preserve">Section 4.01 IRC § 2703 Compliance Declaration. </w:t>
      </w:r>
      <w:r>
        <w:t>To ensure the purchase price established herein is respected for federal estate, gift, and GST tax purposes under IRC § 2703(b), the parties affirm that: (1) this Agreement is a bona fide business arrangement for the continuity of management; (2) it is not a device to transfer property to family members for less than full and adequate consideration; and (3) its terms are comparable to similar arrangements entered into by persons in an arm's-length transaction.</w:t>
      </w:r>
    </w:p>
    <w:p>
      <w:pPr>
        <w:jc w:val="both"/>
      </w:pPr>
      <w:r>
        <w:rPr>
          <w:b/>
        </w:rPr>
        <w:t xml:space="preserve">Section 4.02 Independent Fair Market Value Appraisal Formula. </w:t>
      </w:r>
      <w:r>
        <w:t>Rather than an artificial fixed dollar price that could be disregarded by the IRS, the Purchase Price per Share shall equal the Fair Market Value determined as of the last day of the fiscal quarter preceding the Triggering Event by an Independent Accredited Business Appraiser (ASA/ABV/CFA), applying standard industry multiples ([e.g., X.X times trailing 3-year weighted average Adjusted EBITDA less Net Debt]) and applicable minority/non-voting and marketability discounts for Class B Shares.</w:t>
      </w:r>
    </w:p>
    <w:p>
      <w:pPr>
        <w:keepNext/>
        <w:spacing w:before="280" w:after="120"/>
        <w:jc w:val="left"/>
      </w:pPr>
      <w:r>
        <w:rPr>
          <w:rFonts w:ascii="Times New Roman" w:hAnsi="Times New Roman"/>
          <w:b/>
          <w:sz w:val="24"/>
          <w:u w:val="single"/>
        </w:rPr>
        <w:t>Article V: LIFE INSURANCE FUNDING &amp; INSTALLMENT PROMISSORY NOTE TERMS</w:t>
      </w:r>
    </w:p>
    <w:p>
      <w:pPr>
        <w:jc w:val="both"/>
      </w:pPr>
      <w:r>
        <w:rPr>
          <w:b/>
        </w:rPr>
        <w:t xml:space="preserve">Section 5.01 Life Insurance Schedule &amp; Excess Proceeds. </w:t>
      </w:r>
      <w:r>
        <w:t>The Cross-Purchase policies listed on Schedule B shall be maintained in full force. At closing upon a Shareholder's death, 100% of the net life insurance proceeds received by the purchasing Shareholders shall be paid in cash toward the Purchase Price.</w:t>
      </w:r>
    </w:p>
    <w:p>
      <w:pPr>
        <w:jc w:val="both"/>
      </w:pPr>
      <w:r>
        <w:rPr>
          <w:b/>
        </w:rPr>
        <w:t xml:space="preserve">Section 5.02 Installment Note for Uninsured Balance or Lifetime Triggers. </w:t>
      </w:r>
      <w:r>
        <w:t>Any portion of the Purchase Price not covered by life insurance proceeds (or payable upon Disability, Divorce, or Retirement) shall be paid by a twenty percent (20%) cash down payment at closing, with the remaining eighty percent (80%) evidenced by a secured Promissory Note payable in forty (40) equal quarterly installments of principal and interest over ten (10) years at the Long-Term Applicable Federal Rate ("AFR"), secured by a pledge of the purchased Shares.</w:t>
      </w:r>
    </w:p>
    <w:p>
      <w:pPr>
        <w:keepNext/>
        <w:spacing w:before="280" w:after="120"/>
        <w:jc w:val="left"/>
      </w:pPr>
      <w:r>
        <w:rPr>
          <w:rFonts w:ascii="Times New Roman" w:hAnsi="Times New Roman"/>
          <w:b/>
          <w:sz w:val="24"/>
          <w:u w:val="single"/>
        </w:rPr>
        <w:t>Schedule A &amp; B: CAPITALIZATION TABLE &amp; CROSS-PURCHASE LIFE INSURANCE POLICIES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Shareholder Name</w:t>
            </w:r>
          </w:p>
        </w:tc>
        <w:tc>
          <w:tcPr>
            <w:tcW w:type="dxa" w:w="1872"/>
          </w:tcPr>
          <w:p>
            <w:r>
              <w:rPr>
                <w:b/>
              </w:rPr>
              <w:t>Class A Voting Shares</w:t>
            </w:r>
          </w:p>
        </w:tc>
        <w:tc>
          <w:tcPr>
            <w:tcW w:type="dxa" w:w="1872"/>
          </w:tcPr>
          <w:p>
            <w:r>
              <w:rPr>
                <w:b/>
              </w:rPr>
              <w:t>Class B Non-Voting Shares</w:t>
            </w:r>
          </w:p>
        </w:tc>
        <w:tc>
          <w:tcPr>
            <w:tcW w:type="dxa" w:w="1872"/>
          </w:tcPr>
          <w:p>
            <w:r>
              <w:rPr>
                <w:b/>
              </w:rPr>
              <w:t>Cross-Purchase Policy # &amp; Insurer</w:t>
            </w:r>
          </w:p>
        </w:tc>
        <w:tc>
          <w:tcPr>
            <w:tcW w:type="dxa" w:w="1872"/>
          </w:tcPr>
          <w:p>
            <w:r>
              <w:rPr>
                <w:b/>
              </w:rPr>
              <w:t>Face Amount</w:t>
            </w:r>
          </w:p>
        </w:tc>
      </w:tr>
      <w:tr>
        <w:tc>
          <w:tcPr>
            <w:tcW w:type="dxa" w:w="1872"/>
          </w:tcPr>
          <w:p>
            <w:r>
              <w:t>[FOUNDER / SENIOR SHAREHOLDER]</w:t>
            </w:r>
          </w:p>
        </w:tc>
        <w:tc>
          <w:tcPr>
            <w:tcW w:type="dxa" w:w="1872"/>
          </w:tcPr>
          <w:p>
            <w:r>
              <w:t>[500] (50% Vote)</w:t>
            </w:r>
          </w:p>
        </w:tc>
        <w:tc>
          <w:tcPr>
            <w:tcW w:type="dxa" w:w="1872"/>
          </w:tcPr>
          <w:p>
            <w:r>
              <w:t>[4,500]</w:t>
            </w:r>
          </w:p>
        </w:tc>
        <w:tc>
          <w:tcPr>
            <w:tcW w:type="dxa" w:w="1872"/>
          </w:tcPr>
          <w:p>
            <w:r>
              <w:t>Policy #[0001] - [INSURER]</w:t>
            </w:r>
          </w:p>
        </w:tc>
        <w:tc>
          <w:tcPr>
            <w:tcW w:type="dxa" w:w="1872"/>
          </w:tcPr>
          <w:p>
            <w:r>
              <w:t>$[10,000,000]</w:t>
            </w:r>
          </w:p>
        </w:tc>
      </w:tr>
      <w:tr>
        <w:tc>
          <w:tcPr>
            <w:tcW w:type="dxa" w:w="1872"/>
          </w:tcPr>
          <w:p>
            <w:r>
              <w:t>[ACTIVE CHILD 1]</w:t>
            </w:r>
          </w:p>
        </w:tc>
        <w:tc>
          <w:tcPr>
            <w:tcW w:type="dxa" w:w="1872"/>
          </w:tcPr>
          <w:p>
            <w:r>
              <w:t>[500] (50% Vote)</w:t>
            </w:r>
          </w:p>
        </w:tc>
        <w:tc>
          <w:tcPr>
            <w:tcW w:type="dxa" w:w="1872"/>
          </w:tcPr>
          <w:p>
            <w:r>
              <w:t>[2,500]</w:t>
            </w:r>
          </w:p>
        </w:tc>
        <w:tc>
          <w:tcPr>
            <w:tcW w:type="dxa" w:w="1872"/>
          </w:tcPr>
          <w:p>
            <w:r>
              <w:t>Policy #[0002] - [INSURER]</w:t>
            </w:r>
          </w:p>
        </w:tc>
        <w:tc>
          <w:tcPr>
            <w:tcW w:type="dxa" w:w="1872"/>
          </w:tcPr>
          <w:p>
            <w:r>
              <w:t>$[5,000,000]</w:t>
            </w:r>
          </w:p>
        </w:tc>
      </w:tr>
      <w:tr>
        <w:tc>
          <w:tcPr>
            <w:tcW w:type="dxa" w:w="1872"/>
          </w:tcPr>
          <w:p>
            <w:r>
              <w:t>[NON-ACTIVE CHILD / DYNASTY TRUST]</w:t>
            </w:r>
          </w:p>
        </w:tc>
        <w:tc>
          <w:tcPr>
            <w:tcW w:type="dxa" w:w="1872"/>
          </w:tcPr>
          <w:p>
            <w:r>
              <w:t>0 (0% Vote)</w:t>
            </w:r>
          </w:p>
        </w:tc>
        <w:tc>
          <w:tcPr>
            <w:tcW w:type="dxa" w:w="1872"/>
          </w:tcPr>
          <w:p>
            <w:r>
              <w:t>[2,000]</w:t>
            </w:r>
          </w:p>
        </w:tc>
        <w:tc>
          <w:tcPr>
            <w:tcW w:type="dxa" w:w="1872"/>
          </w:tcPr>
          <w:p>
            <w:r>
              <w:t>N/A (Economic Holder Only)</w:t>
            </w:r>
          </w:p>
        </w:tc>
        <w:tc>
          <w:tcPr>
            <w:tcW w:type="dxa" w:w="1872"/>
          </w:tcPr>
          <w:p>
            <w:r>
              <w:t>$0</w:t>
            </w:r>
          </w:p>
        </w:tc>
      </w:tr>
    </w:tbl>
    <w:p>
      <w:pPr>
        <w:spacing w:before="320"/>
      </w:pPr>
      <w:r>
        <w:rPr>
          <w:b/>
        </w:rPr>
        <w:t>IN WITNESS WHEREOF, the Company and all Shareholders (and their respective Spouses) have executed this Buy-Sell and Recapitalization Agreement as of the date first written above.</w:t>
        <w:br/>
        <w:br/>
        <w:br/>
        <w:t>COMPANY: [COMPANY NAME, INC.]</w:t>
        <w:br/>
        <w:t>By: __________________________________________________</w:t>
        <w:br/>
        <w:t xml:space="preserve">      [PRESIDENT NAME], President</w:t>
        <w:br/>
        <w:br/>
        <w:t>SHAREHOLDERS &amp; SPOUSAL CONSENTS:</w:t>
        <w:br/>
        <w:t>__________________________________________________          __________________________________________________</w:t>
        <w:br/>
        <w:t>[SHAREHOLDER 1 NAME], Shareholder                           [SPOUSE 1 NAME], Spousal Consent</w:t>
        <w:br/>
        <w:br/>
        <w:t>__________________________________________________          __________________________________________________</w:t>
        <w:br/>
        <w:t>[SHAREHOLDER 2 NAME], Shareholder                           [SPOUSE 2 NAME], Spousal Consent</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the Officers and Shareholders of [COMPANY NAME, INC.],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