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THE [FAMILY LAST NAME] CHARITABLE REMAINDER TRUST AGREEMENT</w:t>
      </w:r>
    </w:p>
    <w:p>
      <w:pPr>
        <w:spacing w:after="240"/>
        <w:jc w:val="center"/>
      </w:pPr>
      <w:r>
        <w:rPr>
          <w:rFonts w:ascii="Times New Roman" w:hAnsi="Times New Roman"/>
          <w:i/>
          <w:sz w:val="22"/>
        </w:rPr>
        <w:t>Tax-Exempt Split-Interest Trust Under IRC § 664 (Compliant with IRS Rev. Proc. 2005-52 / 2003-53 Safe Harbors)</w:t>
      </w:r>
    </w:p>
    <w:p>
      <w:pPr>
        <w:spacing w:after="240"/>
        <w:pBdr>
          <w:bottom w:val="single" w:sz="12" w:space="1" w:color="1A1A1A"/>
        </w:pBdr>
      </w:pPr>
    </w:p>
    <w:p>
      <w:pPr>
        <w:jc w:val="both"/>
      </w:pPr>
      <w:r>
        <w:t>THIS CHARITABLE REMAINDER TRUST AGREEMENT (the "Trust Agreement") is made this ______ day of ________________________, 20____, by and between [DONOR 1 FULL LEGAL NAME] and [DONOR 2 FULL LEGAL NAME] (collectively the "Donor" or "Grantors"), and [TRUSTEE FULL LEGAL NAME] (the "Trustee").</w:t>
      </w:r>
    </w:p>
    <w:p>
      <w:pPr>
        <w:keepNext/>
        <w:spacing w:before="280" w:after="120"/>
        <w:jc w:val="left"/>
      </w:pPr>
      <w:r>
        <w:rPr>
          <w:rFonts w:ascii="Times New Roman" w:hAnsi="Times New Roman"/>
          <w:b/>
          <w:sz w:val="24"/>
          <w:u w:val="single"/>
        </w:rPr>
        <w:t>Article I: IRREVOCABILITY, IRC § 664 QUALIFICATION &amp; STRUCTURAL ELECTION</w:t>
      </w:r>
    </w:p>
    <w:p>
      <w:pPr>
        <w:jc w:val="both"/>
      </w:pPr>
      <w:r>
        <w:rPr>
          <w:b/>
        </w:rPr>
        <w:t xml:space="preserve">Section 1.01 Irrevocability &amp; Tax-Exempt Split-Interest Intent. </w:t>
      </w:r>
      <w:r>
        <w:t>This Trust is strictly IRREVOCABLE and is intended to qualify as a tax-exempt Charitable Remainder Trust within the meaning of Internal Revenue Code ("IRC") § 664 and the Treasury Regulations thereunder, modeled upon the safe-harbor provisions of IRS Revenue Procedures 2005-52 through 2005-59 (for CRUTs) and 2003-53 through 2003-60 (for CRATs). Because the Trust is exempt from federal income tax under IRC § 664(c), the Trustee may sell highly appreciated low-basis stock or commercial real estate contributed to Schedule A with zero immediate capital gains tax recognition.</w:t>
      </w:r>
    </w:p>
    <w:p>
      <w:pPr>
        <w:jc w:val="both"/>
      </w:pPr>
      <w:r>
        <w:rPr>
          <w:b/>
        </w:rPr>
        <w:t xml:space="preserve">Section 1.02 Election of CRT Structure (INITIAL ONE STRUCTURE BELOW): </w:t>
      </w:r>
      <w:r>
        <w:br/>
        <w:t>____ [Option A — Standard Charitable Remainder Unitrust (SCRUT - IRC § 664(d)(2))]: Pays a fixed percentage ([X.XX]%, between 5% and 50%) of the net fair market value of the Trust assets, revalued annually on the Valuation Date.</w:t>
        <w:br/>
        <w:t>____ [Option B — Flip Unitrust (FLIP-CRUT - Treas. Reg. § 1.664-3(a)(1)(i)(c))]: Ideal for illiquid real estate or closely held stock. Operates initially as a Net Income with Make-Up Unitrust (NIMCRUT) paying the lesser of trust accounting income or [X.XX]%, and automatically "flips" to a Standard CRUT on January 1st following the sale of the illiquid asset listed on Schedule A.</w:t>
        <w:br/>
        <w:t>____ [Option C — Charitable Remainder Annuity Trust (CRAT - IRC § 664(d)(1))]: Pays a fixed dollar annuity equal to [X.XX]% of the initial net fair market value of the contributed property; no additional contributions permitted.</w:t>
      </w:r>
    </w:p>
    <w:p>
      <w:pPr>
        <w:keepNext/>
        <w:spacing w:before="280" w:after="120"/>
        <w:jc w:val="left"/>
      </w:pPr>
      <w:r>
        <w:rPr>
          <w:rFonts w:ascii="Times New Roman" w:hAnsi="Times New Roman"/>
          <w:b/>
          <w:sz w:val="24"/>
          <w:u w:val="single"/>
        </w:rPr>
        <w:t>Article II: PAYMENT OF UNITRUST / ANNUITY STREAM TO NONCHARITABLE RECIPIENTS</w:t>
      </w:r>
    </w:p>
    <w:p>
      <w:pPr>
        <w:jc w:val="both"/>
      </w:pPr>
      <w:r>
        <w:rPr>
          <w:b/>
        </w:rPr>
        <w:t xml:space="preserve">Section 2.01 Payment to Recipients for Joint &amp; Survivor Lifetimes (or Term of Up to 20 Years). </w:t>
      </w:r>
      <w:r>
        <w:t>In each taxable year of the Trust during the payment period, the Trustee shall pay to [DONOR 1 NAME] and [DONOR 2 NAME], in equal shares during their joint lifetimes, and upon the death of the first of them to die, 100% to the survivor of them for their remaining lifetime (the "Recipients"), the Unitrust/Annuity Amount elected in Section 1.02, paid in equal quarterly installments at the end of each calendar quarter.</w:t>
      </w:r>
    </w:p>
    <w:p>
      <w:pPr>
        <w:jc w:val="both"/>
      </w:pPr>
      <w:r>
        <w:rPr>
          <w:b/>
        </w:rPr>
        <w:t xml:space="preserve">Section 2.02 Four-Tier Income Taxation Accounting (IRC § 664(b)). </w:t>
      </w:r>
      <w:r>
        <w:t>The Trustee shall maintain accounting records tracking distributions to the Recipients under the mandatory four-tier system of IRC § 664(b): (1) First, as ordinary income (current and accumulated); (2) Second, as capital gains (short-term then long-term); (3) Third, as other/tax-exempt income; and (4) Fourth, as a tax-free return of corpus.</w:t>
      </w:r>
    </w:p>
    <w:p>
      <w:pPr>
        <w:jc w:val="both"/>
      </w:pPr>
      <w:r>
        <w:rPr>
          <w:b/>
        </w:rPr>
        <w:t xml:space="preserve">Section 2.03 Proration of Short Taxable Years &amp; Incorrect Valuations. </w:t>
      </w:r>
      <w:r>
        <w:t>In determining the payout for any short taxable year or the year of the Survivor Recipient's death, the Trustee shall prorate the amount on a daily basis under Treas. Reg. § 1.664-3(a)(1)(v). Any underpayment or overpayment resulting from an incorrect valuation of assets shall be adjusted within a reasonable period after final determination.</w:t>
      </w:r>
    </w:p>
    <w:p>
      <w:pPr>
        <w:keepNext/>
        <w:spacing w:before="280" w:after="120"/>
        <w:jc w:val="left"/>
      </w:pPr>
      <w:r>
        <w:rPr>
          <w:rFonts w:ascii="Times New Roman" w:hAnsi="Times New Roman"/>
          <w:b/>
          <w:sz w:val="24"/>
          <w:u w:val="single"/>
        </w:rPr>
        <w:t>Article III: MANDATORY STATUTORY TESTS (5%–50% CORRIDOR &amp; 10% MINIMUM REMAINDER)</w:t>
      </w:r>
    </w:p>
    <w:p>
      <w:pPr>
        <w:jc w:val="both"/>
      </w:pPr>
      <w:r>
        <w:rPr>
          <w:b/>
        </w:rPr>
        <w:t xml:space="preserve">Section 3.01 Verification of Statutory Actuarial Requirements. </w:t>
      </w:r>
      <w:r>
        <w:t>Prior to funding, the Donor's tax advisors have verified using the IRC § 7520 actuarial rate of [X.XX]% that:</w:t>
        <w:br/>
        <w:t>(a) Payout Rate Corridor (IRC § 664(d)(1)(A) / (d)(2)(A)): The annual payout percentage is at least five percent (5.00%) and does not exceed fifty percent (50.00%);</w:t>
        <w:br/>
        <w:t>(b) 10% Minimum Charitable Remainder Test (IRC § 664(d)(1)(D) / (d)(2)(D)): The present actuarial value of the charitable remainder interest equals at least ten percent (10.00%) of the initial net fair market value of all property placed in the Trust (Calculated Actuarial Remainder: [XX.XX]%); and</w:t>
        <w:br/>
        <w:t>(c) 5% Probability of Exhaustion Test (Rev. Rul. 77-374, if a CRAT): The probability that the noncharitable annuity recipients will survive the exhaustion of the trust fund is less than five percent (5%).</w:t>
      </w:r>
    </w:p>
    <w:p>
      <w:pPr>
        <w:keepNext/>
        <w:spacing w:before="280" w:after="120"/>
        <w:jc w:val="left"/>
      </w:pPr>
      <w:r>
        <w:rPr>
          <w:rFonts w:ascii="Times New Roman" w:hAnsi="Times New Roman"/>
          <w:b/>
          <w:sz w:val="24"/>
          <w:u w:val="single"/>
        </w:rPr>
        <w:t>Article IV: DISTRIBUTION OF REMAINDER TO FAMILY FOUNDATION / DONOR-ADVISED FUND</w:t>
      </w:r>
    </w:p>
    <w:p>
      <w:pPr>
        <w:jc w:val="both"/>
      </w:pPr>
      <w:r>
        <w:rPr>
          <w:b/>
        </w:rPr>
        <w:t xml:space="preserve">Section 4.01 Charitable Remaindermen (IRC §§ 170(c), 2055(a), and 2522(a)). </w:t>
      </w:r>
      <w:r>
        <w:t>Upon the death of the survivor of the Recipients (or expiration of the term of years), the Trustee shall distribute all of the then-remaining principal and income of the Trust (other than any amount due to the Recipients or their estates) to:</w:t>
        <w:br/>
        <w:t>• Primary Charitable Remainderman (100%): [THE [FAMILY LAST NAME] PRIVATE FAMILY FOUNDATION / THE [FAMILY LAST NAME] DONOR-ADVISED FUND AT SCHWAB CHARITABLE / FIDELITY CHARITABLE], an organization described in IRC §§ 170(c), 2055(a), and 2522(a) (and, if a public charity or DAF is required to maximize AGI deduction limits for closely held stock, also described in IRC § 170(b)(1)(A)).</w:t>
      </w:r>
    </w:p>
    <w:p>
      <w:pPr>
        <w:jc w:val="both"/>
      </w:pPr>
      <w:r>
        <w:rPr>
          <w:b/>
        </w:rPr>
        <w:t xml:space="preserve">Section 4.02 Cy Pres / Alternate Qualified Charity Clause. </w:t>
      </w:r>
      <w:r>
        <w:t>If the named Charitable Remainderman is not an organization described in IRC §§ 170(c), 2055(a), and 2522(a) at the time when any principal or income of the Trust is to be distributed to it, then the Trustee shall distribute such principal or income to one or more organizations described in said sections as the Trustee shall select in its sole discretion.</w:t>
      </w:r>
    </w:p>
    <w:p>
      <w:pPr>
        <w:keepNext/>
        <w:spacing w:before="280" w:after="120"/>
        <w:jc w:val="left"/>
      </w:pPr>
      <w:r>
        <w:rPr>
          <w:rFonts w:ascii="Times New Roman" w:hAnsi="Times New Roman"/>
          <w:b/>
          <w:sz w:val="24"/>
          <w:u w:val="single"/>
        </w:rPr>
        <w:t>Article V: PRIVATE FOUNDATION EXCISE TAX PROHIBITIONS (IRC §§ 4941–4945)</w:t>
      </w:r>
    </w:p>
    <w:p>
      <w:pPr>
        <w:jc w:val="both"/>
      </w:pPr>
      <w:r>
        <w:rPr>
          <w:b/>
        </w:rPr>
        <w:t xml:space="preserve">Section 5.01 Prohibited Transactions. </w:t>
      </w:r>
      <w:r>
        <w:t>The Trustee is strictly prohibited from engaging in any act of self-dealing as defined in IRC § 4941(d) (including allowing the Donor or family members to reside in or lease any real estate owned by the Trust), from making any taxable expenditures as defined in IRC § 4945(d), and, if applicable, from retaining any excess business holdings (IRC § 4943) or making jeopardizing investments (IRC § 4944).</w:t>
      </w:r>
    </w:p>
    <w:p>
      <w:pPr>
        <w:spacing w:before="320"/>
      </w:pPr>
      <w:r>
        <w:rPr>
          <w:b/>
        </w:rPr>
        <w:t>IN WITNESS WHEREOF, the Donors and Trustee have executed this Charitable Remainder Trust Agreement on the date first written above.</w:t>
        <w:br/>
        <w:br/>
        <w:br/>
        <w:t>__________________________________________________          __________________________________________________</w:t>
        <w:br/>
        <w:t>[DONOR 1 FULL LEGAL NAME], Donor                            [DONOR 2 FULL LEGAL NAME], Donor</w:t>
        <w:br/>
        <w:br/>
        <w:t>__________________________________________________</w:t>
        <w:br/>
        <w:t>[TRUSTEE FULL LEGAL NAME], Trustee</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[DONOR 1 FULL LEGAL NAME], [DONOR 2 FULL LEGAL NAME], and [TRUSTEE FULL LEGAL NAME],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