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3D30" w14:textId="184F800F" w:rsidR="00AE2DDE" w:rsidRDefault="00083449" w:rsidP="003173F5">
      <w:proofErr w:type="spellStart"/>
      <w:r w:rsidRPr="00083449">
        <w:t>DeepYield-ResNet</w:t>
      </w:r>
      <w:proofErr w:type="spellEnd"/>
      <w:r w:rsidRPr="00083449">
        <w:t>: A High-Resolution Residual LSTM-Attention Network for Spatiotemporal Wheat Yield Prediction in Water-Limited Environments</w:t>
      </w:r>
      <w:r>
        <w:t xml:space="preserve"> </w:t>
      </w:r>
    </w:p>
    <w:p w14:paraId="76B8B029" w14:textId="77777777" w:rsidR="00110516" w:rsidRDefault="00110516" w:rsidP="00110516">
      <w:pPr>
        <w:pStyle w:val="ListParagraph"/>
        <w:numPr>
          <w:ilvl w:val="0"/>
          <w:numId w:val="3"/>
        </w:numPr>
      </w:pPr>
      <w:r>
        <w:t>"High-Resolution" = You used 5km Gridded Data (not Shire averages).</w:t>
      </w:r>
    </w:p>
    <w:p w14:paraId="2A8085BA" w14:textId="77777777" w:rsidR="00110516" w:rsidRDefault="00110516" w:rsidP="00110516">
      <w:pPr>
        <w:pStyle w:val="ListParagraph"/>
        <w:numPr>
          <w:ilvl w:val="0"/>
          <w:numId w:val="3"/>
        </w:numPr>
      </w:pPr>
      <w:r>
        <w:t>"Residual LSTM-Attention" = Your specific architecture (</w:t>
      </w:r>
      <w:proofErr w:type="spellStart"/>
      <w:r>
        <w:t>DeepYield-ResNet</w:t>
      </w:r>
      <w:proofErr w:type="spellEnd"/>
      <w:r>
        <w:t>).</w:t>
      </w:r>
    </w:p>
    <w:p w14:paraId="00744FF3" w14:textId="77777777" w:rsidR="00110516" w:rsidRDefault="00110516" w:rsidP="00110516">
      <w:pPr>
        <w:pStyle w:val="ListParagraph"/>
        <w:numPr>
          <w:ilvl w:val="0"/>
          <w:numId w:val="3"/>
        </w:numPr>
      </w:pPr>
      <w:r>
        <w:t>"Spatiotemporal" = You predicted maps using time-series.</w:t>
      </w:r>
    </w:p>
    <w:p w14:paraId="689DB8AA" w14:textId="71812772" w:rsidR="00110516" w:rsidRDefault="00110516" w:rsidP="00110516">
      <w:pPr>
        <w:pStyle w:val="ListParagraph"/>
        <w:numPr>
          <w:ilvl w:val="0"/>
          <w:numId w:val="3"/>
        </w:numPr>
      </w:pPr>
      <w:r>
        <w:t>"Water-Limited" = Your model proved that Rain &amp; Drought Memory are the kings of yield.</w:t>
      </w:r>
    </w:p>
    <w:p w14:paraId="2769A499" w14:textId="32E63623" w:rsidR="009B726B" w:rsidRDefault="009B726B" w:rsidP="00083449">
      <w:pPr>
        <w:pStyle w:val="Heading1"/>
        <w:numPr>
          <w:ilvl w:val="0"/>
          <w:numId w:val="0"/>
        </w:numPr>
        <w:ind w:left="432" w:hanging="432"/>
      </w:pPr>
      <w:r>
        <w:t>Abstract</w:t>
      </w:r>
    </w:p>
    <w:p w14:paraId="44B7B308" w14:textId="77777777" w:rsidR="009B726B" w:rsidRDefault="009B726B" w:rsidP="003173F5">
      <w:pPr>
        <w:pStyle w:val="Heading1"/>
        <w:sectPr w:rsidR="009B726B" w:rsidSect="006E7880">
          <w:pgSz w:w="11906" w:h="16838"/>
          <w:pgMar w:top="1440" w:right="1080" w:bottom="1440" w:left="1080" w:header="708" w:footer="708" w:gutter="0"/>
          <w:cols w:space="708"/>
          <w:docGrid w:linePitch="360"/>
        </w:sectPr>
      </w:pPr>
    </w:p>
    <w:p w14:paraId="4416B6CE" w14:textId="0227D184" w:rsidR="00AE2DDE" w:rsidRDefault="00AE2DDE" w:rsidP="003173F5">
      <w:pPr>
        <w:pStyle w:val="Heading1"/>
      </w:pPr>
      <w:r>
        <w:lastRenderedPageBreak/>
        <w:t>Introduction</w:t>
      </w:r>
    </w:p>
    <w:p w14:paraId="1C679EFB" w14:textId="7C8DFD77" w:rsidR="00AE2DDE" w:rsidRPr="00AE2DDE" w:rsidRDefault="00AE2DDE" w:rsidP="00AE2DDE"/>
    <w:p w14:paraId="0AA28368" w14:textId="77777777" w:rsidR="00F46ADC" w:rsidRDefault="00F46ADC" w:rsidP="003173F5">
      <w:pPr>
        <w:pStyle w:val="Heading1"/>
        <w:sectPr w:rsidR="00F46ADC" w:rsidSect="006E7880">
          <w:pgSz w:w="11906" w:h="16838"/>
          <w:pgMar w:top="1440" w:right="1080" w:bottom="1440" w:left="1080" w:header="708" w:footer="708" w:gutter="0"/>
          <w:cols w:space="708"/>
          <w:docGrid w:linePitch="360"/>
        </w:sectPr>
      </w:pPr>
    </w:p>
    <w:p w14:paraId="23007E17" w14:textId="70C1E35A" w:rsidR="007F4C35" w:rsidRDefault="00AE2DDE" w:rsidP="003173F5">
      <w:pPr>
        <w:pStyle w:val="Heading1"/>
      </w:pPr>
      <w:r>
        <w:lastRenderedPageBreak/>
        <w:t xml:space="preserve">Material and </w:t>
      </w:r>
      <w:r w:rsidR="007F4C35">
        <w:t>Method</w:t>
      </w:r>
    </w:p>
    <w:p w14:paraId="339C8E9A" w14:textId="10A8844E" w:rsidR="00433BC3" w:rsidRDefault="00433BC3" w:rsidP="00433BC3">
      <w:r>
        <w:t xml:space="preserve">A high-level overview of each </w:t>
      </w:r>
      <w:r w:rsidR="003C76F8">
        <w:t>process</w:t>
      </w:r>
      <w:r>
        <w:t xml:space="preserve"> involved in this study to build deep learning yield forecasting is given in Fig 1.</w:t>
      </w:r>
    </w:p>
    <w:tbl>
      <w:tblPr>
        <w:tblStyle w:val="TableGrid"/>
        <w:tblW w:w="0" w:type="auto"/>
        <w:tblLook w:val="04A0" w:firstRow="1" w:lastRow="0" w:firstColumn="1" w:lastColumn="0" w:noHBand="0" w:noVBand="1"/>
      </w:tblPr>
      <w:tblGrid>
        <w:gridCol w:w="9736"/>
      </w:tblGrid>
      <w:tr w:rsidR="00A22951" w14:paraId="0FD31D1E" w14:textId="77777777" w:rsidTr="00A22951">
        <w:tc>
          <w:tcPr>
            <w:tcW w:w="9736" w:type="dxa"/>
          </w:tcPr>
          <w:p w14:paraId="17757340" w14:textId="77777777" w:rsidR="00A22951" w:rsidRDefault="00A22951" w:rsidP="00433BC3"/>
        </w:tc>
      </w:tr>
      <w:tr w:rsidR="00A22951" w14:paraId="6C38A94B" w14:textId="77777777" w:rsidTr="00A22951">
        <w:tc>
          <w:tcPr>
            <w:tcW w:w="9736" w:type="dxa"/>
          </w:tcPr>
          <w:p w14:paraId="3110CA96" w14:textId="22126742" w:rsidR="00A22951" w:rsidRDefault="00DD1F92" w:rsidP="00433BC3">
            <w:r w:rsidRPr="002828E8">
              <w:rPr>
                <w:i/>
                <w:iCs/>
              </w:rPr>
              <w:t xml:space="preserve">Figure </w:t>
            </w:r>
            <w:r>
              <w:rPr>
                <w:i/>
                <w:iCs/>
              </w:rPr>
              <w:t>1</w:t>
            </w:r>
            <w:r w:rsidRPr="002828E8">
              <w:rPr>
                <w:i/>
                <w:iCs/>
              </w:rPr>
              <w:t>.</w:t>
            </w:r>
            <w:r>
              <w:rPr>
                <w:i/>
                <w:iCs/>
              </w:rPr>
              <w:t xml:space="preserve"> Overall process chart</w:t>
            </w:r>
          </w:p>
        </w:tc>
      </w:tr>
    </w:tbl>
    <w:p w14:paraId="75131832" w14:textId="77777777" w:rsidR="00433BC3" w:rsidRPr="00433BC3" w:rsidRDefault="00433BC3" w:rsidP="00433BC3"/>
    <w:p w14:paraId="4EFB692B" w14:textId="358B8569" w:rsidR="00A8525E" w:rsidRDefault="00A8525E" w:rsidP="00A8525E">
      <w:pPr>
        <w:pStyle w:val="Heading2"/>
      </w:pPr>
      <w:r>
        <w:t>Study Area</w:t>
      </w:r>
    </w:p>
    <w:p w14:paraId="2375369A" w14:textId="66C2C1D8" w:rsidR="00D30E32" w:rsidRDefault="00D8791B" w:rsidP="003E50C6">
      <w:r>
        <w:t xml:space="preserve">The Western Australia Wheatbelt is one of the primary agricultural regions in Australia, stretching from north of Geraldton to the south coast at </w:t>
      </w:r>
      <w:r w:rsidR="003E50C6">
        <w:t>Esperance,</w:t>
      </w:r>
      <w:r>
        <w:t xml:space="preserve"> covering ~150,000 km</w:t>
      </w:r>
      <w:r w:rsidRPr="00D8791B">
        <w:rPr>
          <w:vertAlign w:val="superscript"/>
        </w:rPr>
        <w:t>2</w:t>
      </w:r>
      <w:r>
        <w:t>.</w:t>
      </w:r>
      <w:r w:rsidR="003E50C6">
        <w:t xml:space="preserve"> Wheat is the flagship crop, and barley, canola, and oats are other well-known crops, with production spanning 5725 agricultural holdings.</w:t>
      </w:r>
      <w:r w:rsidR="00024A1E">
        <w:t xml:space="preserve"> </w:t>
      </w:r>
      <w:r w:rsidR="00F369DA" w:rsidRPr="00F369DA">
        <w:t xml:space="preserve">Annual precipitation is often elevated in the southwest, ranging from 700 to 900 mm, and diminished in the northeast </w:t>
      </w:r>
      <w:r w:rsidR="00F369DA">
        <w:t xml:space="preserve">to </w:t>
      </w:r>
      <w:r w:rsidR="00F369DA" w:rsidRPr="00F369DA">
        <w:t>approximately 200 mm</w:t>
      </w:r>
      <w:r w:rsidR="00024A1E">
        <w:t xml:space="preserve">. </w:t>
      </w:r>
      <w:r w:rsidR="00F369DA" w:rsidRPr="00F369DA">
        <w:t xml:space="preserve">The ongoing </w:t>
      </w:r>
      <w:r w:rsidR="002710C8">
        <w:t>temperature rise</w:t>
      </w:r>
      <w:r w:rsidR="00F369DA" w:rsidRPr="00F369DA">
        <w:t xml:space="preserve"> is causing a drying trend and is anticipated to increase by 1% to 2% by 2050, increasing the danger of agricultural drought</w:t>
      </w:r>
      <w:r w:rsidR="00F369DA">
        <w:t xml:space="preserve">. </w:t>
      </w:r>
      <w:r w:rsidR="00665DE2">
        <w:t xml:space="preserve">This is </w:t>
      </w:r>
      <w:r w:rsidR="00E36ED5">
        <w:t xml:space="preserve">a </w:t>
      </w:r>
      <w:r w:rsidR="00665DE2">
        <w:t>serious problem</w:t>
      </w:r>
      <w:r w:rsidR="00E36ED5">
        <w:t>,</w:t>
      </w:r>
      <w:r w:rsidR="00665DE2">
        <w:t xml:space="preserve"> particularly for crop production across the wheatbelt, where it has noted that the production has increased </w:t>
      </w:r>
      <w:r w:rsidR="009B7DAC">
        <w:t xml:space="preserve">from two million to 10 million tonnes per year </w:t>
      </w:r>
      <w:r w:rsidR="00E36ED5">
        <w:t>over the</w:t>
      </w:r>
      <w:r w:rsidR="009B7DAC">
        <w:t xml:space="preserve"> past 100 years. </w:t>
      </w:r>
    </w:p>
    <w:tbl>
      <w:tblPr>
        <w:tblStyle w:val="TableGrid"/>
        <w:tblW w:w="0" w:type="auto"/>
        <w:tblLook w:val="04A0" w:firstRow="1" w:lastRow="0" w:firstColumn="1" w:lastColumn="0" w:noHBand="0" w:noVBand="1"/>
      </w:tblPr>
      <w:tblGrid>
        <w:gridCol w:w="9736"/>
      </w:tblGrid>
      <w:tr w:rsidR="007F0D0D" w14:paraId="1A821CA2" w14:textId="77777777">
        <w:tc>
          <w:tcPr>
            <w:tcW w:w="9736" w:type="dxa"/>
          </w:tcPr>
          <w:p w14:paraId="35B276BE" w14:textId="77777777" w:rsidR="007F0D0D" w:rsidRDefault="007F0D0D"/>
        </w:tc>
      </w:tr>
      <w:tr w:rsidR="007F0D0D" w14:paraId="3BBF64EA" w14:textId="77777777">
        <w:tc>
          <w:tcPr>
            <w:tcW w:w="9736" w:type="dxa"/>
          </w:tcPr>
          <w:p w14:paraId="0C9142E1" w14:textId="1DE04309" w:rsidR="007F0D0D" w:rsidRPr="002828E8" w:rsidRDefault="007F0D0D" w:rsidP="00DD1F92">
            <w:pPr>
              <w:jc w:val="left"/>
              <w:rPr>
                <w:i/>
                <w:iCs/>
              </w:rPr>
            </w:pPr>
            <w:r w:rsidRPr="002828E8">
              <w:rPr>
                <w:i/>
                <w:iCs/>
              </w:rPr>
              <w:t xml:space="preserve">Figure </w:t>
            </w:r>
            <w:r w:rsidR="00DD1F92">
              <w:rPr>
                <w:i/>
                <w:iCs/>
              </w:rPr>
              <w:t>2</w:t>
            </w:r>
            <w:r w:rsidRPr="002828E8">
              <w:rPr>
                <w:i/>
                <w:iCs/>
              </w:rPr>
              <w:t>.</w:t>
            </w:r>
            <w:r w:rsidR="009557DA">
              <w:rPr>
                <w:i/>
                <w:iCs/>
              </w:rPr>
              <w:t xml:space="preserve"> Western Australia Wheatbelt</w:t>
            </w:r>
          </w:p>
        </w:tc>
      </w:tr>
    </w:tbl>
    <w:p w14:paraId="27990DC8" w14:textId="77777777" w:rsidR="007F0D0D" w:rsidRPr="00D8791B" w:rsidRDefault="007F0D0D" w:rsidP="003E50C6"/>
    <w:p w14:paraId="0BEDA49B" w14:textId="57F61983" w:rsidR="00A8525E" w:rsidRDefault="00A8525E" w:rsidP="00A8525E">
      <w:pPr>
        <w:pStyle w:val="Heading2"/>
      </w:pPr>
      <w:r>
        <w:t>Data Sources and Data Preprocessing</w:t>
      </w:r>
    </w:p>
    <w:p w14:paraId="2662033F" w14:textId="5D196674" w:rsidR="00796700" w:rsidRDefault="006B37D6" w:rsidP="006B37D6">
      <w:r>
        <w:t xml:space="preserve">The Australian Bureau of Agricultural and Resource Economics and Sciences (ABARES) generated a set of simulated annual farm data using the </w:t>
      </w:r>
      <w:proofErr w:type="spellStart"/>
      <w:r w:rsidRPr="00413AF0">
        <w:rPr>
          <w:i/>
          <w:iCs/>
        </w:rPr>
        <w:t>Farmpredict</w:t>
      </w:r>
      <w:proofErr w:type="spellEnd"/>
      <w:r>
        <w:t xml:space="preserve"> model (Hughes et al., 2022). This gridded dataset, </w:t>
      </w:r>
      <w:r w:rsidR="00DF7A69">
        <w:t>with a spatial resolution of 0.05° (~5 km), is derived from ABARES industry survey data and</w:t>
      </w:r>
      <w:r>
        <w:t xml:space="preserve"> gridded climate inputs. Annual wheat yield (t/ha) data spanning 1991–2023 were extracted for all identified wheat-growing grids included in this study. To ensure spatial and temporal consistency, corresponding gridded climate data were obtained from the SILO (Scientific Information for Land Owners) database for the same period. The selected climate predictors included rainfall, minimum and maximum temperature, solar radiation, evapotranspiration, vapour pressure, and vapour pressure deficit, which are widely recognised as yield-driven variables in crop forecasting studies. In addition to raw meteorological variables representing instantaneous climatic conditions, drought indices</w:t>
      </w:r>
      <w:r w:rsidR="00995F8F">
        <w:t xml:space="preserve">, </w:t>
      </w:r>
      <w:r>
        <w:t xml:space="preserve">namely SPI and SPEI at 1-, 3-, 6-, and 12-month scales, were derived to capture accumulated moisture anomalies and crop water stress dynamics. </w:t>
      </w:r>
      <w:r w:rsidR="00340955">
        <w:t xml:space="preserve">Climate variables in non-growing months do not biologically contribute to that year’s </w:t>
      </w:r>
      <w:r w:rsidR="00294970">
        <w:t>yield, including</w:t>
      </w:r>
      <w:r w:rsidR="00340955">
        <w:t xml:space="preserve"> them introduces unnecessary learning patterns for the model </w:t>
      </w:r>
      <w:r w:rsidR="00294970">
        <w:t>development</w:t>
      </w:r>
      <w:r w:rsidR="00340955">
        <w:t xml:space="preserve">. Therefore, specifically the wheat growing </w:t>
      </w:r>
      <w:r w:rsidR="00294970">
        <w:t xml:space="preserve">sequence time period (May-October) </w:t>
      </w:r>
      <w:r w:rsidR="00294970" w:rsidRPr="00294970">
        <w:rPr>
          <w:color w:val="EE0000"/>
        </w:rPr>
        <w:t>[citation]</w:t>
      </w:r>
      <w:r w:rsidR="00294970">
        <w:t xml:space="preserve"> is considered for each year, thereby the learning will be forced to focus specifically on the phenological stages. </w:t>
      </w:r>
    </w:p>
    <w:p w14:paraId="3DF5FD28" w14:textId="4E04AC6C" w:rsidR="006B37D6" w:rsidRDefault="006B37D6" w:rsidP="006B37D6">
      <w:r>
        <w:t>A summary of all variables, including their temporal resolution, units, and data sources, is provided in Table 1.</w:t>
      </w:r>
    </w:p>
    <w:p w14:paraId="1398B7FD" w14:textId="77777777" w:rsidR="004440B5" w:rsidRDefault="004440B5" w:rsidP="004440B5">
      <w:r>
        <w:t>Table 1</w:t>
      </w:r>
    </w:p>
    <w:tbl>
      <w:tblPr>
        <w:tblStyle w:val="TableGrid"/>
        <w:tblW w:w="0" w:type="auto"/>
        <w:tblLook w:val="04A0" w:firstRow="1" w:lastRow="0" w:firstColumn="1" w:lastColumn="0" w:noHBand="0" w:noVBand="1"/>
      </w:tblPr>
      <w:tblGrid>
        <w:gridCol w:w="1963"/>
        <w:gridCol w:w="2274"/>
        <w:gridCol w:w="1812"/>
        <w:gridCol w:w="1924"/>
        <w:gridCol w:w="1763"/>
      </w:tblGrid>
      <w:tr w:rsidR="004440B5" w14:paraId="25824E37" w14:textId="77777777" w:rsidTr="00F25FFA">
        <w:tc>
          <w:tcPr>
            <w:tcW w:w="1996" w:type="dxa"/>
            <w:vAlign w:val="center"/>
          </w:tcPr>
          <w:p w14:paraId="64D71589" w14:textId="77777777" w:rsidR="004440B5" w:rsidRDefault="004440B5" w:rsidP="00F25FFA">
            <w:pPr>
              <w:jc w:val="left"/>
            </w:pPr>
            <w:r>
              <w:lastRenderedPageBreak/>
              <w:t>Category</w:t>
            </w:r>
          </w:p>
        </w:tc>
        <w:tc>
          <w:tcPr>
            <w:tcW w:w="2289" w:type="dxa"/>
            <w:vAlign w:val="center"/>
          </w:tcPr>
          <w:p w14:paraId="2A62248D" w14:textId="77777777" w:rsidR="004440B5" w:rsidRDefault="004440B5" w:rsidP="00F25FFA">
            <w:pPr>
              <w:jc w:val="left"/>
            </w:pPr>
            <w:r>
              <w:t>Name</w:t>
            </w:r>
          </w:p>
        </w:tc>
        <w:tc>
          <w:tcPr>
            <w:tcW w:w="1847" w:type="dxa"/>
            <w:vAlign w:val="center"/>
          </w:tcPr>
          <w:p w14:paraId="122111C3" w14:textId="77777777" w:rsidR="004440B5" w:rsidRDefault="004440B5" w:rsidP="00F25FFA">
            <w:pPr>
              <w:jc w:val="left"/>
            </w:pPr>
            <w:r>
              <w:t>Temporal resolution</w:t>
            </w:r>
          </w:p>
        </w:tc>
        <w:tc>
          <w:tcPr>
            <w:tcW w:w="1951" w:type="dxa"/>
            <w:vAlign w:val="center"/>
          </w:tcPr>
          <w:p w14:paraId="19B325D5" w14:textId="77777777" w:rsidR="004440B5" w:rsidRDefault="004440B5" w:rsidP="00F25FFA">
            <w:pPr>
              <w:jc w:val="left"/>
            </w:pPr>
            <w:r>
              <w:t>Variable (unit)</w:t>
            </w:r>
          </w:p>
        </w:tc>
        <w:tc>
          <w:tcPr>
            <w:tcW w:w="1653" w:type="dxa"/>
            <w:vAlign w:val="center"/>
          </w:tcPr>
          <w:p w14:paraId="08BF1481" w14:textId="77777777" w:rsidR="004440B5" w:rsidRDefault="004440B5" w:rsidP="00F25FFA">
            <w:pPr>
              <w:jc w:val="left"/>
            </w:pPr>
            <w:r>
              <w:t>Source</w:t>
            </w:r>
          </w:p>
        </w:tc>
      </w:tr>
      <w:tr w:rsidR="004440B5" w14:paraId="35CCF09B" w14:textId="77777777" w:rsidTr="00F25FFA">
        <w:tc>
          <w:tcPr>
            <w:tcW w:w="1996" w:type="dxa"/>
            <w:vAlign w:val="center"/>
          </w:tcPr>
          <w:p w14:paraId="12FF540C" w14:textId="77777777" w:rsidR="004440B5" w:rsidRDefault="004440B5" w:rsidP="00F25FFA">
            <w:pPr>
              <w:jc w:val="left"/>
            </w:pPr>
            <w:r>
              <w:t>Crop</w:t>
            </w:r>
          </w:p>
        </w:tc>
        <w:tc>
          <w:tcPr>
            <w:tcW w:w="2289" w:type="dxa"/>
            <w:vAlign w:val="center"/>
          </w:tcPr>
          <w:p w14:paraId="68480F72" w14:textId="77777777" w:rsidR="004440B5" w:rsidRDefault="004440B5" w:rsidP="00F25FFA">
            <w:pPr>
              <w:jc w:val="left"/>
            </w:pPr>
            <w:r>
              <w:t>wheat yield</w:t>
            </w:r>
          </w:p>
        </w:tc>
        <w:tc>
          <w:tcPr>
            <w:tcW w:w="1847" w:type="dxa"/>
            <w:vAlign w:val="center"/>
          </w:tcPr>
          <w:p w14:paraId="2F85865F" w14:textId="77777777" w:rsidR="004440B5" w:rsidRDefault="004440B5" w:rsidP="00F25FFA">
            <w:pPr>
              <w:jc w:val="left"/>
            </w:pPr>
            <w:r>
              <w:t>yearly</w:t>
            </w:r>
          </w:p>
        </w:tc>
        <w:tc>
          <w:tcPr>
            <w:tcW w:w="1951" w:type="dxa"/>
            <w:vAlign w:val="center"/>
          </w:tcPr>
          <w:p w14:paraId="3080AAF4" w14:textId="77777777" w:rsidR="004440B5" w:rsidRDefault="004440B5" w:rsidP="00F25FFA">
            <w:pPr>
              <w:jc w:val="left"/>
            </w:pPr>
            <w:r>
              <w:t>yield (t/ha)</w:t>
            </w:r>
          </w:p>
        </w:tc>
        <w:tc>
          <w:tcPr>
            <w:tcW w:w="1653" w:type="dxa"/>
            <w:vAlign w:val="center"/>
          </w:tcPr>
          <w:p w14:paraId="532B0E35" w14:textId="77777777" w:rsidR="004440B5" w:rsidRDefault="004440B5" w:rsidP="00F25FFA">
            <w:pPr>
              <w:jc w:val="left"/>
            </w:pPr>
            <w:r>
              <w:t>ABARES</w:t>
            </w:r>
          </w:p>
        </w:tc>
      </w:tr>
      <w:tr w:rsidR="004440B5" w14:paraId="7AF7E38F" w14:textId="77777777" w:rsidTr="00F25FFA">
        <w:tc>
          <w:tcPr>
            <w:tcW w:w="1996" w:type="dxa"/>
            <w:vAlign w:val="center"/>
          </w:tcPr>
          <w:p w14:paraId="12372CA0" w14:textId="77777777" w:rsidR="004440B5" w:rsidRDefault="004440B5" w:rsidP="00F25FFA">
            <w:pPr>
              <w:jc w:val="left"/>
            </w:pPr>
            <w:r>
              <w:t>Weather</w:t>
            </w:r>
          </w:p>
        </w:tc>
        <w:tc>
          <w:tcPr>
            <w:tcW w:w="2289" w:type="dxa"/>
            <w:vAlign w:val="center"/>
          </w:tcPr>
          <w:p w14:paraId="69B7A015" w14:textId="77777777" w:rsidR="004440B5" w:rsidRDefault="004440B5" w:rsidP="00F25FFA">
            <w:pPr>
              <w:jc w:val="left"/>
            </w:pPr>
            <w:r>
              <w:t>rainfall</w:t>
            </w:r>
          </w:p>
        </w:tc>
        <w:tc>
          <w:tcPr>
            <w:tcW w:w="1847" w:type="dxa"/>
            <w:vAlign w:val="center"/>
          </w:tcPr>
          <w:p w14:paraId="44853B0B" w14:textId="77777777" w:rsidR="004440B5" w:rsidRDefault="004440B5" w:rsidP="00F25FFA">
            <w:pPr>
              <w:jc w:val="left"/>
            </w:pPr>
            <w:r>
              <w:t>monthly</w:t>
            </w:r>
          </w:p>
        </w:tc>
        <w:tc>
          <w:tcPr>
            <w:tcW w:w="1951" w:type="dxa"/>
            <w:vAlign w:val="center"/>
          </w:tcPr>
          <w:p w14:paraId="4636E0AC" w14:textId="77777777" w:rsidR="004440B5" w:rsidRDefault="004440B5" w:rsidP="00F25FFA">
            <w:pPr>
              <w:jc w:val="left"/>
            </w:pPr>
            <w:r>
              <w:t>rain (mm)</w:t>
            </w:r>
          </w:p>
        </w:tc>
        <w:tc>
          <w:tcPr>
            <w:tcW w:w="1653" w:type="dxa"/>
            <w:vAlign w:val="center"/>
          </w:tcPr>
          <w:p w14:paraId="425611DB" w14:textId="77777777" w:rsidR="004440B5" w:rsidRDefault="004440B5" w:rsidP="00F25FFA">
            <w:pPr>
              <w:jc w:val="left"/>
            </w:pPr>
            <w:r>
              <w:t>SILO</w:t>
            </w:r>
          </w:p>
        </w:tc>
      </w:tr>
      <w:tr w:rsidR="004440B5" w14:paraId="491C6C3E" w14:textId="77777777" w:rsidTr="00F25FFA">
        <w:tc>
          <w:tcPr>
            <w:tcW w:w="1996" w:type="dxa"/>
            <w:vAlign w:val="center"/>
          </w:tcPr>
          <w:p w14:paraId="12E1DF76" w14:textId="77777777" w:rsidR="004440B5" w:rsidRDefault="004440B5" w:rsidP="00F25FFA">
            <w:pPr>
              <w:jc w:val="left"/>
            </w:pPr>
            <w:r>
              <w:t>Weather</w:t>
            </w:r>
          </w:p>
        </w:tc>
        <w:tc>
          <w:tcPr>
            <w:tcW w:w="2289" w:type="dxa"/>
            <w:vAlign w:val="center"/>
          </w:tcPr>
          <w:p w14:paraId="7E4664BD" w14:textId="77777777" w:rsidR="004440B5" w:rsidRDefault="004440B5" w:rsidP="00F25FFA">
            <w:pPr>
              <w:jc w:val="left"/>
            </w:pPr>
            <w:r>
              <w:t>temperature</w:t>
            </w:r>
          </w:p>
        </w:tc>
        <w:tc>
          <w:tcPr>
            <w:tcW w:w="1847" w:type="dxa"/>
            <w:vAlign w:val="center"/>
          </w:tcPr>
          <w:p w14:paraId="6D93B3AC" w14:textId="77777777" w:rsidR="004440B5" w:rsidRDefault="004440B5" w:rsidP="00F25FFA">
            <w:pPr>
              <w:jc w:val="left"/>
            </w:pPr>
            <w:r>
              <w:t>monthly</w:t>
            </w:r>
          </w:p>
        </w:tc>
        <w:tc>
          <w:tcPr>
            <w:tcW w:w="1951" w:type="dxa"/>
            <w:vAlign w:val="center"/>
          </w:tcPr>
          <w:p w14:paraId="5660C7FE" w14:textId="77777777" w:rsidR="004440B5" w:rsidRDefault="004440B5" w:rsidP="00F25FFA">
            <w:pPr>
              <w:jc w:val="left"/>
            </w:pPr>
            <w:proofErr w:type="spellStart"/>
            <w:r>
              <w:t>tmax</w:t>
            </w:r>
            <w:proofErr w:type="spellEnd"/>
            <w:r>
              <w:t xml:space="preserve">, </w:t>
            </w:r>
            <w:proofErr w:type="spellStart"/>
            <w:r>
              <w:t>tmin</w:t>
            </w:r>
            <w:proofErr w:type="spellEnd"/>
            <w:r>
              <w:t xml:space="preserve"> (</w:t>
            </w:r>
            <w:proofErr w:type="spellStart"/>
            <w:r w:rsidRPr="00266B79">
              <w:rPr>
                <w:vertAlign w:val="superscript"/>
              </w:rPr>
              <w:t>o</w:t>
            </w:r>
            <w:r>
              <w:t>C</w:t>
            </w:r>
            <w:proofErr w:type="spellEnd"/>
            <w:r>
              <w:t>)</w:t>
            </w:r>
          </w:p>
        </w:tc>
        <w:tc>
          <w:tcPr>
            <w:tcW w:w="1653" w:type="dxa"/>
            <w:vAlign w:val="center"/>
          </w:tcPr>
          <w:p w14:paraId="59E53483" w14:textId="77777777" w:rsidR="004440B5" w:rsidRDefault="004440B5" w:rsidP="00F25FFA">
            <w:pPr>
              <w:jc w:val="left"/>
            </w:pPr>
            <w:r>
              <w:t>SILO</w:t>
            </w:r>
          </w:p>
        </w:tc>
      </w:tr>
      <w:tr w:rsidR="004440B5" w14:paraId="5029D424" w14:textId="77777777" w:rsidTr="00F25FFA">
        <w:tc>
          <w:tcPr>
            <w:tcW w:w="1996" w:type="dxa"/>
            <w:vAlign w:val="center"/>
          </w:tcPr>
          <w:p w14:paraId="62715A84" w14:textId="77777777" w:rsidR="004440B5" w:rsidRDefault="004440B5" w:rsidP="00F25FFA">
            <w:pPr>
              <w:jc w:val="left"/>
            </w:pPr>
            <w:r>
              <w:t>Weather</w:t>
            </w:r>
          </w:p>
        </w:tc>
        <w:tc>
          <w:tcPr>
            <w:tcW w:w="2289" w:type="dxa"/>
            <w:vAlign w:val="center"/>
          </w:tcPr>
          <w:p w14:paraId="31AA6B8C" w14:textId="77777777" w:rsidR="004440B5" w:rsidRDefault="004440B5" w:rsidP="00F25FFA">
            <w:pPr>
              <w:jc w:val="left"/>
            </w:pPr>
            <w:r>
              <w:t>solar radiation</w:t>
            </w:r>
          </w:p>
        </w:tc>
        <w:tc>
          <w:tcPr>
            <w:tcW w:w="1847" w:type="dxa"/>
            <w:vAlign w:val="center"/>
          </w:tcPr>
          <w:p w14:paraId="71EC9B6B" w14:textId="77777777" w:rsidR="004440B5" w:rsidRDefault="004440B5" w:rsidP="00F25FFA">
            <w:pPr>
              <w:jc w:val="left"/>
            </w:pPr>
            <w:r>
              <w:t>monthly</w:t>
            </w:r>
          </w:p>
        </w:tc>
        <w:tc>
          <w:tcPr>
            <w:tcW w:w="1951" w:type="dxa"/>
            <w:vAlign w:val="center"/>
          </w:tcPr>
          <w:p w14:paraId="1D13559A" w14:textId="77777777" w:rsidR="004440B5" w:rsidRDefault="004440B5" w:rsidP="00F25FFA">
            <w:pPr>
              <w:jc w:val="left"/>
            </w:pPr>
            <w:r>
              <w:t>rad (J m</w:t>
            </w:r>
            <w:r w:rsidRPr="00266B79">
              <w:rPr>
                <w:vertAlign w:val="superscript"/>
              </w:rPr>
              <w:t>-2</w:t>
            </w:r>
            <w:r>
              <w:t>)</w:t>
            </w:r>
          </w:p>
        </w:tc>
        <w:tc>
          <w:tcPr>
            <w:tcW w:w="1653" w:type="dxa"/>
            <w:vAlign w:val="center"/>
          </w:tcPr>
          <w:p w14:paraId="09C7C6FF" w14:textId="77777777" w:rsidR="004440B5" w:rsidRDefault="004440B5" w:rsidP="00F25FFA">
            <w:pPr>
              <w:jc w:val="left"/>
            </w:pPr>
            <w:r>
              <w:t>SILO</w:t>
            </w:r>
          </w:p>
        </w:tc>
      </w:tr>
      <w:tr w:rsidR="004440B5" w14:paraId="6745EAE4" w14:textId="77777777" w:rsidTr="00F25FFA">
        <w:tc>
          <w:tcPr>
            <w:tcW w:w="1996" w:type="dxa"/>
            <w:vAlign w:val="center"/>
          </w:tcPr>
          <w:p w14:paraId="6FBC490F" w14:textId="77777777" w:rsidR="004440B5" w:rsidRDefault="004440B5" w:rsidP="00F25FFA">
            <w:pPr>
              <w:jc w:val="left"/>
            </w:pPr>
            <w:r>
              <w:t>Weather</w:t>
            </w:r>
          </w:p>
        </w:tc>
        <w:tc>
          <w:tcPr>
            <w:tcW w:w="2289" w:type="dxa"/>
            <w:vAlign w:val="center"/>
          </w:tcPr>
          <w:p w14:paraId="254BB871" w14:textId="77777777" w:rsidR="004440B5" w:rsidRDefault="004440B5" w:rsidP="00F25FFA">
            <w:pPr>
              <w:jc w:val="left"/>
            </w:pPr>
            <w:r>
              <w:t>evapotranspiration</w:t>
            </w:r>
          </w:p>
        </w:tc>
        <w:tc>
          <w:tcPr>
            <w:tcW w:w="1847" w:type="dxa"/>
            <w:vAlign w:val="center"/>
          </w:tcPr>
          <w:p w14:paraId="64EF816B" w14:textId="77777777" w:rsidR="004440B5" w:rsidRDefault="004440B5" w:rsidP="00F25FFA">
            <w:pPr>
              <w:jc w:val="left"/>
            </w:pPr>
            <w:r>
              <w:t>monthly</w:t>
            </w:r>
          </w:p>
        </w:tc>
        <w:tc>
          <w:tcPr>
            <w:tcW w:w="1951" w:type="dxa"/>
            <w:vAlign w:val="center"/>
          </w:tcPr>
          <w:p w14:paraId="5344D2D1" w14:textId="77777777" w:rsidR="004440B5" w:rsidRDefault="004440B5" w:rsidP="00F25FFA">
            <w:pPr>
              <w:jc w:val="left"/>
            </w:pPr>
            <w:proofErr w:type="spellStart"/>
            <w:r>
              <w:t>Evp</w:t>
            </w:r>
            <w:proofErr w:type="spellEnd"/>
            <w:r>
              <w:t xml:space="preserve"> (mm/month)</w:t>
            </w:r>
          </w:p>
        </w:tc>
        <w:tc>
          <w:tcPr>
            <w:tcW w:w="1653" w:type="dxa"/>
            <w:vAlign w:val="center"/>
          </w:tcPr>
          <w:p w14:paraId="125879D0" w14:textId="77777777" w:rsidR="004440B5" w:rsidRDefault="004440B5" w:rsidP="00F25FFA">
            <w:pPr>
              <w:jc w:val="left"/>
            </w:pPr>
            <w:r>
              <w:t>SILO</w:t>
            </w:r>
          </w:p>
        </w:tc>
      </w:tr>
      <w:tr w:rsidR="004440B5" w14:paraId="77A73756" w14:textId="77777777" w:rsidTr="00F25FFA">
        <w:tc>
          <w:tcPr>
            <w:tcW w:w="1996" w:type="dxa"/>
            <w:vAlign w:val="center"/>
          </w:tcPr>
          <w:p w14:paraId="00510DDD" w14:textId="77777777" w:rsidR="004440B5" w:rsidRDefault="004440B5" w:rsidP="00F25FFA">
            <w:pPr>
              <w:jc w:val="left"/>
            </w:pPr>
            <w:r>
              <w:t>Weather</w:t>
            </w:r>
          </w:p>
        </w:tc>
        <w:tc>
          <w:tcPr>
            <w:tcW w:w="2289" w:type="dxa"/>
            <w:vAlign w:val="center"/>
          </w:tcPr>
          <w:p w14:paraId="408D9361" w14:textId="77777777" w:rsidR="004440B5" w:rsidRDefault="004440B5" w:rsidP="00F25FFA">
            <w:pPr>
              <w:jc w:val="left"/>
            </w:pPr>
            <w:r>
              <w:t>vapour pressure</w:t>
            </w:r>
          </w:p>
        </w:tc>
        <w:tc>
          <w:tcPr>
            <w:tcW w:w="1847" w:type="dxa"/>
            <w:vAlign w:val="center"/>
          </w:tcPr>
          <w:p w14:paraId="125BBDA5" w14:textId="77777777" w:rsidR="004440B5" w:rsidRDefault="004440B5" w:rsidP="00F25FFA">
            <w:pPr>
              <w:jc w:val="left"/>
            </w:pPr>
            <w:r>
              <w:t>monthly</w:t>
            </w:r>
          </w:p>
        </w:tc>
        <w:tc>
          <w:tcPr>
            <w:tcW w:w="1951" w:type="dxa"/>
            <w:vAlign w:val="center"/>
          </w:tcPr>
          <w:p w14:paraId="648716CA" w14:textId="77777777" w:rsidR="004440B5" w:rsidRDefault="004440B5" w:rsidP="00F25FFA">
            <w:pPr>
              <w:jc w:val="left"/>
            </w:pPr>
            <w:r>
              <w:t>VP (N/m</w:t>
            </w:r>
            <w:r w:rsidRPr="00CA695D">
              <w:rPr>
                <w:vertAlign w:val="superscript"/>
              </w:rPr>
              <w:t>2</w:t>
            </w:r>
            <w:r w:rsidRPr="00CA695D">
              <w:t>)</w:t>
            </w:r>
          </w:p>
        </w:tc>
        <w:tc>
          <w:tcPr>
            <w:tcW w:w="1653" w:type="dxa"/>
            <w:vAlign w:val="center"/>
          </w:tcPr>
          <w:p w14:paraId="2D8237E6" w14:textId="77777777" w:rsidR="004440B5" w:rsidRDefault="004440B5" w:rsidP="00F25FFA">
            <w:pPr>
              <w:jc w:val="left"/>
            </w:pPr>
            <w:r>
              <w:t>SILO</w:t>
            </w:r>
          </w:p>
        </w:tc>
      </w:tr>
      <w:tr w:rsidR="004440B5" w14:paraId="62915A05" w14:textId="77777777" w:rsidTr="00F25FFA">
        <w:tc>
          <w:tcPr>
            <w:tcW w:w="1996" w:type="dxa"/>
            <w:vAlign w:val="center"/>
          </w:tcPr>
          <w:p w14:paraId="6502D4B4" w14:textId="77777777" w:rsidR="004440B5" w:rsidRDefault="004440B5" w:rsidP="00F25FFA">
            <w:pPr>
              <w:jc w:val="left"/>
            </w:pPr>
            <w:r>
              <w:t>Weather</w:t>
            </w:r>
          </w:p>
        </w:tc>
        <w:tc>
          <w:tcPr>
            <w:tcW w:w="2289" w:type="dxa"/>
            <w:vAlign w:val="center"/>
          </w:tcPr>
          <w:p w14:paraId="38A6DDF9" w14:textId="77777777" w:rsidR="004440B5" w:rsidRDefault="004440B5" w:rsidP="00F25FFA">
            <w:pPr>
              <w:jc w:val="left"/>
            </w:pPr>
            <w:r>
              <w:t>vapour pressure deficit</w:t>
            </w:r>
          </w:p>
        </w:tc>
        <w:tc>
          <w:tcPr>
            <w:tcW w:w="1847" w:type="dxa"/>
            <w:vAlign w:val="center"/>
          </w:tcPr>
          <w:p w14:paraId="749E7877" w14:textId="77777777" w:rsidR="004440B5" w:rsidRDefault="004440B5" w:rsidP="00F25FFA">
            <w:pPr>
              <w:jc w:val="left"/>
            </w:pPr>
            <w:r>
              <w:t>monthly</w:t>
            </w:r>
          </w:p>
        </w:tc>
        <w:tc>
          <w:tcPr>
            <w:tcW w:w="1951" w:type="dxa"/>
            <w:vAlign w:val="center"/>
          </w:tcPr>
          <w:p w14:paraId="7E80535B" w14:textId="77777777" w:rsidR="004440B5" w:rsidRDefault="004440B5" w:rsidP="00F25FFA">
            <w:pPr>
              <w:jc w:val="left"/>
            </w:pPr>
            <w:r>
              <w:t>VPD (N/m</w:t>
            </w:r>
            <w:r w:rsidRPr="00CA695D">
              <w:rPr>
                <w:vertAlign w:val="superscript"/>
              </w:rPr>
              <w:t>2</w:t>
            </w:r>
            <w:r w:rsidRPr="00CA695D">
              <w:t>)</w:t>
            </w:r>
          </w:p>
        </w:tc>
        <w:tc>
          <w:tcPr>
            <w:tcW w:w="1653" w:type="dxa"/>
            <w:vAlign w:val="center"/>
          </w:tcPr>
          <w:p w14:paraId="1C0ABA14" w14:textId="77777777" w:rsidR="004440B5" w:rsidRDefault="004440B5" w:rsidP="00F25FFA">
            <w:pPr>
              <w:jc w:val="left"/>
            </w:pPr>
            <w:r>
              <w:t>SILO</w:t>
            </w:r>
          </w:p>
        </w:tc>
      </w:tr>
      <w:tr w:rsidR="004440B5" w14:paraId="00E49ADF" w14:textId="77777777" w:rsidTr="00F25FFA">
        <w:tc>
          <w:tcPr>
            <w:tcW w:w="1996" w:type="dxa"/>
            <w:vAlign w:val="center"/>
          </w:tcPr>
          <w:p w14:paraId="7D3759F7" w14:textId="77777777" w:rsidR="004440B5" w:rsidRDefault="004440B5" w:rsidP="00F25FFA">
            <w:pPr>
              <w:jc w:val="left"/>
            </w:pPr>
            <w:r>
              <w:t>Drought index</w:t>
            </w:r>
          </w:p>
        </w:tc>
        <w:tc>
          <w:tcPr>
            <w:tcW w:w="2289" w:type="dxa"/>
            <w:vAlign w:val="center"/>
          </w:tcPr>
          <w:p w14:paraId="4F834500" w14:textId="77777777" w:rsidR="004440B5" w:rsidRDefault="004440B5" w:rsidP="00F25FFA">
            <w:pPr>
              <w:jc w:val="left"/>
            </w:pPr>
            <w:r>
              <w:t>SPI-1</w:t>
            </w:r>
          </w:p>
        </w:tc>
        <w:tc>
          <w:tcPr>
            <w:tcW w:w="1847" w:type="dxa"/>
            <w:vAlign w:val="center"/>
          </w:tcPr>
          <w:p w14:paraId="79FAFCF8" w14:textId="77777777" w:rsidR="004440B5" w:rsidRDefault="004440B5" w:rsidP="00F25FFA">
            <w:pPr>
              <w:jc w:val="left"/>
            </w:pPr>
            <w:r>
              <w:t>monthly</w:t>
            </w:r>
          </w:p>
        </w:tc>
        <w:tc>
          <w:tcPr>
            <w:tcW w:w="1951" w:type="dxa"/>
            <w:vAlign w:val="center"/>
          </w:tcPr>
          <w:p w14:paraId="2CC7AC7B" w14:textId="77777777" w:rsidR="004440B5" w:rsidRDefault="004440B5" w:rsidP="00F25FFA">
            <w:pPr>
              <w:jc w:val="left"/>
            </w:pPr>
            <w:r>
              <w:t>NA</w:t>
            </w:r>
          </w:p>
        </w:tc>
        <w:tc>
          <w:tcPr>
            <w:tcW w:w="1653" w:type="dxa"/>
            <w:vAlign w:val="center"/>
          </w:tcPr>
          <w:p w14:paraId="0330C43A" w14:textId="77777777" w:rsidR="004440B5" w:rsidRDefault="004440B5" w:rsidP="00F25FFA">
            <w:pPr>
              <w:jc w:val="left"/>
            </w:pPr>
            <w:r>
              <w:t>Processed</w:t>
            </w:r>
          </w:p>
        </w:tc>
      </w:tr>
      <w:tr w:rsidR="004440B5" w14:paraId="4794ED77" w14:textId="77777777" w:rsidTr="00F25FFA">
        <w:tc>
          <w:tcPr>
            <w:tcW w:w="1996" w:type="dxa"/>
            <w:vAlign w:val="center"/>
          </w:tcPr>
          <w:p w14:paraId="5D162086" w14:textId="77777777" w:rsidR="004440B5" w:rsidRDefault="004440B5" w:rsidP="00F25FFA">
            <w:pPr>
              <w:jc w:val="left"/>
            </w:pPr>
            <w:r>
              <w:t>Drought index</w:t>
            </w:r>
          </w:p>
        </w:tc>
        <w:tc>
          <w:tcPr>
            <w:tcW w:w="2289" w:type="dxa"/>
            <w:vAlign w:val="center"/>
          </w:tcPr>
          <w:p w14:paraId="34EA9868" w14:textId="77777777" w:rsidR="004440B5" w:rsidRDefault="004440B5" w:rsidP="00F25FFA">
            <w:pPr>
              <w:jc w:val="left"/>
            </w:pPr>
            <w:r>
              <w:t>SPI-3</w:t>
            </w:r>
          </w:p>
        </w:tc>
        <w:tc>
          <w:tcPr>
            <w:tcW w:w="1847" w:type="dxa"/>
            <w:vAlign w:val="center"/>
          </w:tcPr>
          <w:p w14:paraId="26E58B73" w14:textId="77777777" w:rsidR="004440B5" w:rsidRDefault="004440B5" w:rsidP="00F25FFA">
            <w:pPr>
              <w:jc w:val="left"/>
            </w:pPr>
            <w:r>
              <w:t>monthly</w:t>
            </w:r>
          </w:p>
        </w:tc>
        <w:tc>
          <w:tcPr>
            <w:tcW w:w="1951" w:type="dxa"/>
            <w:vAlign w:val="center"/>
          </w:tcPr>
          <w:p w14:paraId="4F23810F" w14:textId="77777777" w:rsidR="004440B5" w:rsidRDefault="004440B5" w:rsidP="00F25FFA">
            <w:pPr>
              <w:jc w:val="left"/>
            </w:pPr>
            <w:r>
              <w:t>NA</w:t>
            </w:r>
          </w:p>
        </w:tc>
        <w:tc>
          <w:tcPr>
            <w:tcW w:w="1653" w:type="dxa"/>
            <w:vAlign w:val="center"/>
          </w:tcPr>
          <w:p w14:paraId="201B04D4" w14:textId="77777777" w:rsidR="004440B5" w:rsidRDefault="004440B5" w:rsidP="00F25FFA">
            <w:pPr>
              <w:jc w:val="left"/>
            </w:pPr>
            <w:r>
              <w:t>Processed</w:t>
            </w:r>
          </w:p>
        </w:tc>
      </w:tr>
      <w:tr w:rsidR="004440B5" w14:paraId="1D4EAC74" w14:textId="77777777" w:rsidTr="00F25FFA">
        <w:tc>
          <w:tcPr>
            <w:tcW w:w="1996" w:type="dxa"/>
            <w:vAlign w:val="center"/>
          </w:tcPr>
          <w:p w14:paraId="3766CDC4" w14:textId="77777777" w:rsidR="004440B5" w:rsidRDefault="004440B5" w:rsidP="00F25FFA">
            <w:pPr>
              <w:jc w:val="left"/>
            </w:pPr>
            <w:r>
              <w:t>Drought index</w:t>
            </w:r>
          </w:p>
        </w:tc>
        <w:tc>
          <w:tcPr>
            <w:tcW w:w="2289" w:type="dxa"/>
            <w:vAlign w:val="center"/>
          </w:tcPr>
          <w:p w14:paraId="7DF0A261" w14:textId="77777777" w:rsidR="004440B5" w:rsidRDefault="004440B5" w:rsidP="00F25FFA">
            <w:pPr>
              <w:jc w:val="left"/>
            </w:pPr>
            <w:r>
              <w:t>SPI-6</w:t>
            </w:r>
          </w:p>
        </w:tc>
        <w:tc>
          <w:tcPr>
            <w:tcW w:w="1847" w:type="dxa"/>
            <w:vAlign w:val="center"/>
          </w:tcPr>
          <w:p w14:paraId="13925CB3" w14:textId="77777777" w:rsidR="004440B5" w:rsidRDefault="004440B5" w:rsidP="00F25FFA">
            <w:pPr>
              <w:jc w:val="left"/>
            </w:pPr>
            <w:r>
              <w:t>monthly</w:t>
            </w:r>
          </w:p>
        </w:tc>
        <w:tc>
          <w:tcPr>
            <w:tcW w:w="1951" w:type="dxa"/>
            <w:vAlign w:val="center"/>
          </w:tcPr>
          <w:p w14:paraId="70FB036F" w14:textId="77777777" w:rsidR="004440B5" w:rsidRDefault="004440B5" w:rsidP="00F25FFA">
            <w:pPr>
              <w:jc w:val="left"/>
            </w:pPr>
            <w:r>
              <w:t>NA</w:t>
            </w:r>
          </w:p>
        </w:tc>
        <w:tc>
          <w:tcPr>
            <w:tcW w:w="1653" w:type="dxa"/>
            <w:vAlign w:val="center"/>
          </w:tcPr>
          <w:p w14:paraId="68BFB34E" w14:textId="77777777" w:rsidR="004440B5" w:rsidRDefault="004440B5" w:rsidP="00F25FFA">
            <w:pPr>
              <w:jc w:val="left"/>
            </w:pPr>
            <w:r>
              <w:t>Processed</w:t>
            </w:r>
          </w:p>
        </w:tc>
      </w:tr>
      <w:tr w:rsidR="004440B5" w14:paraId="2BA24E11" w14:textId="77777777" w:rsidTr="00F25FFA">
        <w:tc>
          <w:tcPr>
            <w:tcW w:w="1996" w:type="dxa"/>
            <w:vAlign w:val="center"/>
          </w:tcPr>
          <w:p w14:paraId="6E3A8DF1" w14:textId="77777777" w:rsidR="004440B5" w:rsidRDefault="004440B5" w:rsidP="00F25FFA">
            <w:pPr>
              <w:jc w:val="left"/>
            </w:pPr>
            <w:r>
              <w:t>Drought index</w:t>
            </w:r>
          </w:p>
        </w:tc>
        <w:tc>
          <w:tcPr>
            <w:tcW w:w="2289" w:type="dxa"/>
            <w:vAlign w:val="center"/>
          </w:tcPr>
          <w:p w14:paraId="57645268" w14:textId="77777777" w:rsidR="004440B5" w:rsidRDefault="004440B5" w:rsidP="00F25FFA">
            <w:pPr>
              <w:jc w:val="left"/>
            </w:pPr>
            <w:r>
              <w:t>SPI-12</w:t>
            </w:r>
          </w:p>
        </w:tc>
        <w:tc>
          <w:tcPr>
            <w:tcW w:w="1847" w:type="dxa"/>
            <w:vAlign w:val="center"/>
          </w:tcPr>
          <w:p w14:paraId="3EBA435D" w14:textId="77777777" w:rsidR="004440B5" w:rsidRDefault="004440B5" w:rsidP="00F25FFA">
            <w:pPr>
              <w:jc w:val="left"/>
            </w:pPr>
            <w:r>
              <w:t>monthly</w:t>
            </w:r>
          </w:p>
        </w:tc>
        <w:tc>
          <w:tcPr>
            <w:tcW w:w="1951" w:type="dxa"/>
            <w:vAlign w:val="center"/>
          </w:tcPr>
          <w:p w14:paraId="0AB709A0" w14:textId="77777777" w:rsidR="004440B5" w:rsidRDefault="004440B5" w:rsidP="00F25FFA">
            <w:pPr>
              <w:jc w:val="left"/>
            </w:pPr>
            <w:r>
              <w:t>NA</w:t>
            </w:r>
          </w:p>
        </w:tc>
        <w:tc>
          <w:tcPr>
            <w:tcW w:w="1653" w:type="dxa"/>
            <w:vAlign w:val="center"/>
          </w:tcPr>
          <w:p w14:paraId="2AF8F380" w14:textId="77777777" w:rsidR="004440B5" w:rsidRDefault="004440B5" w:rsidP="00F25FFA">
            <w:pPr>
              <w:jc w:val="left"/>
            </w:pPr>
            <w:r>
              <w:t>Processed</w:t>
            </w:r>
          </w:p>
        </w:tc>
      </w:tr>
      <w:tr w:rsidR="004440B5" w14:paraId="1D3C1F02" w14:textId="77777777" w:rsidTr="00F25FFA">
        <w:tc>
          <w:tcPr>
            <w:tcW w:w="1996" w:type="dxa"/>
            <w:vAlign w:val="center"/>
          </w:tcPr>
          <w:p w14:paraId="0C99B07B" w14:textId="77777777" w:rsidR="004440B5" w:rsidRDefault="004440B5" w:rsidP="00F25FFA">
            <w:pPr>
              <w:jc w:val="left"/>
            </w:pPr>
            <w:r>
              <w:t>Drought index</w:t>
            </w:r>
          </w:p>
        </w:tc>
        <w:tc>
          <w:tcPr>
            <w:tcW w:w="2289" w:type="dxa"/>
            <w:vAlign w:val="center"/>
          </w:tcPr>
          <w:p w14:paraId="7F140B0A" w14:textId="77777777" w:rsidR="004440B5" w:rsidRDefault="004440B5" w:rsidP="00F25FFA">
            <w:pPr>
              <w:jc w:val="left"/>
            </w:pPr>
            <w:r>
              <w:t>SPEI-1</w:t>
            </w:r>
          </w:p>
        </w:tc>
        <w:tc>
          <w:tcPr>
            <w:tcW w:w="1847" w:type="dxa"/>
            <w:vAlign w:val="center"/>
          </w:tcPr>
          <w:p w14:paraId="3EF86CDA" w14:textId="77777777" w:rsidR="004440B5" w:rsidRDefault="004440B5" w:rsidP="00F25FFA">
            <w:pPr>
              <w:jc w:val="left"/>
            </w:pPr>
            <w:r>
              <w:t>monthly</w:t>
            </w:r>
          </w:p>
        </w:tc>
        <w:tc>
          <w:tcPr>
            <w:tcW w:w="1951" w:type="dxa"/>
            <w:vAlign w:val="center"/>
          </w:tcPr>
          <w:p w14:paraId="5B74C887" w14:textId="77777777" w:rsidR="004440B5" w:rsidRDefault="004440B5" w:rsidP="00F25FFA">
            <w:pPr>
              <w:jc w:val="left"/>
            </w:pPr>
            <w:r>
              <w:t>NA</w:t>
            </w:r>
          </w:p>
        </w:tc>
        <w:tc>
          <w:tcPr>
            <w:tcW w:w="1653" w:type="dxa"/>
            <w:vAlign w:val="center"/>
          </w:tcPr>
          <w:p w14:paraId="2A3DBB03" w14:textId="77777777" w:rsidR="004440B5" w:rsidRDefault="004440B5" w:rsidP="00F25FFA">
            <w:pPr>
              <w:jc w:val="left"/>
            </w:pPr>
            <w:r>
              <w:t>Processed</w:t>
            </w:r>
          </w:p>
        </w:tc>
      </w:tr>
      <w:tr w:rsidR="004440B5" w14:paraId="2CC286DF" w14:textId="77777777" w:rsidTr="00F25FFA">
        <w:tc>
          <w:tcPr>
            <w:tcW w:w="1996" w:type="dxa"/>
            <w:vAlign w:val="center"/>
          </w:tcPr>
          <w:p w14:paraId="267E5D0E" w14:textId="77777777" w:rsidR="004440B5" w:rsidRDefault="004440B5" w:rsidP="00F25FFA">
            <w:pPr>
              <w:jc w:val="left"/>
            </w:pPr>
            <w:r>
              <w:t>Drought index</w:t>
            </w:r>
          </w:p>
        </w:tc>
        <w:tc>
          <w:tcPr>
            <w:tcW w:w="2289" w:type="dxa"/>
            <w:vAlign w:val="center"/>
          </w:tcPr>
          <w:p w14:paraId="58C4A6F2" w14:textId="77777777" w:rsidR="004440B5" w:rsidRDefault="004440B5" w:rsidP="00F25FFA">
            <w:pPr>
              <w:jc w:val="left"/>
            </w:pPr>
            <w:r>
              <w:t>SPEI-3</w:t>
            </w:r>
          </w:p>
        </w:tc>
        <w:tc>
          <w:tcPr>
            <w:tcW w:w="1847" w:type="dxa"/>
            <w:vAlign w:val="center"/>
          </w:tcPr>
          <w:p w14:paraId="0B4568FC" w14:textId="77777777" w:rsidR="004440B5" w:rsidRDefault="004440B5" w:rsidP="00F25FFA">
            <w:pPr>
              <w:jc w:val="left"/>
            </w:pPr>
            <w:r>
              <w:t>monthly</w:t>
            </w:r>
          </w:p>
        </w:tc>
        <w:tc>
          <w:tcPr>
            <w:tcW w:w="1951" w:type="dxa"/>
            <w:vAlign w:val="center"/>
          </w:tcPr>
          <w:p w14:paraId="00D94193" w14:textId="77777777" w:rsidR="004440B5" w:rsidRDefault="004440B5" w:rsidP="00F25FFA">
            <w:pPr>
              <w:jc w:val="left"/>
            </w:pPr>
            <w:r>
              <w:t>NA</w:t>
            </w:r>
          </w:p>
        </w:tc>
        <w:tc>
          <w:tcPr>
            <w:tcW w:w="1653" w:type="dxa"/>
            <w:vAlign w:val="center"/>
          </w:tcPr>
          <w:p w14:paraId="29B55675" w14:textId="77777777" w:rsidR="004440B5" w:rsidRDefault="004440B5" w:rsidP="00F25FFA">
            <w:pPr>
              <w:jc w:val="left"/>
            </w:pPr>
            <w:r>
              <w:t>Processed</w:t>
            </w:r>
          </w:p>
        </w:tc>
      </w:tr>
      <w:tr w:rsidR="004440B5" w14:paraId="4E3C4290" w14:textId="77777777" w:rsidTr="00F25FFA">
        <w:tc>
          <w:tcPr>
            <w:tcW w:w="1996" w:type="dxa"/>
            <w:vAlign w:val="center"/>
          </w:tcPr>
          <w:p w14:paraId="3DBCD91D" w14:textId="77777777" w:rsidR="004440B5" w:rsidRDefault="004440B5" w:rsidP="00F25FFA">
            <w:pPr>
              <w:jc w:val="left"/>
            </w:pPr>
            <w:r>
              <w:t>Drought index</w:t>
            </w:r>
          </w:p>
        </w:tc>
        <w:tc>
          <w:tcPr>
            <w:tcW w:w="2289" w:type="dxa"/>
            <w:vAlign w:val="center"/>
          </w:tcPr>
          <w:p w14:paraId="10E2034B" w14:textId="77777777" w:rsidR="004440B5" w:rsidRDefault="004440B5" w:rsidP="00F25FFA">
            <w:pPr>
              <w:jc w:val="left"/>
            </w:pPr>
            <w:r>
              <w:t>SPEI-6</w:t>
            </w:r>
          </w:p>
        </w:tc>
        <w:tc>
          <w:tcPr>
            <w:tcW w:w="1847" w:type="dxa"/>
            <w:vAlign w:val="center"/>
          </w:tcPr>
          <w:p w14:paraId="49A516A2" w14:textId="77777777" w:rsidR="004440B5" w:rsidRDefault="004440B5" w:rsidP="00F25FFA">
            <w:pPr>
              <w:jc w:val="left"/>
            </w:pPr>
            <w:r>
              <w:t>monthly</w:t>
            </w:r>
          </w:p>
        </w:tc>
        <w:tc>
          <w:tcPr>
            <w:tcW w:w="1951" w:type="dxa"/>
            <w:vAlign w:val="center"/>
          </w:tcPr>
          <w:p w14:paraId="5D621C24" w14:textId="77777777" w:rsidR="004440B5" w:rsidRDefault="004440B5" w:rsidP="00F25FFA">
            <w:pPr>
              <w:jc w:val="left"/>
            </w:pPr>
            <w:r>
              <w:t>NA</w:t>
            </w:r>
          </w:p>
        </w:tc>
        <w:tc>
          <w:tcPr>
            <w:tcW w:w="1653" w:type="dxa"/>
            <w:vAlign w:val="center"/>
          </w:tcPr>
          <w:p w14:paraId="17DE825F" w14:textId="77777777" w:rsidR="004440B5" w:rsidRDefault="004440B5" w:rsidP="00F25FFA">
            <w:pPr>
              <w:jc w:val="left"/>
            </w:pPr>
            <w:r>
              <w:t>Processed</w:t>
            </w:r>
          </w:p>
        </w:tc>
      </w:tr>
      <w:tr w:rsidR="004440B5" w14:paraId="542434D1" w14:textId="77777777" w:rsidTr="00F25FFA">
        <w:tc>
          <w:tcPr>
            <w:tcW w:w="1996" w:type="dxa"/>
            <w:vAlign w:val="center"/>
          </w:tcPr>
          <w:p w14:paraId="78D27629" w14:textId="77777777" w:rsidR="004440B5" w:rsidRDefault="004440B5" w:rsidP="00F25FFA">
            <w:pPr>
              <w:jc w:val="left"/>
            </w:pPr>
            <w:r>
              <w:t>Drought index</w:t>
            </w:r>
          </w:p>
        </w:tc>
        <w:tc>
          <w:tcPr>
            <w:tcW w:w="2289" w:type="dxa"/>
            <w:vAlign w:val="center"/>
          </w:tcPr>
          <w:p w14:paraId="3D0BF9A8" w14:textId="77777777" w:rsidR="004440B5" w:rsidRDefault="004440B5" w:rsidP="00F25FFA">
            <w:pPr>
              <w:jc w:val="left"/>
            </w:pPr>
            <w:r>
              <w:t>SPEI-12</w:t>
            </w:r>
          </w:p>
        </w:tc>
        <w:tc>
          <w:tcPr>
            <w:tcW w:w="1847" w:type="dxa"/>
            <w:vAlign w:val="center"/>
          </w:tcPr>
          <w:p w14:paraId="0F757821" w14:textId="77777777" w:rsidR="004440B5" w:rsidRDefault="004440B5" w:rsidP="00F25FFA">
            <w:pPr>
              <w:jc w:val="left"/>
            </w:pPr>
            <w:r>
              <w:t>monthly</w:t>
            </w:r>
          </w:p>
        </w:tc>
        <w:tc>
          <w:tcPr>
            <w:tcW w:w="1951" w:type="dxa"/>
            <w:vAlign w:val="center"/>
          </w:tcPr>
          <w:p w14:paraId="288E3227" w14:textId="77777777" w:rsidR="004440B5" w:rsidRDefault="004440B5" w:rsidP="00F25FFA">
            <w:pPr>
              <w:jc w:val="left"/>
            </w:pPr>
            <w:r>
              <w:t>NA</w:t>
            </w:r>
          </w:p>
        </w:tc>
        <w:tc>
          <w:tcPr>
            <w:tcW w:w="1653" w:type="dxa"/>
            <w:vAlign w:val="center"/>
          </w:tcPr>
          <w:p w14:paraId="7226C36E" w14:textId="77777777" w:rsidR="004440B5" w:rsidRDefault="004440B5" w:rsidP="00F25FFA">
            <w:pPr>
              <w:jc w:val="left"/>
            </w:pPr>
            <w:r>
              <w:t>Processed</w:t>
            </w:r>
          </w:p>
        </w:tc>
      </w:tr>
      <w:tr w:rsidR="004440B5" w14:paraId="6CBBCE9A" w14:textId="77777777" w:rsidTr="00F25FFA">
        <w:tc>
          <w:tcPr>
            <w:tcW w:w="1996" w:type="dxa"/>
            <w:vAlign w:val="center"/>
          </w:tcPr>
          <w:p w14:paraId="0C0B1876" w14:textId="77777777" w:rsidR="004440B5" w:rsidRDefault="004440B5" w:rsidP="00F25FFA">
            <w:pPr>
              <w:jc w:val="left"/>
            </w:pPr>
            <w:r>
              <w:t>Spatial Coordinates</w:t>
            </w:r>
          </w:p>
        </w:tc>
        <w:tc>
          <w:tcPr>
            <w:tcW w:w="2289" w:type="dxa"/>
            <w:vAlign w:val="center"/>
          </w:tcPr>
          <w:p w14:paraId="20B614E0" w14:textId="77777777" w:rsidR="004440B5" w:rsidRDefault="004440B5" w:rsidP="00F25FFA">
            <w:pPr>
              <w:jc w:val="left"/>
            </w:pPr>
            <w:r>
              <w:t>latitude/longitudes</w:t>
            </w:r>
          </w:p>
        </w:tc>
        <w:tc>
          <w:tcPr>
            <w:tcW w:w="1847" w:type="dxa"/>
            <w:vAlign w:val="center"/>
          </w:tcPr>
          <w:p w14:paraId="044B9D16" w14:textId="77777777" w:rsidR="004440B5" w:rsidRDefault="004440B5" w:rsidP="00F25FFA">
            <w:pPr>
              <w:jc w:val="left"/>
            </w:pPr>
            <w:r>
              <w:t>constant</w:t>
            </w:r>
          </w:p>
        </w:tc>
        <w:tc>
          <w:tcPr>
            <w:tcW w:w="1951" w:type="dxa"/>
            <w:vAlign w:val="center"/>
          </w:tcPr>
          <w:p w14:paraId="63D601F3" w14:textId="77777777" w:rsidR="004440B5" w:rsidRDefault="004440B5" w:rsidP="00F25FFA">
            <w:pPr>
              <w:jc w:val="left"/>
            </w:pPr>
            <w:proofErr w:type="spellStart"/>
            <w:r>
              <w:t>lat</w:t>
            </w:r>
            <w:proofErr w:type="spellEnd"/>
            <w:r>
              <w:t xml:space="preserve">, </w:t>
            </w:r>
            <w:proofErr w:type="spellStart"/>
            <w:r>
              <w:t>lon</w:t>
            </w:r>
            <w:proofErr w:type="spellEnd"/>
            <w:r>
              <w:t xml:space="preserve"> (</w:t>
            </w:r>
            <w:r w:rsidRPr="00CA695D">
              <w:rPr>
                <w:vertAlign w:val="superscript"/>
              </w:rPr>
              <w:t>o</w:t>
            </w:r>
            <w:r>
              <w:t>)</w:t>
            </w:r>
          </w:p>
        </w:tc>
        <w:tc>
          <w:tcPr>
            <w:tcW w:w="1653" w:type="dxa"/>
            <w:vAlign w:val="center"/>
          </w:tcPr>
          <w:p w14:paraId="2415A085" w14:textId="77777777" w:rsidR="004440B5" w:rsidRDefault="004440B5" w:rsidP="00F25FFA">
            <w:pPr>
              <w:jc w:val="left"/>
            </w:pPr>
            <w:r>
              <w:t>ABARES/SILO</w:t>
            </w:r>
          </w:p>
        </w:tc>
      </w:tr>
    </w:tbl>
    <w:p w14:paraId="1AC85CB1" w14:textId="77777777" w:rsidR="004440B5" w:rsidRDefault="004440B5" w:rsidP="006B37D6"/>
    <w:p w14:paraId="66173127" w14:textId="6121DDC9" w:rsidR="00076673" w:rsidRDefault="003370A1" w:rsidP="00076673">
      <w:r>
        <w:t xml:space="preserve">All selected features were subtracted from the study area of the Western Wheatbelt region using the entire Australia data map. A key challenge in selecting locations in the Wheatbelt is that, over the time period, the early period may have a lack of wheat farms, and over time this number increased. To address this, ABARES gridded data are benchmark-calibrated to the 2022 Agricultural Census, while historical production totals reflect year-specific reported values. As shown in Fig 2, 7980 valid grid points have been marked consistently across all year-wise wheat yield data. These locations have been masked, and the same grid coordinates have been used to assign climate variables to align with wheat yield. This process automatically discards pixels where yield is </w:t>
      </w:r>
      <w:proofErr w:type="spellStart"/>
      <w:r>
        <w:t>NaN</w:t>
      </w:r>
      <w:proofErr w:type="spellEnd"/>
      <w:r>
        <w:t>, so the analysis is processed only for actual farms.</w:t>
      </w:r>
      <w:r w:rsidR="007836D5">
        <w:t xml:space="preserve"> </w:t>
      </w:r>
      <w:r w:rsidR="00076673">
        <w:t xml:space="preserve">Eventually, there were </w:t>
      </w:r>
      <w:r w:rsidR="007836D5">
        <w:t>263,340</w:t>
      </w:r>
      <w:r w:rsidR="00076673">
        <w:t xml:space="preserve"> </w:t>
      </w:r>
      <w:r w:rsidR="007836D5">
        <w:t>data samples</w:t>
      </w:r>
      <w:r w:rsidR="00076673">
        <w:t xml:space="preserve"> recorded as wheat farming locations. Each grid point presents the density of yield </w:t>
      </w:r>
      <w:r w:rsidR="007836D5">
        <w:t xml:space="preserve">produced and climate inputs </w:t>
      </w:r>
      <w:r w:rsidR="00076673">
        <w:t xml:space="preserve">in the calendar year. </w:t>
      </w:r>
    </w:p>
    <w:tbl>
      <w:tblPr>
        <w:tblStyle w:val="TableGrid"/>
        <w:tblW w:w="0" w:type="auto"/>
        <w:tblLook w:val="04A0" w:firstRow="1" w:lastRow="0" w:firstColumn="1" w:lastColumn="0" w:noHBand="0" w:noVBand="1"/>
      </w:tblPr>
      <w:tblGrid>
        <w:gridCol w:w="4868"/>
        <w:gridCol w:w="4868"/>
      </w:tblGrid>
      <w:tr w:rsidR="00BC2955" w14:paraId="3BADB5A6" w14:textId="77777777" w:rsidTr="00F607C1">
        <w:tc>
          <w:tcPr>
            <w:tcW w:w="4868" w:type="dxa"/>
          </w:tcPr>
          <w:p w14:paraId="6B105595" w14:textId="0A598750" w:rsidR="00636E67" w:rsidRDefault="00BC2955" w:rsidP="00902F46">
            <w:r>
              <w:rPr>
                <w:noProof/>
              </w:rPr>
              <w:drawing>
                <wp:inline distT="0" distB="0" distL="0" distR="0" wp14:anchorId="02516F83" wp14:editId="3C74C6DB">
                  <wp:extent cx="2889250" cy="2201771"/>
                  <wp:effectExtent l="0" t="0" r="6350" b="8255"/>
                  <wp:docPr id="2912431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2689" cy="2212012"/>
                          </a:xfrm>
                          <a:prstGeom prst="rect">
                            <a:avLst/>
                          </a:prstGeom>
                          <a:noFill/>
                          <a:ln>
                            <a:noFill/>
                          </a:ln>
                        </pic:spPr>
                      </pic:pic>
                    </a:graphicData>
                  </a:graphic>
                </wp:inline>
              </w:drawing>
            </w:r>
          </w:p>
        </w:tc>
        <w:tc>
          <w:tcPr>
            <w:tcW w:w="4868" w:type="dxa"/>
          </w:tcPr>
          <w:p w14:paraId="6CB01F4D" w14:textId="0E494700" w:rsidR="00636E67" w:rsidRDefault="00BC2955" w:rsidP="00902F46">
            <w:r>
              <w:rPr>
                <w:noProof/>
              </w:rPr>
              <w:drawing>
                <wp:inline distT="0" distB="0" distL="0" distR="0" wp14:anchorId="425CEE48" wp14:editId="038C67BF">
                  <wp:extent cx="2915618" cy="2221865"/>
                  <wp:effectExtent l="0" t="0" r="0" b="6985"/>
                  <wp:docPr id="5850761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2323" cy="2234595"/>
                          </a:xfrm>
                          <a:prstGeom prst="rect">
                            <a:avLst/>
                          </a:prstGeom>
                          <a:noFill/>
                          <a:ln>
                            <a:noFill/>
                          </a:ln>
                        </pic:spPr>
                      </pic:pic>
                    </a:graphicData>
                  </a:graphic>
                </wp:inline>
              </w:drawing>
            </w:r>
          </w:p>
        </w:tc>
      </w:tr>
      <w:tr w:rsidR="00636E67" w14:paraId="7BD4340B" w14:textId="77777777" w:rsidTr="00F607C1">
        <w:tc>
          <w:tcPr>
            <w:tcW w:w="9736" w:type="dxa"/>
            <w:gridSpan w:val="2"/>
          </w:tcPr>
          <w:p w14:paraId="5AB8BA69" w14:textId="7027B7B9" w:rsidR="00636E67" w:rsidRDefault="00BA0FED" w:rsidP="00902F46">
            <w:r w:rsidRPr="002828E8">
              <w:rPr>
                <w:i/>
                <w:iCs/>
              </w:rPr>
              <w:t xml:space="preserve">Figure </w:t>
            </w:r>
            <w:r>
              <w:rPr>
                <w:i/>
                <w:iCs/>
              </w:rPr>
              <w:t>3</w:t>
            </w:r>
            <w:r w:rsidRPr="002828E8">
              <w:rPr>
                <w:i/>
                <w:iCs/>
              </w:rPr>
              <w:t>.</w:t>
            </w:r>
            <w:r>
              <w:rPr>
                <w:i/>
                <w:iCs/>
              </w:rPr>
              <w:t xml:space="preserve"> Western Australia Wheatbelt</w:t>
            </w:r>
          </w:p>
        </w:tc>
      </w:tr>
    </w:tbl>
    <w:p w14:paraId="13E7BF63" w14:textId="22C5A260" w:rsidR="00472CC6" w:rsidRDefault="00472CC6" w:rsidP="00902F46"/>
    <w:p w14:paraId="601B2D18" w14:textId="0378B541" w:rsidR="00E9509B" w:rsidRDefault="00F219A3" w:rsidP="00F219A3">
      <w:pPr>
        <w:pStyle w:val="Heading2"/>
      </w:pPr>
      <w:r>
        <w:lastRenderedPageBreak/>
        <w:t>Formulation of SPI and SPEI</w:t>
      </w:r>
    </w:p>
    <w:p w14:paraId="4438091A" w14:textId="77777777" w:rsidR="00413AF0" w:rsidRDefault="00413AF0" w:rsidP="00413AF0">
      <w:r>
        <w:t>For drought index computation, grid-based rainfall and evapotranspiration data were processed. Monthly rainfall was used directly as precipitation (P) for SPI calculation and as an input for SPEI estimation. Evapotranspiration for a short crop (ET), following the FAO-56 Penman–Monteith definition of potential evapotranspiration (PET), was used to estimate atmospheric water demand (D), as defined in Eq. (1), consistent with the standard SPEI framework</w:t>
      </w:r>
      <w:r w:rsidRPr="00DB3DCE">
        <w:t>.</w:t>
      </w:r>
    </w:p>
    <w:tbl>
      <w:tblPr>
        <w:tblStyle w:val="TableGrid"/>
        <w:tblW w:w="0" w:type="auto"/>
        <w:tblLook w:val="04A0" w:firstRow="1" w:lastRow="0" w:firstColumn="1" w:lastColumn="0" w:noHBand="0" w:noVBand="1"/>
      </w:tblPr>
      <w:tblGrid>
        <w:gridCol w:w="6374"/>
        <w:gridCol w:w="3362"/>
      </w:tblGrid>
      <w:tr w:rsidR="00151BE7" w14:paraId="5F66EB01" w14:textId="77777777" w:rsidTr="00A730F8">
        <w:tc>
          <w:tcPr>
            <w:tcW w:w="6374" w:type="dxa"/>
            <w:vAlign w:val="center"/>
          </w:tcPr>
          <w:p w14:paraId="0ACD6389" w14:textId="2E0AD5E0" w:rsidR="00151BE7" w:rsidRDefault="00A730F8" w:rsidP="00A730F8">
            <w:pPr>
              <w:jc w:val="center"/>
            </w:pPr>
            <m:oMathPara>
              <m:oMath>
                <m:r>
                  <w:rPr>
                    <w:rFonts w:ascii="Cambria Math" w:hAnsi="Cambria Math"/>
                  </w:rPr>
                  <m:t>D = P - PET</m:t>
                </m:r>
              </m:oMath>
            </m:oMathPara>
          </w:p>
        </w:tc>
        <w:tc>
          <w:tcPr>
            <w:tcW w:w="3362" w:type="dxa"/>
            <w:vAlign w:val="center"/>
          </w:tcPr>
          <w:p w14:paraId="04703326" w14:textId="269CAC99" w:rsidR="00151BE7" w:rsidRDefault="00A730F8" w:rsidP="00A730F8">
            <w:pPr>
              <w:jc w:val="center"/>
            </w:pPr>
            <w:r>
              <w:t>(1)</w:t>
            </w:r>
          </w:p>
        </w:tc>
      </w:tr>
    </w:tbl>
    <w:p w14:paraId="72D5A805" w14:textId="77777777" w:rsidR="00151BE7" w:rsidRDefault="00151BE7" w:rsidP="00413AF0"/>
    <w:p w14:paraId="34C2027D" w14:textId="4C7B3771" w:rsidR="00413AF0" w:rsidRDefault="00413AF0" w:rsidP="00413AF0"/>
    <w:p w14:paraId="7C90BC59" w14:textId="79FD0574" w:rsidR="00E9509B" w:rsidRDefault="00F219A3" w:rsidP="00902F46">
      <w:r>
        <w:t>The SPI</w:t>
      </w:r>
      <w:r w:rsidR="001B694C">
        <w:t xml:space="preserve"> and SPEI</w:t>
      </w:r>
      <w:r>
        <w:t xml:space="preserve"> </w:t>
      </w:r>
      <w:r w:rsidR="001B694C">
        <w:t>were</w:t>
      </w:r>
      <w:r>
        <w:t xml:space="preserve"> calculated using a custom Python implementation following the original formulation of McKee et al. (1993)</w:t>
      </w:r>
      <w:r w:rsidR="001B694C">
        <w:t xml:space="preserve"> and </w:t>
      </w:r>
      <w:r w:rsidR="001B694C" w:rsidRPr="001B694C">
        <w:t>Vicente-Serrano et al. (2010)</w:t>
      </w:r>
      <w:r w:rsidR="00C370D8">
        <w:t>,</w:t>
      </w:r>
      <w:r w:rsidR="001B694C">
        <w:t xml:space="preserve"> respectively. Monthly total precipitation and water balance </w:t>
      </w:r>
      <w:r w:rsidR="00C370D8">
        <w:t>were accumulated at multiple timescales, such as 1-, 3, 6 and 12-month</w:t>
      </w:r>
      <w:r w:rsidR="00723B91">
        <w:t xml:space="preserve"> (Eq. 2)</w:t>
      </w:r>
      <w:r w:rsidR="00C370D8">
        <w:t xml:space="preserve">. In particular, </w:t>
      </w:r>
      <w:r w:rsidR="00C370D8" w:rsidRPr="00C370D8">
        <w:t xml:space="preserve">a Gamma distribution was fitted to non-zero values using maximum likelihood estimation, the cumulative probability was adjusted for zero </w:t>
      </w:r>
      <w:r w:rsidR="00404345" w:rsidRPr="00C370D8">
        <w:t>precipitation and</w:t>
      </w:r>
      <w:r w:rsidR="00C370D8" w:rsidRPr="00C370D8">
        <w:t xml:space="preserve"> transformed to a standard normal variate</w:t>
      </w:r>
      <w:r w:rsidR="00C370D8">
        <w:t xml:space="preserve"> for the SPI. </w:t>
      </w:r>
      <w:r w:rsidR="00C370D8" w:rsidRPr="00C370D8">
        <w:t>A three-parameter log-logistic distribution was fitted using L-moment estimation, and cumulative probabilities were transformed to a standard normal variate</w:t>
      </w:r>
      <w:r w:rsidR="00C370D8">
        <w:t xml:space="preserve"> for the SPEI. </w:t>
      </w:r>
    </w:p>
    <w:tbl>
      <w:tblPr>
        <w:tblStyle w:val="TableGrid"/>
        <w:tblW w:w="5000" w:type="pct"/>
        <w:tblLook w:val="04A0" w:firstRow="1" w:lastRow="0" w:firstColumn="1" w:lastColumn="0" w:noHBand="0" w:noVBand="1"/>
      </w:tblPr>
      <w:tblGrid>
        <w:gridCol w:w="6373"/>
        <w:gridCol w:w="3363"/>
      </w:tblGrid>
      <w:tr w:rsidR="00151BE7" w14:paraId="4380A87C" w14:textId="77777777" w:rsidTr="00A730F8">
        <w:tc>
          <w:tcPr>
            <w:tcW w:w="3273" w:type="pct"/>
            <w:vAlign w:val="center"/>
          </w:tcPr>
          <w:p w14:paraId="6132F735" w14:textId="139F785B" w:rsidR="00151BE7" w:rsidRDefault="00000000" w:rsidP="00A730F8">
            <w:pPr>
              <w:jc w:val="center"/>
            </w:pPr>
            <m:oMathPara>
              <m:oMath>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(k)</m:t>
                    </m:r>
                  </m:sup>
                </m:sSubSup>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sSub>
                      <m:sSubPr>
                        <m:ctrlPr>
                          <w:rPr>
                            <w:rFonts w:ascii="Cambria Math" w:hAnsi="Cambria Math"/>
                            <w:i/>
                          </w:rPr>
                        </m:ctrlPr>
                      </m:sSubPr>
                      <m:e>
                        <m:r>
                          <w:rPr>
                            <w:rFonts w:ascii="Cambria Math" w:hAnsi="Cambria Math"/>
                          </w:rPr>
                          <m:t>X</m:t>
                        </m:r>
                      </m:e>
                      <m:sub>
                        <m:r>
                          <w:rPr>
                            <w:rFonts w:ascii="Cambria Math" w:hAnsi="Cambria Math"/>
                          </w:rPr>
                          <m:t>t-i</m:t>
                        </m:r>
                      </m:sub>
                    </m:sSub>
                    <m:r>
                      <w:rPr>
                        <w:rFonts w:ascii="Cambria Math" w:hAnsi="Cambria Math"/>
                      </w:rPr>
                      <m:t xml:space="preserve">, </m:t>
                    </m:r>
                  </m:e>
                </m:nary>
                <m:r>
                  <w:rPr>
                    <w:rFonts w:ascii="Cambria Math" w:hAnsi="Cambria Math"/>
                  </w:rPr>
                  <m:t xml:space="preserve">                             k ∈ {1, 3, 6, 12}</m:t>
                </m:r>
              </m:oMath>
            </m:oMathPara>
          </w:p>
        </w:tc>
        <w:tc>
          <w:tcPr>
            <w:tcW w:w="1727" w:type="pct"/>
            <w:vAlign w:val="center"/>
          </w:tcPr>
          <w:p w14:paraId="7B428F4E" w14:textId="51E4E03A" w:rsidR="00151BE7" w:rsidRDefault="00A730F8" w:rsidP="00A730F8">
            <w:pPr>
              <w:jc w:val="center"/>
            </w:pPr>
            <w:r>
              <w:t>(2)</w:t>
            </w:r>
          </w:p>
        </w:tc>
      </w:tr>
    </w:tbl>
    <w:p w14:paraId="4226F8AB" w14:textId="77777777" w:rsidR="00151BE7" w:rsidRDefault="00151BE7" w:rsidP="00902F46"/>
    <w:p w14:paraId="5D72AD6E" w14:textId="176375AA" w:rsidR="00870506" w:rsidRDefault="00723B91" w:rsidP="00902F46">
      <w:pPr>
        <w:rPr>
          <w:rFonts w:eastAsiaTheme="minorEastAsia"/>
        </w:rPr>
      </w:pPr>
      <w:r>
        <w:t>Accumulation at timescale k</w:t>
      </w:r>
      <w:r w:rsidR="00B045B7">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6E7880">
        <w:rPr>
          <w:rFonts w:eastAsiaTheme="minorEastAsia"/>
        </w:rPr>
        <w:t xml:space="preserve"> </w:t>
      </w:r>
      <w:r w:rsidR="00870506">
        <w:t xml:space="preserve">denote the climatic variable at month </w:t>
      </w:r>
      <m:oMath>
        <m:r>
          <w:rPr>
            <w:rFonts w:ascii="Cambria Math" w:hAnsi="Cambria Math"/>
          </w:rPr>
          <m:t>t</m:t>
        </m:r>
      </m:oMath>
      <w:r w:rsidR="00870506">
        <w:t>,</w:t>
      </w:r>
    </w:p>
    <w:p w14:paraId="0CF38EA1" w14:textId="3FEE0FBE" w:rsidR="00723B91" w:rsidRDefault="00723B91" w:rsidP="00902F46">
      <w:pPr>
        <w:rPr>
          <w:rFonts w:eastAsiaTheme="minorEastAsia"/>
        </w:rPr>
      </w:pPr>
      <w:r>
        <w:rPr>
          <w:rFonts w:eastAsiaTheme="minorEastAsia"/>
        </w:rPr>
        <w:t>Cumulative probability</w:t>
      </w:r>
    </w:p>
    <w:tbl>
      <w:tblPr>
        <w:tblStyle w:val="TableGrid"/>
        <w:tblW w:w="0" w:type="auto"/>
        <w:tblLook w:val="04A0" w:firstRow="1" w:lastRow="0" w:firstColumn="1" w:lastColumn="0" w:noHBand="0" w:noVBand="1"/>
      </w:tblPr>
      <w:tblGrid>
        <w:gridCol w:w="6374"/>
        <w:gridCol w:w="3362"/>
      </w:tblGrid>
      <w:tr w:rsidR="00A730F8" w14:paraId="49F21ADD" w14:textId="77777777" w:rsidTr="00A730F8">
        <w:tc>
          <w:tcPr>
            <w:tcW w:w="6374" w:type="dxa"/>
            <w:vAlign w:val="center"/>
          </w:tcPr>
          <w:p w14:paraId="34FFCC92" w14:textId="3838CE17" w:rsidR="00A730F8" w:rsidRDefault="00A730F8" w:rsidP="00A730F8">
            <w:pPr>
              <w:jc w:val="center"/>
              <w:rPr>
                <w:rFonts w:eastAsiaTheme="minorEastAsia"/>
              </w:rPr>
            </w:pPr>
            <m:oMathPara>
              <m:oMath>
                <m:r>
                  <w:rPr>
                    <w:rFonts w:ascii="Cambria Math" w:hAnsi="Cambria Math"/>
                  </w:rPr>
                  <m:t>F</m:t>
                </m:r>
                <m:d>
                  <m:dPr>
                    <m:ctrlPr>
                      <w:rPr>
                        <w:rFonts w:ascii="Cambria Math" w:eastAsiaTheme="minorEastAsia" w:hAnsi="Cambria Math"/>
                        <w:i/>
                      </w:rPr>
                    </m:ctrlPr>
                  </m:dPr>
                  <m:e>
                    <m:r>
                      <w:rPr>
                        <w:rFonts w:ascii="Cambria Math" w:hAnsi="Cambria Math"/>
                      </w:rPr>
                      <m:t>Y</m:t>
                    </m:r>
                  </m:e>
                </m:d>
                <m:r>
                  <w:rPr>
                    <w:rFonts w:ascii="Cambria Math"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-q + (1 - q)G(Y),  &amp;</m:t>
                        </m:r>
                        <m:r>
                          <m:rPr>
                            <m:sty m:val="p"/>
                          </m:rPr>
                          <w:rPr>
                            <w:rFonts w:ascii="Cambria Math" w:hAnsi="Cambria Math"/>
                          </w:rPr>
                          <m:t>SPI</m:t>
                        </m:r>
                      </m:e>
                      <m:e>
                        <m:r>
                          <w:rPr>
                            <w:rFonts w:ascii="Cambria Math" w:hAnsi="Cambria Math"/>
                          </w:rPr>
                          <m:t>L(Y),  &amp;</m:t>
                        </m:r>
                        <m:r>
                          <m:rPr>
                            <m:sty m:val="p"/>
                          </m:rPr>
                          <w:rPr>
                            <w:rFonts w:ascii="Cambria Math" w:hAnsi="Cambria Math"/>
                          </w:rPr>
                          <m:t>SPEI</m:t>
                        </m:r>
                      </m:e>
                    </m:eqArr>
                  </m:e>
                </m:d>
              </m:oMath>
            </m:oMathPara>
          </w:p>
        </w:tc>
        <w:tc>
          <w:tcPr>
            <w:tcW w:w="3362" w:type="dxa"/>
            <w:vAlign w:val="center"/>
          </w:tcPr>
          <w:p w14:paraId="5457DE25" w14:textId="0E1D2422" w:rsidR="00A730F8" w:rsidRDefault="00A730F8" w:rsidP="00A730F8">
            <w:pPr>
              <w:jc w:val="center"/>
              <w:rPr>
                <w:rFonts w:eastAsiaTheme="minorEastAsia"/>
              </w:rPr>
            </w:pPr>
            <w:r>
              <w:rPr>
                <w:rFonts w:eastAsiaTheme="minorEastAsia"/>
              </w:rPr>
              <w:t>(3)</w:t>
            </w:r>
          </w:p>
        </w:tc>
      </w:tr>
    </w:tbl>
    <w:p w14:paraId="12BFE4C9" w14:textId="77777777" w:rsidR="00A730F8" w:rsidRDefault="00A730F8" w:rsidP="00902F46">
      <w:pPr>
        <w:rPr>
          <w:rFonts w:eastAsiaTheme="minorEastAsia"/>
        </w:rPr>
      </w:pPr>
    </w:p>
    <w:p w14:paraId="30FC5D06" w14:textId="37F628D0" w:rsidR="00723B91" w:rsidRDefault="00870506" w:rsidP="00DE31D5">
      <w:pPr>
        <w:jc w:val="left"/>
      </w:pPr>
      <w:r>
        <w:t xml:space="preserve">where </w:t>
      </w:r>
      <m:oMath>
        <m:r>
          <w:rPr>
            <w:rFonts w:ascii="Cambria Math" w:hAnsi="Cambria Math"/>
          </w:rPr>
          <m:t>q</m:t>
        </m:r>
      </m:oMath>
      <w:r>
        <w:t>is the probability of zero precipitation,</w:t>
      </w:r>
      <w:r w:rsidR="00B15BF7">
        <w:t xml:space="preserve"> </w:t>
      </w:r>
      <m:oMath>
        <m:r>
          <w:rPr>
            <w:rFonts w:ascii="Cambria Math" w:hAnsi="Cambria Math"/>
          </w:rPr>
          <m:t>G(⋅)</m:t>
        </m:r>
      </m:oMath>
      <w:r>
        <w:rPr>
          <w:rFonts w:eastAsiaTheme="minorEastAsia"/>
        </w:rPr>
        <w:t xml:space="preserve"> </w:t>
      </w:r>
      <w:r>
        <w:t>is the Gamma cumulative distribution function, and</w:t>
      </w:r>
      <w:r w:rsidR="00B15BF7">
        <w:t xml:space="preserve"> </w:t>
      </w:r>
      <m:oMath>
        <m:r>
          <w:rPr>
            <w:rFonts w:ascii="Cambria Math" w:hAnsi="Cambria Math"/>
          </w:rPr>
          <m:t>L(⋅)</m:t>
        </m:r>
      </m:oMath>
      <w:r>
        <w:rPr>
          <w:rFonts w:eastAsiaTheme="minorEastAsia"/>
        </w:rPr>
        <w:t xml:space="preserve"> </w:t>
      </w:r>
      <w:r>
        <w:t>is the log-logistic cumulative distribution function.</w:t>
      </w:r>
    </w:p>
    <w:tbl>
      <w:tblPr>
        <w:tblStyle w:val="TableGrid"/>
        <w:tblW w:w="0" w:type="auto"/>
        <w:tblLook w:val="04A0" w:firstRow="1" w:lastRow="0" w:firstColumn="1" w:lastColumn="0" w:noHBand="0" w:noVBand="1"/>
      </w:tblPr>
      <w:tblGrid>
        <w:gridCol w:w="9736"/>
      </w:tblGrid>
      <w:tr w:rsidR="002828E8" w14:paraId="15A15307" w14:textId="77777777" w:rsidTr="00F607C1">
        <w:tc>
          <w:tcPr>
            <w:tcW w:w="9736" w:type="dxa"/>
          </w:tcPr>
          <w:p w14:paraId="5AEEC8FC" w14:textId="338AF691" w:rsidR="002828E8" w:rsidRDefault="007244D0" w:rsidP="002828E8">
            <w:r>
              <w:rPr>
                <w:noProof/>
              </w:rPr>
              <w:drawing>
                <wp:inline distT="0" distB="0" distL="0" distR="0" wp14:anchorId="1FE34BD3" wp14:editId="311EBED9">
                  <wp:extent cx="6188710" cy="1240790"/>
                  <wp:effectExtent l="0" t="0" r="2540" b="0"/>
                  <wp:docPr id="12762215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8710" cy="1240790"/>
                          </a:xfrm>
                          <a:prstGeom prst="rect">
                            <a:avLst/>
                          </a:prstGeom>
                          <a:noFill/>
                          <a:ln>
                            <a:noFill/>
                          </a:ln>
                        </pic:spPr>
                      </pic:pic>
                    </a:graphicData>
                  </a:graphic>
                </wp:inline>
              </w:drawing>
            </w:r>
          </w:p>
        </w:tc>
      </w:tr>
      <w:tr w:rsidR="00BD2B8F" w14:paraId="253EA3D8" w14:textId="77777777" w:rsidTr="00F607C1">
        <w:tc>
          <w:tcPr>
            <w:tcW w:w="9736" w:type="dxa"/>
          </w:tcPr>
          <w:p w14:paraId="77C03F05" w14:textId="77777777" w:rsidR="00BD2B8F" w:rsidRDefault="00BD2B8F" w:rsidP="002828E8"/>
        </w:tc>
      </w:tr>
      <w:tr w:rsidR="00BD2B8F" w14:paraId="19B598DD" w14:textId="77777777" w:rsidTr="00F607C1">
        <w:tc>
          <w:tcPr>
            <w:tcW w:w="9736" w:type="dxa"/>
          </w:tcPr>
          <w:p w14:paraId="49248957" w14:textId="48FB71B3" w:rsidR="00BD2B8F" w:rsidRDefault="00BD2B8F" w:rsidP="002828E8">
            <w:r>
              <w:rPr>
                <w:noProof/>
              </w:rPr>
              <w:lastRenderedPageBreak/>
              <w:drawing>
                <wp:inline distT="0" distB="0" distL="0" distR="0" wp14:anchorId="3DB830E5" wp14:editId="192810F1">
                  <wp:extent cx="6188710" cy="1260475"/>
                  <wp:effectExtent l="0" t="0" r="2540" b="0"/>
                  <wp:docPr id="14440058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88710" cy="1260475"/>
                          </a:xfrm>
                          <a:prstGeom prst="rect">
                            <a:avLst/>
                          </a:prstGeom>
                          <a:noFill/>
                          <a:ln>
                            <a:noFill/>
                          </a:ln>
                        </pic:spPr>
                      </pic:pic>
                    </a:graphicData>
                  </a:graphic>
                </wp:inline>
              </w:drawing>
            </w:r>
          </w:p>
        </w:tc>
      </w:tr>
      <w:tr w:rsidR="00BD2B8F" w14:paraId="42476BA7" w14:textId="77777777" w:rsidTr="00F607C1">
        <w:tc>
          <w:tcPr>
            <w:tcW w:w="9736" w:type="dxa"/>
          </w:tcPr>
          <w:p w14:paraId="70A9EF1F" w14:textId="77777777" w:rsidR="00BD2B8F" w:rsidRDefault="00BD2B8F" w:rsidP="002828E8"/>
        </w:tc>
      </w:tr>
      <w:tr w:rsidR="002828E8" w14:paraId="7B9A66B4" w14:textId="77777777" w:rsidTr="00F607C1">
        <w:tc>
          <w:tcPr>
            <w:tcW w:w="9736" w:type="dxa"/>
          </w:tcPr>
          <w:p w14:paraId="68FAE119" w14:textId="6A85A17B" w:rsidR="002828E8" w:rsidRPr="002828E8" w:rsidRDefault="002828E8" w:rsidP="00BA0FED">
            <w:pPr>
              <w:jc w:val="left"/>
              <w:rPr>
                <w:i/>
                <w:iCs/>
              </w:rPr>
            </w:pPr>
            <w:r w:rsidRPr="002828E8">
              <w:rPr>
                <w:i/>
                <w:iCs/>
              </w:rPr>
              <w:t xml:space="preserve">Figure </w:t>
            </w:r>
            <w:r w:rsidR="00BA0FED">
              <w:rPr>
                <w:i/>
                <w:iCs/>
              </w:rPr>
              <w:t>4</w:t>
            </w:r>
            <w:r w:rsidRPr="002828E8">
              <w:rPr>
                <w:i/>
                <w:iCs/>
              </w:rPr>
              <w:t xml:space="preserve">. SPI and SPEI mapping of the </w:t>
            </w:r>
            <w:r w:rsidR="00D8791B">
              <w:rPr>
                <w:i/>
                <w:iCs/>
              </w:rPr>
              <w:t>Western</w:t>
            </w:r>
            <w:r w:rsidRPr="002828E8">
              <w:rPr>
                <w:i/>
                <w:iCs/>
              </w:rPr>
              <w:t xml:space="preserve"> Australia wheatbelt for </w:t>
            </w:r>
            <w:r w:rsidR="00071D91">
              <w:rPr>
                <w:i/>
                <w:iCs/>
              </w:rPr>
              <w:t>July</w:t>
            </w:r>
            <w:r w:rsidRPr="002828E8">
              <w:rPr>
                <w:i/>
                <w:iCs/>
              </w:rPr>
              <w:t xml:space="preserve"> 2022</w:t>
            </w:r>
          </w:p>
        </w:tc>
      </w:tr>
    </w:tbl>
    <w:p w14:paraId="1FD750D6" w14:textId="77777777" w:rsidR="002828E8" w:rsidRDefault="002828E8" w:rsidP="002828E8"/>
    <w:p w14:paraId="3076E17B" w14:textId="0E0290B7" w:rsidR="004B7484" w:rsidRDefault="004B7484" w:rsidP="004B7484">
      <w:pPr>
        <w:pStyle w:val="Heading2"/>
      </w:pPr>
      <w:r>
        <w:t>Model architecture and development</w:t>
      </w:r>
    </w:p>
    <w:p w14:paraId="69B929A8" w14:textId="3549D9BE" w:rsidR="00865041" w:rsidRDefault="000A7013" w:rsidP="00865041">
      <w:r>
        <w:t xml:space="preserve">We implemented a comparative modelling framework consisting of two baseline models and our proposed architecture, known as </w:t>
      </w:r>
      <w:proofErr w:type="spellStart"/>
      <w:r>
        <w:t>DeepYield-ResNet</w:t>
      </w:r>
      <w:proofErr w:type="spellEnd"/>
      <w:r>
        <w:t>. This approaches specifically focused to conduct rigorous evaluation of the impact of temporal sequence modelling and phenological interpretability to address the limitations of basic statistical models and the “black box” nature of traditional deep learning.</w:t>
      </w:r>
      <w:r w:rsidR="00C07EEA">
        <w:t xml:space="preserve"> </w:t>
      </w:r>
      <w:r w:rsidR="009F2D09">
        <w:t xml:space="preserve">All models were trained to map the spatiotemporal climate sequence </w:t>
      </w:r>
      <m:oMath>
        <m:r>
          <w:rPr>
            <w:rFonts w:ascii="Cambria Math" w:hAnsi="Cambria Math"/>
          </w:rPr>
          <m:t>X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oMath>
      <w:r w:rsidR="00D96D16">
        <w:rPr>
          <w:rFonts w:eastAsiaTheme="minorEastAsia"/>
        </w:rPr>
        <w:t>,</w:t>
      </w:r>
      <w:r w:rsidR="009F2D09" w:rsidRPr="009F2D09">
        <w:t xml:space="preserve"> where </w:t>
      </w:r>
      <m:oMath>
        <m:r>
          <w:rPr>
            <w:rFonts w:ascii="Cambria Math" w:hAnsi="Cambria Math"/>
          </w:rPr>
          <m:t>T=6</m:t>
        </m:r>
      </m:oMath>
      <w:r w:rsidR="009F2D09" w:rsidRPr="009F2D09">
        <w:t xml:space="preserve"> corresponds to the growing season months, and each time step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D</m:t>
            </m:r>
          </m:sup>
        </m:sSup>
      </m:oMath>
      <w:r w:rsidR="009F2D09" w:rsidRPr="009F2D09">
        <w:t xml:space="preserve"> contains </w:t>
      </w:r>
      <m:oMath>
        <m:r>
          <w:rPr>
            <w:rFonts w:ascii="Cambria Math" w:hAnsi="Cambria Math"/>
          </w:rPr>
          <m:t xml:space="preserve">D=14 </m:t>
        </m:r>
      </m:oMath>
      <w:r w:rsidR="009F2D09" w:rsidRPr="009F2D09">
        <w:t>hydro-climatic features</w:t>
      </w:r>
      <w:r w:rsidR="009F2D09">
        <w:t>.</w:t>
      </w:r>
    </w:p>
    <w:p w14:paraId="15066D13" w14:textId="6A82E4AD" w:rsidR="00EF26BF" w:rsidRPr="00865041" w:rsidRDefault="00EF26BF" w:rsidP="00EF26BF">
      <w:pPr>
        <w:pStyle w:val="Heading3"/>
      </w:pPr>
      <w:r>
        <w:t>Baseline Models</w:t>
      </w:r>
    </w:p>
    <w:p w14:paraId="646059C7" w14:textId="3544C4EA" w:rsidR="00DD3009" w:rsidRDefault="00340189" w:rsidP="00DD3009">
      <w:r>
        <w:t xml:space="preserve">Random forest and standard LSTM network were implemented as static baseline and temporal baseline models for this study. The random forest regressor treats the climate variables as </w:t>
      </w:r>
      <w:r w:rsidR="00307CD8">
        <w:t xml:space="preserve">a </w:t>
      </w:r>
      <w:r>
        <w:t>static set of features and ignores the sequential order of the growing season</w:t>
      </w:r>
      <w:r w:rsidR="0028764D">
        <w:t>, while the LSTM processes the climate sequence by maintaining an internal hidden state</w:t>
      </w:r>
      <w:r w:rsidR="0094564C">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28764D">
        <w:t xml:space="preserve">. </w:t>
      </w:r>
      <w:r w:rsidR="00307CD8">
        <w:t>LSTM</w:t>
      </w:r>
      <w:r w:rsidR="0028764D">
        <w:t xml:space="preserve"> </w:t>
      </w:r>
      <w:r w:rsidR="0094564C">
        <w:t>retains</w:t>
      </w:r>
      <w:r w:rsidR="0028764D">
        <w:t xml:space="preserve"> the memory of previous inputs</w:t>
      </w:r>
      <w:r w:rsidR="00D84173">
        <w:t xml:space="preserv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D84173">
        <w:t>)</w:t>
      </w:r>
      <w:r w:rsidR="0028764D">
        <w:t xml:space="preserve"> and encodes the history of weather conditions up to the current time step</w:t>
      </w:r>
      <w:r w:rsidR="00D84173">
        <w:t xml:space="preserve"> </w:t>
      </w:r>
      <w:r w:rsidR="00700D14">
        <w:rPr>
          <w:rFonts w:eastAsiaTheme="minorEastAsia"/>
        </w:rPr>
        <w:t>(</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700D14">
        <w:rPr>
          <w:rFonts w:eastAsiaTheme="minorEastAsia"/>
        </w:rPr>
        <w:t>)</w:t>
      </w:r>
      <w:r w:rsidR="002016CD">
        <w:t xml:space="preserve"> to produce the summary vector for the entire growing season. Even though this mechanism allows</w:t>
      </w:r>
      <w:r w:rsidR="0028764D" w:rsidRPr="0028764D">
        <w:t xml:space="preserve"> the model to capture temporal dependencies and cumulative effects across the growing </w:t>
      </w:r>
      <w:r w:rsidR="002016CD">
        <w:t>season, it assumes the final state perfectly compresses all relevant historical information without explicitly prioritising specific critical windows, potentially leading to the underrepresentation of the phenological importance.</w:t>
      </w:r>
    </w:p>
    <w:p w14:paraId="2DDEA571" w14:textId="141F0A8F" w:rsidR="00340189" w:rsidRDefault="000528F1" w:rsidP="000528F1">
      <w:pPr>
        <w:pStyle w:val="Heading3"/>
      </w:pPr>
      <w:r w:rsidRPr="000528F1">
        <w:t xml:space="preserve">Proposed Architecture: </w:t>
      </w:r>
      <w:proofErr w:type="spellStart"/>
      <w:r w:rsidRPr="000528F1">
        <w:t>DeepYield-ResNet</w:t>
      </w:r>
      <w:proofErr w:type="spellEnd"/>
    </w:p>
    <w:p w14:paraId="4D2BE6B4" w14:textId="0317F799" w:rsidR="00E421DD" w:rsidRDefault="007E0556" w:rsidP="00165876">
      <w:r>
        <w:t xml:space="preserve">We developed </w:t>
      </w:r>
      <w:proofErr w:type="spellStart"/>
      <w:r>
        <w:t>DeepYield-ResNet</w:t>
      </w:r>
      <w:proofErr w:type="spellEnd"/>
      <w:r>
        <w:t xml:space="preserve"> to address the limitations of the baselines, specifically the training instability and the lack of interpretability. </w:t>
      </w:r>
      <w:r w:rsidR="00903A54">
        <w:t>The first</w:t>
      </w:r>
      <w:r>
        <w:t xml:space="preserve"> core computational </w:t>
      </w:r>
      <w:r w:rsidR="00D65E8E">
        <w:t xml:space="preserve">unit of the </w:t>
      </w:r>
      <w:proofErr w:type="spellStart"/>
      <w:r w:rsidR="00D65E8E">
        <w:t>DeepYield-ResNet</w:t>
      </w:r>
      <w:proofErr w:type="spellEnd"/>
      <w:r w:rsidR="00D65E8E">
        <w:t xml:space="preserve"> is the LSTM, chosen for its ability to mitigate the vanishing gradients problem inherent in recurrent neural networks when modelling long-term time-series data to capture </w:t>
      </w:r>
      <w:r>
        <w:t>temporal dependencies.</w:t>
      </w:r>
      <w:r w:rsidR="00307CD8">
        <w:t xml:space="preserve"> </w:t>
      </w:r>
      <w:r w:rsidR="00261275">
        <w:t>In particular, the climate time-series data of our study contains multivariate input, nonlinear relationships and complex seasonal interactions. This requires multiple LSTM layers to increase the model capacity. However, stacking multiple LSTM layers to capture complex</w:t>
      </w:r>
      <w:r w:rsidR="00E421DD">
        <w:t xml:space="preserve"> relationships in the data often leads to signal degradation, where the original useful information from the data becomes progressively weaker as it passes through many layers.</w:t>
      </w:r>
    </w:p>
    <w:p w14:paraId="1F7670AB" w14:textId="38E8AB81" w:rsidR="00B40ABF" w:rsidRDefault="00E421DD" w:rsidP="00165876">
      <w:proofErr w:type="spellStart"/>
      <w:r w:rsidRPr="00E421DD">
        <w:t>DeepYield-ResNet</w:t>
      </w:r>
      <w:proofErr w:type="spellEnd"/>
      <w:r w:rsidRPr="00E421DD">
        <w:t xml:space="preserve"> resolves this by incorporating residual skip connections around each recurrent block.</w:t>
      </w:r>
      <w:r>
        <w:t xml:space="preserve"> Instead of forcing the LSTM to completely transform the original climate data, </w:t>
      </w:r>
      <w:r w:rsidR="00B40ABF">
        <w:t xml:space="preserve">the residual skip mechanism imposes on the LSTM to learn only the most needed data and then the rest can pass through </w:t>
      </w:r>
      <w:r w:rsidR="00B40ABF">
        <w:lastRenderedPageBreak/>
        <w:t>the LSTM unchanged.</w:t>
      </w:r>
      <w:r>
        <w:t xml:space="preserve"> </w:t>
      </w:r>
      <w:r w:rsidR="00836ECB">
        <w:t xml:space="preserve">As shown in Fig. 5, a single residual block in the proposed </w:t>
      </w:r>
      <w:proofErr w:type="spellStart"/>
      <w:r w:rsidR="00836ECB" w:rsidRPr="00836ECB">
        <w:rPr>
          <w:i/>
          <w:iCs/>
        </w:rPr>
        <w:t>DeepYield-ResNet</w:t>
      </w:r>
      <w:proofErr w:type="spellEnd"/>
      <w:r w:rsidR="00836ECB">
        <w:t xml:space="preserve"> consists of an LSTM layer, skip connection function</w:t>
      </w:r>
      <w:r w:rsidR="008431A9">
        <w:t xml:space="preserve"> and </w:t>
      </w:r>
      <w:r w:rsidR="00836ECB">
        <w:t>an addition node</w:t>
      </w:r>
      <w:r w:rsidR="008431A9">
        <w:t>, followed by</w:t>
      </w:r>
      <w:r w:rsidR="00836ECB">
        <w:t xml:space="preserve"> </w:t>
      </w:r>
      <w:r w:rsidR="008431A9">
        <w:t>layer normalisation</w:t>
      </w:r>
      <w:r w:rsidR="00836ECB">
        <w:t xml:space="preserve"> (</w:t>
      </w:r>
      <w:proofErr w:type="spellStart"/>
      <w:r w:rsidR="00836ECB" w:rsidRPr="00836ECB">
        <w:rPr>
          <w:i/>
          <w:iCs/>
        </w:rPr>
        <w:t>LayerNorm</w:t>
      </w:r>
      <w:proofErr w:type="spellEnd"/>
      <w:r w:rsidR="00836ECB">
        <w:t xml:space="preserve">). At each time step t, the </w:t>
      </w:r>
      <w:r w:rsidR="00205BEE">
        <w:t xml:space="preserve">standard </w:t>
      </w:r>
      <w:r w:rsidR="00836ECB">
        <w:t>LSTM component takes the input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836ECB">
        <w:t>) and the previous hidden state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836ECB">
        <w:t>)</w:t>
      </w:r>
      <w:r w:rsidR="008431A9">
        <w:t xml:space="preserve"> for the transformation process</w:t>
      </w:r>
      <w:r w:rsidR="00935650">
        <w:t>. This</w:t>
      </w:r>
      <w:r w:rsidR="00836ECB">
        <w:t xml:space="preserve"> information flow </w:t>
      </w:r>
      <w:r w:rsidR="00935650">
        <w:t>is controlled</w:t>
      </w:r>
      <w:r w:rsidR="00836ECB">
        <w:t xml:space="preserve"> by three gating mechanisms of forget gate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00836ECB">
        <w:t>), input gate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sidR="00836ECB">
        <w:t>) and output gate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rsidR="00836ECB">
        <w:t>)</w:t>
      </w:r>
      <w:r w:rsidR="00935650">
        <w:t>, which subsequently update the cell state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00935650">
        <w:t>) and hidden state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935650">
        <w:t>).</w:t>
      </w:r>
      <w:r w:rsidR="00CA5808">
        <w:t xml:space="preserve"> </w:t>
      </w:r>
      <w:r w:rsidR="00667DF7">
        <w:t xml:space="preserve">To avoid </w:t>
      </w:r>
      <w:r w:rsidR="00694E17">
        <w:t xml:space="preserve">the </w:t>
      </w:r>
      <w:r w:rsidR="00667DF7">
        <w:t xml:space="preserve">transformation of </w:t>
      </w:r>
      <w:r w:rsidR="00694E17">
        <w:t xml:space="preserve">the </w:t>
      </w:r>
      <w:r w:rsidR="00667DF7">
        <w:t xml:space="preserve">original input, the residual skip connection is used to bypass the LSTM </w:t>
      </w:r>
      <w:r w:rsidR="00694E17">
        <w:t>and route</w:t>
      </w:r>
      <w:r w:rsidR="00667DF7">
        <w:t xml:space="preserve"> to the addition node. </w:t>
      </w:r>
      <w:r w:rsidR="00641174">
        <w:t xml:space="preserve">If </w:t>
      </w:r>
      <m:oMath>
        <m:r>
          <w:rPr>
            <w:rFonts w:ascii="Cambria Math" w:hAnsi="Cambria Math"/>
          </w:rPr>
          <m:t>F(x)</m:t>
        </m:r>
      </m:oMath>
      <w:r w:rsidR="00D1068D">
        <w:rPr>
          <w:rFonts w:eastAsiaTheme="minorEastAsia"/>
        </w:rPr>
        <w:t xml:space="preserve"> </w:t>
      </w:r>
      <w:r w:rsidR="00641174">
        <w:rPr>
          <w:rFonts w:eastAsiaTheme="minorEastAsia"/>
        </w:rPr>
        <w:t xml:space="preserve">represents the transformation applied by the LSTM layer to </w:t>
      </w:r>
      <w:r w:rsidR="00483DDE">
        <w:rPr>
          <w:rFonts w:eastAsiaTheme="minorEastAsia"/>
        </w:rPr>
        <w:t xml:space="preserve">the </w:t>
      </w:r>
      <w:r w:rsidR="00641174">
        <w:rPr>
          <w:rFonts w:eastAsiaTheme="minorEastAsia"/>
        </w:rPr>
        <w:t xml:space="preserve">input </w:t>
      </w:r>
      <m:oMath>
        <m:r>
          <w:rPr>
            <w:rFonts w:ascii="Cambria Math" w:hAnsi="Cambria Math"/>
          </w:rPr>
          <m:t>x</m:t>
        </m:r>
      </m:oMath>
      <w:r w:rsidR="00641174">
        <w:rPr>
          <w:rFonts w:eastAsiaTheme="minorEastAsia"/>
        </w:rPr>
        <w:t xml:space="preserve">, the output </w:t>
      </w:r>
      <m:oMath>
        <m:r>
          <w:rPr>
            <w:rFonts w:ascii="Cambria Math" w:hAnsi="Cambria Math"/>
          </w:rPr>
          <m:t>y</m:t>
        </m:r>
      </m:oMath>
      <w:r w:rsidR="00641174">
        <w:rPr>
          <w:rFonts w:eastAsiaTheme="minorEastAsia"/>
        </w:rPr>
        <w:t xml:space="preserve"> of the residual block is defined </w:t>
      </w:r>
      <w:r w:rsidR="00320FD5">
        <w:rPr>
          <w:rFonts w:eastAsiaTheme="minorEastAsia"/>
        </w:rPr>
        <w:t xml:space="preserve">in Eq. </w:t>
      </w:r>
      <w:r w:rsidR="00D80D94">
        <w:rPr>
          <w:rFonts w:eastAsiaTheme="minorEastAsia"/>
        </w:rPr>
        <w:t>4</w:t>
      </w:r>
      <w:r w:rsidR="00320FD5">
        <w:rPr>
          <w:rFonts w:eastAsiaTheme="minorEastAsia"/>
        </w:rPr>
        <w:t>.</w:t>
      </w:r>
      <w:r w:rsidR="00D1068D">
        <w:rPr>
          <w:rFonts w:eastAsiaTheme="minorEastAsia"/>
        </w:rPr>
        <w:t xml:space="preserve"> </w:t>
      </w:r>
      <w:r w:rsidR="00D1068D" w:rsidRPr="00ED044B">
        <w:t>This architecture allows gradients to flow through the network unimpeded during backpropagation, enabling the training of deeper models (2 stacked layers, 128 hidden units) without performance saturation</w:t>
      </w:r>
      <w:r w:rsidR="00D1068D" w:rsidRPr="0089136B">
        <w:t>.</w:t>
      </w:r>
      <w:r w:rsidR="00D1068D">
        <w:t xml:space="preserve"> </w:t>
      </w:r>
    </w:p>
    <w:tbl>
      <w:tblPr>
        <w:tblStyle w:val="TableGrid"/>
        <w:tblW w:w="0" w:type="auto"/>
        <w:tblLook w:val="04A0" w:firstRow="1" w:lastRow="0" w:firstColumn="1" w:lastColumn="0" w:noHBand="0" w:noVBand="1"/>
      </w:tblPr>
      <w:tblGrid>
        <w:gridCol w:w="6374"/>
        <w:gridCol w:w="3362"/>
      </w:tblGrid>
      <w:tr w:rsidR="00D80D94" w14:paraId="50D9C8F7" w14:textId="77777777" w:rsidTr="005258C6">
        <w:tc>
          <w:tcPr>
            <w:tcW w:w="6374" w:type="dxa"/>
            <w:vAlign w:val="center"/>
          </w:tcPr>
          <w:p w14:paraId="3A254C73" w14:textId="1EF03C6E" w:rsidR="00D80D94" w:rsidRDefault="00D80D94" w:rsidP="00D80D94">
            <w:pPr>
              <w:jc w:val="center"/>
              <w:rPr>
                <w:rFonts w:eastAsiaTheme="minorEastAsia"/>
              </w:rPr>
            </w:pPr>
            <m:oMathPara>
              <m:oMath>
                <m:r>
                  <w:rPr>
                    <w:rFonts w:ascii="Cambria Math" w:hAnsi="Cambria Math"/>
                  </w:rPr>
                  <m:t>y=LayerNorm(F</m:t>
                </m:r>
                <m:d>
                  <m:dPr>
                    <m:ctrlPr>
                      <w:rPr>
                        <w:rFonts w:ascii="Cambria Math" w:hAnsi="Cambria Math"/>
                        <w:i/>
                      </w:rPr>
                    </m:ctrlPr>
                  </m:dPr>
                  <m:e>
                    <m:r>
                      <w:rPr>
                        <w:rFonts w:ascii="Cambria Math" w:hAnsi="Cambria Math"/>
                      </w:rPr>
                      <m:t>x</m:t>
                    </m:r>
                  </m:e>
                </m:d>
                <m:r>
                  <w:rPr>
                    <w:rFonts w:ascii="Cambria Math" w:hAnsi="Cambria Math"/>
                  </w:rPr>
                  <m:t>+x)</m:t>
                </m:r>
              </m:oMath>
            </m:oMathPara>
          </w:p>
        </w:tc>
        <w:tc>
          <w:tcPr>
            <w:tcW w:w="3362" w:type="dxa"/>
            <w:vAlign w:val="center"/>
          </w:tcPr>
          <w:p w14:paraId="43F2B36A" w14:textId="7741526B" w:rsidR="00D80D94" w:rsidRDefault="00D80D94" w:rsidP="00D80D94">
            <w:pPr>
              <w:jc w:val="center"/>
              <w:rPr>
                <w:rFonts w:eastAsiaTheme="minorEastAsia"/>
              </w:rPr>
            </w:pPr>
            <w:r>
              <w:rPr>
                <w:rFonts w:eastAsiaTheme="minorEastAsia"/>
              </w:rPr>
              <w:t>(4)</w:t>
            </w:r>
          </w:p>
        </w:tc>
      </w:tr>
    </w:tbl>
    <w:p w14:paraId="480C3326" w14:textId="439AA672" w:rsidR="00483DDE" w:rsidRDefault="00483DDE" w:rsidP="00165876"/>
    <w:tbl>
      <w:tblPr>
        <w:tblStyle w:val="TableGrid"/>
        <w:tblW w:w="0" w:type="auto"/>
        <w:tblLook w:val="04A0" w:firstRow="1" w:lastRow="0" w:firstColumn="1" w:lastColumn="0" w:noHBand="0" w:noVBand="1"/>
      </w:tblPr>
      <w:tblGrid>
        <w:gridCol w:w="9736"/>
      </w:tblGrid>
      <w:tr w:rsidR="00836ECB" w14:paraId="18188308" w14:textId="77777777" w:rsidTr="00836ECB">
        <w:tc>
          <w:tcPr>
            <w:tcW w:w="9736" w:type="dxa"/>
          </w:tcPr>
          <w:p w14:paraId="6576C2B5" w14:textId="08CB47DC" w:rsidR="00836ECB" w:rsidRDefault="00836ECB" w:rsidP="00836ECB">
            <w:pPr>
              <w:jc w:val="center"/>
            </w:pPr>
            <w:r>
              <w:rPr>
                <w:noProof/>
              </w:rPr>
              <w:drawing>
                <wp:inline distT="0" distB="0" distL="0" distR="0" wp14:anchorId="799082AF" wp14:editId="0A6DD87E">
                  <wp:extent cx="2285201" cy="2540681"/>
                  <wp:effectExtent l="0" t="0" r="1270" b="0"/>
                  <wp:docPr id="184311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19059" name="Picture 1843119059"/>
                          <pic:cNvPicPr/>
                        </pic:nvPicPr>
                        <pic:blipFill rotWithShape="1">
                          <a:blip r:embed="rId12" cstate="print">
                            <a:extLst>
                              <a:ext uri="{28A0092B-C50C-407E-A947-70E740481C1C}">
                                <a14:useLocalDpi xmlns:a14="http://schemas.microsoft.com/office/drawing/2010/main" val="0"/>
                              </a:ext>
                            </a:extLst>
                          </a:blip>
                          <a:srcRect t="11125" r="17663" b="27849"/>
                          <a:stretch>
                            <a:fillRect/>
                          </a:stretch>
                        </pic:blipFill>
                        <pic:spPr bwMode="auto">
                          <a:xfrm>
                            <a:off x="0" y="0"/>
                            <a:ext cx="2291669" cy="2547872"/>
                          </a:xfrm>
                          <a:prstGeom prst="rect">
                            <a:avLst/>
                          </a:prstGeom>
                          <a:ln>
                            <a:noFill/>
                          </a:ln>
                          <a:extLst>
                            <a:ext uri="{53640926-AAD7-44D8-BBD7-CCE9431645EC}">
                              <a14:shadowObscured xmlns:a14="http://schemas.microsoft.com/office/drawing/2010/main"/>
                            </a:ext>
                          </a:extLst>
                        </pic:spPr>
                      </pic:pic>
                    </a:graphicData>
                  </a:graphic>
                </wp:inline>
              </w:drawing>
            </w:r>
          </w:p>
        </w:tc>
      </w:tr>
      <w:tr w:rsidR="00836ECB" w14:paraId="416FBCB2" w14:textId="77777777" w:rsidTr="00836ECB">
        <w:tc>
          <w:tcPr>
            <w:tcW w:w="9736" w:type="dxa"/>
          </w:tcPr>
          <w:p w14:paraId="7F67853F" w14:textId="66427DDD" w:rsidR="00836ECB" w:rsidRDefault="00836ECB" w:rsidP="00165876">
            <w:r w:rsidRPr="002828E8">
              <w:rPr>
                <w:i/>
                <w:iCs/>
              </w:rPr>
              <w:t xml:space="preserve">Figure </w:t>
            </w:r>
            <w:r>
              <w:rPr>
                <w:i/>
                <w:iCs/>
              </w:rPr>
              <w:t>5</w:t>
            </w:r>
            <w:r w:rsidRPr="002828E8">
              <w:rPr>
                <w:i/>
                <w:iCs/>
              </w:rPr>
              <w:t xml:space="preserve">. SPI and SPEI mapping of the </w:t>
            </w:r>
            <w:r>
              <w:rPr>
                <w:i/>
                <w:iCs/>
              </w:rPr>
              <w:t>Western</w:t>
            </w:r>
            <w:r w:rsidRPr="002828E8">
              <w:rPr>
                <w:i/>
                <w:iCs/>
              </w:rPr>
              <w:t xml:space="preserve"> Australia wheatbelt for </w:t>
            </w:r>
            <w:r>
              <w:rPr>
                <w:i/>
                <w:iCs/>
              </w:rPr>
              <w:t>July</w:t>
            </w:r>
            <w:r w:rsidRPr="002828E8">
              <w:rPr>
                <w:i/>
                <w:iCs/>
              </w:rPr>
              <w:t xml:space="preserve"> 2022</w:t>
            </w:r>
          </w:p>
        </w:tc>
      </w:tr>
    </w:tbl>
    <w:p w14:paraId="526F11DD" w14:textId="77777777" w:rsidR="00836ECB" w:rsidRDefault="00836ECB" w:rsidP="00165876"/>
    <w:p w14:paraId="55759AF3" w14:textId="5AA57937" w:rsidR="00165876" w:rsidRDefault="00D65E8E" w:rsidP="00165876">
      <w:pPr>
        <w:rPr>
          <w:rFonts w:eastAsiaTheme="minorEastAsia"/>
        </w:rPr>
      </w:pPr>
      <w:r>
        <w:t xml:space="preserve">The second core component of the </w:t>
      </w:r>
      <w:proofErr w:type="spellStart"/>
      <w:r>
        <w:t>DeepYield-ResNet</w:t>
      </w:r>
      <w:proofErr w:type="spellEnd"/>
      <w:r>
        <w:t xml:space="preserve"> is the temporal attention mechanism, which is used </w:t>
      </w:r>
      <w:r w:rsidR="00DF299F">
        <w:t xml:space="preserve">to interpret the importance of specific phenological stages. </w:t>
      </w:r>
      <w:r w:rsidR="00DF299F" w:rsidRPr="00DF299F">
        <w:t>Instead of relying solely on the final hidden state</w:t>
      </w:r>
      <w:r w:rsidR="00DF299F">
        <w:t xml:space="preserve"> from the LSTM, the attention mechanism computes a weighted sum of all hidden states </w:t>
      </w:r>
      <m:oMath>
        <m:r>
          <w:rPr>
            <w:rFonts w:ascii="Cambria Math" w:hAnsi="Cambria Math"/>
          </w:rPr>
          <m:t>H={</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oMath>
      <w:r w:rsidR="00DF299F">
        <w:rPr>
          <w:rFonts w:eastAsiaTheme="minorEastAsia"/>
        </w:rPr>
        <w:t>.</w:t>
      </w:r>
    </w:p>
    <w:p w14:paraId="274A8498" w14:textId="74FAE9D2" w:rsidR="00772E87" w:rsidRDefault="00772E87" w:rsidP="00772E87">
      <w:r>
        <w:t xml:space="preserve">For each time step </w:t>
      </w:r>
      <m:oMath>
        <m:r>
          <w:rPr>
            <w:rFonts w:ascii="Cambria Math" w:hAnsi="Cambria Math" w:cs="Cambria Math"/>
          </w:rPr>
          <m:t>t</m:t>
        </m:r>
      </m:oMath>
      <w:r>
        <w:t>, the attention energy is calculated as:</w:t>
      </w:r>
    </w:p>
    <w:tbl>
      <w:tblPr>
        <w:tblStyle w:val="TableGrid"/>
        <w:tblW w:w="0" w:type="auto"/>
        <w:tblLook w:val="04A0" w:firstRow="1" w:lastRow="0" w:firstColumn="1" w:lastColumn="0" w:noHBand="0" w:noVBand="1"/>
      </w:tblPr>
      <w:tblGrid>
        <w:gridCol w:w="6374"/>
        <w:gridCol w:w="3362"/>
      </w:tblGrid>
      <w:tr w:rsidR="00CF2830" w14:paraId="4AC5AE7F" w14:textId="77777777" w:rsidTr="00337D36">
        <w:tc>
          <w:tcPr>
            <w:tcW w:w="6374" w:type="dxa"/>
            <w:vAlign w:val="center"/>
          </w:tcPr>
          <w:p w14:paraId="09D5A477" w14:textId="1BC93756" w:rsidR="00CF2830" w:rsidRDefault="00CF2830" w:rsidP="00337D36">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tanh⁡</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a</m:t>
                    </m:r>
                  </m:sub>
                </m:sSub>
                <m:r>
                  <w:rPr>
                    <w:rFonts w:ascii="Cambria Math" w:eastAsiaTheme="minorEastAsia" w:hAnsi="Cambria Math"/>
                  </w:rPr>
                  <m:t>)</m:t>
                </m:r>
              </m:oMath>
            </m:oMathPara>
          </w:p>
        </w:tc>
        <w:tc>
          <w:tcPr>
            <w:tcW w:w="3362" w:type="dxa"/>
            <w:vAlign w:val="center"/>
          </w:tcPr>
          <w:p w14:paraId="641312D0" w14:textId="491C4204" w:rsidR="00CF2830" w:rsidRDefault="00CF2830" w:rsidP="00337D36">
            <w:pPr>
              <w:jc w:val="center"/>
              <w:rPr>
                <w:rFonts w:eastAsiaTheme="minorEastAsia"/>
              </w:rPr>
            </w:pPr>
            <w:r>
              <w:rPr>
                <w:rFonts w:eastAsiaTheme="minorEastAsia"/>
              </w:rPr>
              <w:t>(</w:t>
            </w:r>
            <w:r w:rsidR="00CE3133">
              <w:rPr>
                <w:rFonts w:eastAsiaTheme="minorEastAsia"/>
              </w:rPr>
              <w:t>5</w:t>
            </w:r>
            <w:r>
              <w:rPr>
                <w:rFonts w:eastAsiaTheme="minorEastAsia"/>
              </w:rPr>
              <w:t>)</w:t>
            </w:r>
          </w:p>
        </w:tc>
      </w:tr>
    </w:tbl>
    <w:p w14:paraId="7C4D03ED" w14:textId="77777777" w:rsidR="00BB550E" w:rsidRDefault="00BB550E" w:rsidP="00772E87"/>
    <w:p w14:paraId="2B1FEC61" w14:textId="3106116A" w:rsidR="00CF2830" w:rsidRDefault="00ED4FE2" w:rsidP="00772E87">
      <w:r>
        <w:t>w</w:t>
      </w:r>
      <w:r w:rsidR="00CF2830" w:rsidRPr="00CF2830">
        <w:t>here</w:t>
      </w:r>
      <w:r w:rsidR="00C10337">
        <w:t xml:space="preserve"> </w:t>
      </w:r>
      <m:oMath>
        <m:sSub>
          <m:sSubPr>
            <m:ctrlPr>
              <w:rPr>
                <w:rFonts w:ascii="Cambria Math" w:hAnsi="Cambria Math"/>
              </w:rPr>
            </m:ctrlPr>
          </m:sSubPr>
          <m:e>
            <m:r>
              <w:rPr>
                <w:rFonts w:ascii="Cambria Math" w:hAnsi="Cambria Math"/>
              </w:rPr>
              <m:t>W</m:t>
            </m:r>
          </m:e>
          <m:sub>
            <m:r>
              <w:rPr>
                <w:rFonts w:ascii="Cambria Math" w:hAnsi="Cambria Math"/>
              </w:rPr>
              <m:t>a</m:t>
            </m:r>
          </m:sub>
        </m:sSub>
      </m:oMath>
      <w:r w:rsidR="00CF2830" w:rsidRPr="00CF2830">
        <w:t xml:space="preserve">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rsidR="00CF2830" w:rsidRPr="00CF2830">
        <w:t>are learnable parameters. These energies are then normalized using the Softmax function to obtain attention weights:</w:t>
      </w:r>
    </w:p>
    <w:tbl>
      <w:tblPr>
        <w:tblStyle w:val="TableGrid"/>
        <w:tblW w:w="0" w:type="auto"/>
        <w:tblLook w:val="04A0" w:firstRow="1" w:lastRow="0" w:firstColumn="1" w:lastColumn="0" w:noHBand="0" w:noVBand="1"/>
      </w:tblPr>
      <w:tblGrid>
        <w:gridCol w:w="6374"/>
        <w:gridCol w:w="3362"/>
      </w:tblGrid>
      <w:tr w:rsidR="00ED4FE2" w14:paraId="4DAF14A9" w14:textId="77777777" w:rsidTr="00337D36">
        <w:tc>
          <w:tcPr>
            <w:tcW w:w="6374" w:type="dxa"/>
            <w:vAlign w:val="center"/>
          </w:tcPr>
          <w:p w14:paraId="7436FEE3" w14:textId="67E3E747" w:rsidR="00ED4FE2" w:rsidRDefault="003D02AD" w:rsidP="00337D36">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exp⁡</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r>
                      <w:rPr>
                        <w:rFonts w:ascii="Cambria Math" w:eastAsiaTheme="minorEastAsia" w:hAnsi="Cambria Math"/>
                      </w:rPr>
                      <m:t>)</m:t>
                    </m:r>
                  </m:num>
                  <m:den>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T</m:t>
                        </m:r>
                      </m:sup>
                      <m:e>
                        <m:r>
                          <m:rPr>
                            <m:sty m:val="p"/>
                          </m:rPr>
                          <w:rPr>
                            <w:rFonts w:ascii="Cambria Math" w:eastAsiaTheme="minorEastAsia" w:hAnsi="Cambria Math"/>
                          </w:rPr>
                          <m:t>exp⁡</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e>
                    </m:nary>
                  </m:den>
                </m:f>
              </m:oMath>
            </m:oMathPara>
          </w:p>
        </w:tc>
        <w:tc>
          <w:tcPr>
            <w:tcW w:w="3362" w:type="dxa"/>
            <w:vAlign w:val="center"/>
          </w:tcPr>
          <w:p w14:paraId="7CDD37B5" w14:textId="6F5E4EC5" w:rsidR="00ED4FE2" w:rsidRDefault="00ED4FE2" w:rsidP="00337D36">
            <w:pPr>
              <w:jc w:val="center"/>
              <w:rPr>
                <w:rFonts w:eastAsiaTheme="minorEastAsia"/>
              </w:rPr>
            </w:pPr>
            <w:r>
              <w:rPr>
                <w:rFonts w:eastAsiaTheme="minorEastAsia"/>
              </w:rPr>
              <w:t>(</w:t>
            </w:r>
            <w:r w:rsidR="00CE3133">
              <w:rPr>
                <w:rFonts w:eastAsiaTheme="minorEastAsia"/>
              </w:rPr>
              <w:t>6</w:t>
            </w:r>
            <w:r>
              <w:rPr>
                <w:rFonts w:eastAsiaTheme="minorEastAsia"/>
              </w:rPr>
              <w:t>)</w:t>
            </w:r>
          </w:p>
        </w:tc>
      </w:tr>
    </w:tbl>
    <w:p w14:paraId="51EAB94B" w14:textId="77777777" w:rsidR="00ED4FE2" w:rsidRDefault="00ED4FE2" w:rsidP="00772E87"/>
    <w:p w14:paraId="4C0BB0DD" w14:textId="50B8859D" w:rsidR="00ED4FE2" w:rsidRDefault="00ED4FE2" w:rsidP="00772E87">
      <w:r w:rsidRPr="00ED4FE2">
        <w:lastRenderedPageBreak/>
        <w:t xml:space="preserve">Finally, the context vector </w:t>
      </w:r>
      <m:oMath>
        <m:r>
          <w:rPr>
            <w:rFonts w:ascii="Cambria Math" w:hAnsi="Cambria Math"/>
          </w:rPr>
          <m:t>c</m:t>
        </m:r>
      </m:oMath>
      <w:r w:rsidRPr="00ED4FE2">
        <w:t>is computed as the attention-weighted sum of all hidden states:</w:t>
      </w:r>
    </w:p>
    <w:tbl>
      <w:tblPr>
        <w:tblStyle w:val="TableGrid"/>
        <w:tblW w:w="0" w:type="auto"/>
        <w:tblLook w:val="04A0" w:firstRow="1" w:lastRow="0" w:firstColumn="1" w:lastColumn="0" w:noHBand="0" w:noVBand="1"/>
      </w:tblPr>
      <w:tblGrid>
        <w:gridCol w:w="6374"/>
        <w:gridCol w:w="3362"/>
      </w:tblGrid>
      <w:tr w:rsidR="00C30653" w14:paraId="0704C374" w14:textId="77777777" w:rsidTr="00337D36">
        <w:tc>
          <w:tcPr>
            <w:tcW w:w="6374" w:type="dxa"/>
            <w:vAlign w:val="center"/>
          </w:tcPr>
          <w:p w14:paraId="7EA3FE4A" w14:textId="588282E5" w:rsidR="00C30653" w:rsidRDefault="00C30653" w:rsidP="00337D36">
            <w:pPr>
              <w:jc w:val="center"/>
              <w:rPr>
                <w:rFonts w:eastAsiaTheme="minorEastAsia"/>
              </w:rPr>
            </w:pPr>
            <m:oMathPara>
              <m:oMath>
                <m:r>
                  <w:rPr>
                    <w:rFonts w:ascii="Cambria Math" w:eastAsiaTheme="minorEastAsia" w:hAnsi="Cambria Math"/>
                  </w:rPr>
                  <m:t>c=</m:t>
                </m:r>
                <m:nary>
                  <m:naryPr>
                    <m:chr m:val="∑"/>
                    <m:limLoc m:val="undOvr"/>
                    <m:ctrlPr>
                      <w:rPr>
                        <w:rFonts w:ascii="Cambria Math" w:eastAsiaTheme="minorEastAsia" w:hAnsi="Cambria Math"/>
                        <w:i/>
                      </w:rPr>
                    </m:ctrlPr>
                  </m:naryPr>
                  <m:sub>
                    <m:r>
                      <w:rPr>
                        <w:rFonts w:ascii="Cambria Math" w:eastAsiaTheme="minorEastAsia" w:hAnsi="Cambria Math"/>
                      </w:rPr>
                      <m:t>t=1</m:t>
                    </m:r>
                  </m:sub>
                  <m:sup>
                    <m:r>
                      <w:rPr>
                        <w:rFonts w:ascii="Cambria Math" w:eastAsiaTheme="minorEastAsia" w:hAnsi="Cambria Math"/>
                      </w:rPr>
                      <m:t>T</m:t>
                    </m:r>
                  </m:sup>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e>
                </m:nary>
              </m:oMath>
            </m:oMathPara>
          </w:p>
        </w:tc>
        <w:tc>
          <w:tcPr>
            <w:tcW w:w="3362" w:type="dxa"/>
            <w:vAlign w:val="center"/>
          </w:tcPr>
          <w:p w14:paraId="745F4C73" w14:textId="0A275B52" w:rsidR="00C30653" w:rsidRDefault="00C30653" w:rsidP="00337D36">
            <w:pPr>
              <w:jc w:val="center"/>
              <w:rPr>
                <w:rFonts w:eastAsiaTheme="minorEastAsia"/>
              </w:rPr>
            </w:pPr>
            <w:r>
              <w:rPr>
                <w:rFonts w:eastAsiaTheme="minorEastAsia"/>
              </w:rPr>
              <w:t>(</w:t>
            </w:r>
            <w:r w:rsidR="00CE3133">
              <w:rPr>
                <w:rFonts w:eastAsiaTheme="minorEastAsia"/>
              </w:rPr>
              <w:t>7</w:t>
            </w:r>
            <w:r>
              <w:rPr>
                <w:rFonts w:eastAsiaTheme="minorEastAsia"/>
              </w:rPr>
              <w:t>)</w:t>
            </w:r>
          </w:p>
        </w:tc>
      </w:tr>
    </w:tbl>
    <w:p w14:paraId="71F7EEA3" w14:textId="77777777" w:rsidR="00904B19" w:rsidRDefault="00904B19" w:rsidP="00772E87"/>
    <w:p w14:paraId="23BC3723" w14:textId="77777777" w:rsidR="007B406E" w:rsidRDefault="000C68A2" w:rsidP="00772E87">
      <w:pPr>
        <w:rPr>
          <w:rFonts w:eastAsiaTheme="minorEastAsia"/>
        </w:rPr>
      </w:pPr>
      <w:r w:rsidRPr="000C68A2">
        <w:t xml:space="preserve">This mechanism allows the model </w:t>
      </w:r>
      <w:r w:rsidR="003855CE">
        <w:t>to learn critical windows autonomously</w:t>
      </w:r>
      <w:r w:rsidRPr="000C68A2">
        <w:t xml:space="preserve">. </w:t>
      </w:r>
      <w:r w:rsidR="003855CE">
        <w:t>For instance</w:t>
      </w:r>
      <w:r w:rsidRPr="000C68A2">
        <w:t>, if moisture stress in October is the primary driver of yield loss, the model will assign a high value</w:t>
      </w:r>
      <w:r>
        <w:t xml:space="preserve"> to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Oct</m:t>
            </m:r>
          </m:sub>
        </m:sSub>
      </m:oMath>
      <w:r>
        <w:rPr>
          <w:rFonts w:eastAsiaTheme="minorEastAsia"/>
        </w:rPr>
        <w:t xml:space="preserve">, </w:t>
      </w:r>
      <w:r w:rsidRPr="000C68A2">
        <w:rPr>
          <w:rFonts w:eastAsiaTheme="minorEastAsia"/>
        </w:rPr>
        <w:t xml:space="preserve">ensuring the prediction is heavily influenced by that specific time step. </w:t>
      </w:r>
    </w:p>
    <w:p w14:paraId="3C04F6BA" w14:textId="6E5F23E4" w:rsidR="00C30653" w:rsidRDefault="007B406E" w:rsidP="00772E87">
      <w:pPr>
        <w:rPr>
          <w:rFonts w:eastAsiaTheme="minorEastAsia"/>
        </w:rPr>
      </w:pPr>
      <w:r>
        <w:rPr>
          <w:rFonts w:eastAsiaTheme="minorEastAsia"/>
        </w:rPr>
        <w:t xml:space="preserve">In the last stage of the </w:t>
      </w:r>
      <w:proofErr w:type="spellStart"/>
      <w:r>
        <w:t>DeepYield-</w:t>
      </w:r>
      <w:r>
        <w:t>ResNet</w:t>
      </w:r>
      <w:proofErr w:type="spellEnd"/>
      <w:r>
        <w:t xml:space="preserve"> framework,</w:t>
      </w:r>
      <w:r>
        <w:rPr>
          <w:rFonts w:eastAsiaTheme="minorEastAsia"/>
        </w:rPr>
        <w:t xml:space="preserve"> t</w:t>
      </w:r>
      <w:r w:rsidR="00146D8C" w:rsidRPr="00146D8C">
        <w:rPr>
          <w:rFonts w:eastAsiaTheme="minorEastAsia"/>
        </w:rPr>
        <w:t xml:space="preserve">he context vector </w:t>
      </w:r>
      <m:oMath>
        <m:r>
          <w:rPr>
            <w:rFonts w:ascii="Cambria Math" w:eastAsiaTheme="minorEastAsia" w:hAnsi="Cambria Math"/>
          </w:rPr>
          <m:t>c</m:t>
        </m:r>
      </m:oMath>
      <w:r w:rsidR="00146D8C" w:rsidRPr="00146D8C">
        <w:rPr>
          <w:rFonts w:eastAsiaTheme="minorEastAsia"/>
        </w:rPr>
        <w:t xml:space="preserve"> is passed through a regression head consisting of Fully Connected (Dense) layers to map the high-dimensional features to a continuous yield value</w:t>
      </w:r>
      <w:r w:rsidR="009E746C">
        <w:rPr>
          <w:rFonts w:eastAsiaTheme="minorEastAsia"/>
        </w:rPr>
        <w:t xml:space="preserve"> in tonnes per hectare (t/ha). In order to prevent overfitting and improve the generalisation of the model, a dropout rate of 0.2 is applied.</w:t>
      </w:r>
    </w:p>
    <w:p w14:paraId="0E57847E" w14:textId="77777777" w:rsidR="00DF66B9" w:rsidRPr="00165876" w:rsidRDefault="00DF66B9" w:rsidP="00772E87"/>
    <w:p w14:paraId="4515F49F" w14:textId="6AB0A94C" w:rsidR="004B7484" w:rsidRDefault="004B7484" w:rsidP="004B7484">
      <w:pPr>
        <w:pStyle w:val="Heading2"/>
      </w:pPr>
      <w:r>
        <w:t>Model training and evaluation</w:t>
      </w:r>
    </w:p>
    <w:p w14:paraId="018615DC" w14:textId="77777777" w:rsidR="00865041" w:rsidRDefault="00865041" w:rsidP="00865041">
      <w:r>
        <w:t xml:space="preserve">We cannot feed </w:t>
      </w:r>
      <w:proofErr w:type="spellStart"/>
      <w:r>
        <w:t>NetCDF</w:t>
      </w:r>
      <w:proofErr w:type="spellEnd"/>
      <w:r>
        <w:t xml:space="preserve"> files directly into a Neural Network. We need a </w:t>
      </w:r>
      <w:proofErr w:type="spellStart"/>
      <w:r>
        <w:t>PyTorch</w:t>
      </w:r>
      <w:proofErr w:type="spellEnd"/>
      <w:r>
        <w:t xml:space="preserve"> Dataset Loader.</w:t>
      </w:r>
    </w:p>
    <w:p w14:paraId="1D107467" w14:textId="77777777" w:rsidR="00865041" w:rsidRDefault="00865041" w:rsidP="00865041">
      <w:r>
        <w:t>This loader will perform three critical tasks "on the fly" during training:</w:t>
      </w:r>
    </w:p>
    <w:p w14:paraId="270C4964" w14:textId="77777777" w:rsidR="00865041" w:rsidRDefault="00865041" w:rsidP="00865041">
      <w:r>
        <w:t>Flattening: It will treat every valid grid cell (pixel) as a separate training sample.</w:t>
      </w:r>
    </w:p>
    <w:p w14:paraId="477162E0" w14:textId="77777777" w:rsidR="00865041" w:rsidRDefault="00865041" w:rsidP="00865041">
      <w:r>
        <w:t>Input: (</w:t>
      </w:r>
      <w:proofErr w:type="spellStart"/>
      <w:r>
        <w:t>Batch_Size</w:t>
      </w:r>
      <w:proofErr w:type="spellEnd"/>
      <w:r>
        <w:t>, 6 Months, 14 Variables)</w:t>
      </w:r>
    </w:p>
    <w:p w14:paraId="4A0A3291" w14:textId="77777777" w:rsidR="00865041" w:rsidRDefault="00865041" w:rsidP="00865041">
      <w:r>
        <w:t>Target: (</w:t>
      </w:r>
      <w:proofErr w:type="spellStart"/>
      <w:r>
        <w:t>Batch_Size</w:t>
      </w:r>
      <w:proofErr w:type="spellEnd"/>
      <w:r>
        <w:t>, 1 Yield Value)</w:t>
      </w:r>
    </w:p>
    <w:p w14:paraId="0D7CF7AF" w14:textId="77777777" w:rsidR="00865041" w:rsidRDefault="00865041" w:rsidP="00865041">
      <w:r>
        <w:t xml:space="preserve">Masking: It will automatically throw away the "Ocean" and "Desert" pixels (where Yield is </w:t>
      </w:r>
      <w:proofErr w:type="spellStart"/>
      <w:r>
        <w:t>NaN</w:t>
      </w:r>
      <w:proofErr w:type="spellEnd"/>
      <w:r>
        <w:t>), so the model only learns from actual farms.</w:t>
      </w:r>
    </w:p>
    <w:p w14:paraId="1797EF78" w14:textId="61ABCE76" w:rsidR="00865041" w:rsidRPr="00865041" w:rsidRDefault="00865041" w:rsidP="00865041">
      <w:pPr>
        <w:sectPr w:rsidR="00865041" w:rsidRPr="00865041" w:rsidSect="006E7880">
          <w:pgSz w:w="11906" w:h="16838"/>
          <w:pgMar w:top="1440" w:right="1080" w:bottom="1440" w:left="1080" w:header="708" w:footer="708" w:gutter="0"/>
          <w:cols w:space="708"/>
          <w:docGrid w:linePitch="360"/>
        </w:sectPr>
      </w:pPr>
      <w:r>
        <w:t>Normalization: It will standardize your data (Z-scores) so the model doesn't get confused by the different scales of Rainfall vs. Temperature.</w:t>
      </w:r>
    </w:p>
    <w:p w14:paraId="6814BDD2" w14:textId="1973C388" w:rsidR="00AE2DDE" w:rsidRDefault="00AE2DDE" w:rsidP="00AE2DDE">
      <w:pPr>
        <w:pStyle w:val="Heading1"/>
      </w:pPr>
      <w:r>
        <w:lastRenderedPageBreak/>
        <w:t>Results</w:t>
      </w:r>
    </w:p>
    <w:p w14:paraId="18BF326F" w14:textId="13FFDD54" w:rsidR="00AE2DDE" w:rsidRDefault="00AE2DDE" w:rsidP="00AE2DDE">
      <w:pPr>
        <w:pStyle w:val="Heading2"/>
      </w:pPr>
      <w:r>
        <w:t xml:space="preserve">Hydro-climatic drivers </w:t>
      </w:r>
    </w:p>
    <w:p w14:paraId="24C8748B" w14:textId="67DFE923" w:rsidR="00AE2DDE" w:rsidRDefault="00AE2DDE" w:rsidP="00AE2DDE">
      <w:pPr>
        <w:pStyle w:val="Heading2"/>
      </w:pPr>
      <w:r>
        <w:t>Model performance comparison</w:t>
      </w:r>
    </w:p>
    <w:p w14:paraId="30239902" w14:textId="6D0645A0" w:rsidR="00AE2DDE" w:rsidRDefault="00AE2DDE" w:rsidP="00AE2DDE">
      <w:pPr>
        <w:pStyle w:val="Heading2"/>
      </w:pPr>
      <w:r>
        <w:t>Phenological interpretability</w:t>
      </w:r>
    </w:p>
    <w:p w14:paraId="2A450A0E" w14:textId="75F52411" w:rsidR="00AE2DDE" w:rsidRDefault="00AE2DDE" w:rsidP="00AE2DDE">
      <w:pPr>
        <w:pStyle w:val="Heading2"/>
      </w:pPr>
      <w:r>
        <w:t>Spatial error analysis</w:t>
      </w:r>
    </w:p>
    <w:p w14:paraId="3ACA9B65" w14:textId="77777777" w:rsidR="00F46ADC" w:rsidRDefault="00F46ADC" w:rsidP="00821130">
      <w:pPr>
        <w:pStyle w:val="Heading1"/>
        <w:sectPr w:rsidR="00F46ADC" w:rsidSect="006E7880">
          <w:pgSz w:w="11906" w:h="16838"/>
          <w:pgMar w:top="1440" w:right="1080" w:bottom="1440" w:left="1080" w:header="708" w:footer="708" w:gutter="0"/>
          <w:cols w:space="708"/>
          <w:docGrid w:linePitch="360"/>
        </w:sectPr>
      </w:pPr>
    </w:p>
    <w:p w14:paraId="4DD31B51" w14:textId="06C394EC" w:rsidR="00821130" w:rsidRDefault="00821130" w:rsidP="00821130">
      <w:pPr>
        <w:pStyle w:val="Heading1"/>
      </w:pPr>
      <w:r>
        <w:lastRenderedPageBreak/>
        <w:t>Discussion</w:t>
      </w:r>
    </w:p>
    <w:p w14:paraId="09B85281" w14:textId="77777777" w:rsidR="00F46ADC" w:rsidRDefault="00F46ADC" w:rsidP="00821130">
      <w:pPr>
        <w:pStyle w:val="Heading1"/>
        <w:sectPr w:rsidR="00F46ADC" w:rsidSect="006E7880">
          <w:pgSz w:w="11906" w:h="16838"/>
          <w:pgMar w:top="1440" w:right="1080" w:bottom="1440" w:left="1080" w:header="708" w:footer="708" w:gutter="0"/>
          <w:cols w:space="708"/>
          <w:docGrid w:linePitch="360"/>
        </w:sectPr>
      </w:pPr>
    </w:p>
    <w:p w14:paraId="4C0D6CC4" w14:textId="3A351DAB" w:rsidR="00821130" w:rsidRPr="00821130" w:rsidRDefault="00821130" w:rsidP="00821130">
      <w:pPr>
        <w:pStyle w:val="Heading1"/>
      </w:pPr>
      <w:r>
        <w:lastRenderedPageBreak/>
        <w:t>Conclusion</w:t>
      </w:r>
    </w:p>
    <w:sectPr w:rsidR="00821130" w:rsidRPr="00821130" w:rsidSect="006E788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D9417" w14:textId="77777777" w:rsidR="007F159D" w:rsidRDefault="007F159D" w:rsidP="00885D3F">
      <w:pPr>
        <w:spacing w:after="0" w:line="240" w:lineRule="auto"/>
      </w:pPr>
      <w:r>
        <w:separator/>
      </w:r>
    </w:p>
  </w:endnote>
  <w:endnote w:type="continuationSeparator" w:id="0">
    <w:p w14:paraId="5F23D00E" w14:textId="77777777" w:rsidR="007F159D" w:rsidRDefault="007F159D" w:rsidP="00885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26952" w14:textId="77777777" w:rsidR="007F159D" w:rsidRDefault="007F159D" w:rsidP="00885D3F">
      <w:pPr>
        <w:spacing w:after="0" w:line="240" w:lineRule="auto"/>
      </w:pPr>
      <w:r>
        <w:separator/>
      </w:r>
    </w:p>
  </w:footnote>
  <w:footnote w:type="continuationSeparator" w:id="0">
    <w:p w14:paraId="08792DEF" w14:textId="77777777" w:rsidR="007F159D" w:rsidRDefault="007F159D" w:rsidP="00885D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D7AB3"/>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A88592D"/>
    <w:multiLevelType w:val="hybridMultilevel"/>
    <w:tmpl w:val="A3046A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31738FB"/>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58493542">
    <w:abstractNumId w:val="0"/>
  </w:num>
  <w:num w:numId="2" w16cid:durableId="1285040149">
    <w:abstractNumId w:val="2"/>
  </w:num>
  <w:num w:numId="3" w16cid:durableId="919607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25E"/>
    <w:rsid w:val="0001592F"/>
    <w:rsid w:val="00024A1E"/>
    <w:rsid w:val="000405A2"/>
    <w:rsid w:val="000468F0"/>
    <w:rsid w:val="000528F1"/>
    <w:rsid w:val="00064F85"/>
    <w:rsid w:val="00071D91"/>
    <w:rsid w:val="00076673"/>
    <w:rsid w:val="00081621"/>
    <w:rsid w:val="00083449"/>
    <w:rsid w:val="000A7013"/>
    <w:rsid w:val="000B34F4"/>
    <w:rsid w:val="000C68A2"/>
    <w:rsid w:val="000F3143"/>
    <w:rsid w:val="00110516"/>
    <w:rsid w:val="0011486B"/>
    <w:rsid w:val="0012293F"/>
    <w:rsid w:val="00146D8C"/>
    <w:rsid w:val="00151BE7"/>
    <w:rsid w:val="00165876"/>
    <w:rsid w:val="001808AC"/>
    <w:rsid w:val="001B694C"/>
    <w:rsid w:val="002016CD"/>
    <w:rsid w:val="00205BEE"/>
    <w:rsid w:val="002253EA"/>
    <w:rsid w:val="00261275"/>
    <w:rsid w:val="00266B79"/>
    <w:rsid w:val="002710C8"/>
    <w:rsid w:val="00276DE2"/>
    <w:rsid w:val="002828E8"/>
    <w:rsid w:val="0028764D"/>
    <w:rsid w:val="00294970"/>
    <w:rsid w:val="002B306E"/>
    <w:rsid w:val="002C074A"/>
    <w:rsid w:val="002F2B32"/>
    <w:rsid w:val="00306ECC"/>
    <w:rsid w:val="00307CD8"/>
    <w:rsid w:val="0031635A"/>
    <w:rsid w:val="003173F5"/>
    <w:rsid w:val="00320FD5"/>
    <w:rsid w:val="00326D12"/>
    <w:rsid w:val="003370A1"/>
    <w:rsid w:val="00340189"/>
    <w:rsid w:val="00340955"/>
    <w:rsid w:val="0036468B"/>
    <w:rsid w:val="00375182"/>
    <w:rsid w:val="00377A20"/>
    <w:rsid w:val="003855CE"/>
    <w:rsid w:val="003C76F8"/>
    <w:rsid w:val="003D02AD"/>
    <w:rsid w:val="003E50C6"/>
    <w:rsid w:val="003F66E2"/>
    <w:rsid w:val="00404345"/>
    <w:rsid w:val="00413AF0"/>
    <w:rsid w:val="00415360"/>
    <w:rsid w:val="004276BE"/>
    <w:rsid w:val="00433BC3"/>
    <w:rsid w:val="004440B5"/>
    <w:rsid w:val="00472CC6"/>
    <w:rsid w:val="00476307"/>
    <w:rsid w:val="00483DDE"/>
    <w:rsid w:val="004A2C51"/>
    <w:rsid w:val="004B4ECB"/>
    <w:rsid w:val="004B7484"/>
    <w:rsid w:val="004D71A9"/>
    <w:rsid w:val="004E09C4"/>
    <w:rsid w:val="00507598"/>
    <w:rsid w:val="005258C6"/>
    <w:rsid w:val="00592320"/>
    <w:rsid w:val="005C0058"/>
    <w:rsid w:val="005F0B39"/>
    <w:rsid w:val="00625476"/>
    <w:rsid w:val="00636E67"/>
    <w:rsid w:val="00641174"/>
    <w:rsid w:val="006621C1"/>
    <w:rsid w:val="00665DE2"/>
    <w:rsid w:val="00667DF7"/>
    <w:rsid w:val="00694E17"/>
    <w:rsid w:val="006B37D6"/>
    <w:rsid w:val="006C2257"/>
    <w:rsid w:val="006D0641"/>
    <w:rsid w:val="006E7880"/>
    <w:rsid w:val="007007C5"/>
    <w:rsid w:val="00700D14"/>
    <w:rsid w:val="00723B91"/>
    <w:rsid w:val="007244D0"/>
    <w:rsid w:val="00741CFC"/>
    <w:rsid w:val="00772E87"/>
    <w:rsid w:val="007836D5"/>
    <w:rsid w:val="00796700"/>
    <w:rsid w:val="007B406E"/>
    <w:rsid w:val="007E0556"/>
    <w:rsid w:val="007E5D27"/>
    <w:rsid w:val="007F0D0D"/>
    <w:rsid w:val="007F159D"/>
    <w:rsid w:val="007F4C35"/>
    <w:rsid w:val="00821130"/>
    <w:rsid w:val="00836ECB"/>
    <w:rsid w:val="008431A9"/>
    <w:rsid w:val="00856FF6"/>
    <w:rsid w:val="00865041"/>
    <w:rsid w:val="00870506"/>
    <w:rsid w:val="00885D3F"/>
    <w:rsid w:val="0089136B"/>
    <w:rsid w:val="008B1EFB"/>
    <w:rsid w:val="008C788D"/>
    <w:rsid w:val="008F3A1D"/>
    <w:rsid w:val="00902F46"/>
    <w:rsid w:val="00903A54"/>
    <w:rsid w:val="00904B19"/>
    <w:rsid w:val="00907524"/>
    <w:rsid w:val="00911A64"/>
    <w:rsid w:val="00935650"/>
    <w:rsid w:val="0094564C"/>
    <w:rsid w:val="009557DA"/>
    <w:rsid w:val="00970C9B"/>
    <w:rsid w:val="00995F8F"/>
    <w:rsid w:val="009B726B"/>
    <w:rsid w:val="009B7DAC"/>
    <w:rsid w:val="009D07D8"/>
    <w:rsid w:val="009E746C"/>
    <w:rsid w:val="009F2D09"/>
    <w:rsid w:val="00A02EDC"/>
    <w:rsid w:val="00A22951"/>
    <w:rsid w:val="00A421B6"/>
    <w:rsid w:val="00A56A30"/>
    <w:rsid w:val="00A63AD0"/>
    <w:rsid w:val="00A730F8"/>
    <w:rsid w:val="00A8525E"/>
    <w:rsid w:val="00A91FAB"/>
    <w:rsid w:val="00AE2DDE"/>
    <w:rsid w:val="00B045B7"/>
    <w:rsid w:val="00B10CCA"/>
    <w:rsid w:val="00B1592A"/>
    <w:rsid w:val="00B15BF7"/>
    <w:rsid w:val="00B16452"/>
    <w:rsid w:val="00B37685"/>
    <w:rsid w:val="00B40ABF"/>
    <w:rsid w:val="00B57F7C"/>
    <w:rsid w:val="00B93136"/>
    <w:rsid w:val="00BA0FED"/>
    <w:rsid w:val="00BB550E"/>
    <w:rsid w:val="00BC2955"/>
    <w:rsid w:val="00BD2B8F"/>
    <w:rsid w:val="00C0396B"/>
    <w:rsid w:val="00C07AF4"/>
    <w:rsid w:val="00C07EEA"/>
    <w:rsid w:val="00C10337"/>
    <w:rsid w:val="00C137DB"/>
    <w:rsid w:val="00C30653"/>
    <w:rsid w:val="00C31757"/>
    <w:rsid w:val="00C370D8"/>
    <w:rsid w:val="00C437A6"/>
    <w:rsid w:val="00CA5808"/>
    <w:rsid w:val="00CA695D"/>
    <w:rsid w:val="00CE3133"/>
    <w:rsid w:val="00CF2830"/>
    <w:rsid w:val="00D02EA5"/>
    <w:rsid w:val="00D1068D"/>
    <w:rsid w:val="00D30E32"/>
    <w:rsid w:val="00D57CAA"/>
    <w:rsid w:val="00D65E8E"/>
    <w:rsid w:val="00D80D94"/>
    <w:rsid w:val="00D82B48"/>
    <w:rsid w:val="00D83EC7"/>
    <w:rsid w:val="00D84173"/>
    <w:rsid w:val="00D8791B"/>
    <w:rsid w:val="00D91714"/>
    <w:rsid w:val="00D96D16"/>
    <w:rsid w:val="00DB3DCE"/>
    <w:rsid w:val="00DC088F"/>
    <w:rsid w:val="00DC280F"/>
    <w:rsid w:val="00DD1F92"/>
    <w:rsid w:val="00DD3009"/>
    <w:rsid w:val="00DE31D5"/>
    <w:rsid w:val="00DF299F"/>
    <w:rsid w:val="00DF66B9"/>
    <w:rsid w:val="00DF7A69"/>
    <w:rsid w:val="00E36ED5"/>
    <w:rsid w:val="00E421DD"/>
    <w:rsid w:val="00E45867"/>
    <w:rsid w:val="00E73FCF"/>
    <w:rsid w:val="00E9509B"/>
    <w:rsid w:val="00ED044B"/>
    <w:rsid w:val="00ED4FE2"/>
    <w:rsid w:val="00EF26BF"/>
    <w:rsid w:val="00F20461"/>
    <w:rsid w:val="00F219A3"/>
    <w:rsid w:val="00F369DA"/>
    <w:rsid w:val="00F46ADC"/>
    <w:rsid w:val="00F607C1"/>
    <w:rsid w:val="00F82D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B367"/>
  <w15:chartTrackingRefBased/>
  <w15:docId w15:val="{D8D51018-A5C9-49B6-83D5-E35E6F94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BC3"/>
    <w:pPr>
      <w:jc w:val="both"/>
    </w:pPr>
    <w:rPr>
      <w:rFonts w:ascii="Times New Roman" w:hAnsi="Times New Roman"/>
    </w:rPr>
  </w:style>
  <w:style w:type="paragraph" w:styleId="Heading1">
    <w:name w:val="heading 1"/>
    <w:basedOn w:val="Normal"/>
    <w:next w:val="Normal"/>
    <w:link w:val="Heading1Char"/>
    <w:uiPriority w:val="9"/>
    <w:qFormat/>
    <w:rsid w:val="00AE2DDE"/>
    <w:pPr>
      <w:keepNext/>
      <w:keepLines/>
      <w:numPr>
        <w:numId w:val="2"/>
      </w:numPr>
      <w:spacing w:before="360" w:after="80"/>
      <w:outlineLvl w:val="0"/>
    </w:pPr>
    <w:rPr>
      <w:rFonts w:eastAsiaTheme="majorEastAsia" w:cstheme="majorBidi"/>
      <w:color w:val="C00000"/>
      <w:sz w:val="28"/>
      <w:szCs w:val="40"/>
    </w:rPr>
  </w:style>
  <w:style w:type="paragraph" w:styleId="Heading2">
    <w:name w:val="heading 2"/>
    <w:basedOn w:val="Normal"/>
    <w:next w:val="Normal"/>
    <w:link w:val="Heading2Char"/>
    <w:uiPriority w:val="9"/>
    <w:unhideWhenUsed/>
    <w:qFormat/>
    <w:rsid w:val="00821130"/>
    <w:pPr>
      <w:keepNext/>
      <w:keepLines/>
      <w:numPr>
        <w:ilvl w:val="1"/>
        <w:numId w:val="2"/>
      </w:numPr>
      <w:spacing w:before="160" w:after="80"/>
      <w:outlineLvl w:val="1"/>
    </w:pPr>
    <w:rPr>
      <w:rFonts w:eastAsiaTheme="majorEastAsia" w:cstheme="majorBidi"/>
      <w:color w:val="C00000"/>
      <w:szCs w:val="32"/>
    </w:rPr>
  </w:style>
  <w:style w:type="paragraph" w:styleId="Heading3">
    <w:name w:val="heading 3"/>
    <w:basedOn w:val="Normal"/>
    <w:next w:val="Normal"/>
    <w:link w:val="Heading3Char"/>
    <w:uiPriority w:val="9"/>
    <w:unhideWhenUsed/>
    <w:qFormat/>
    <w:rsid w:val="00EF26BF"/>
    <w:pPr>
      <w:keepNext/>
      <w:keepLines/>
      <w:numPr>
        <w:ilvl w:val="2"/>
        <w:numId w:val="2"/>
      </w:numPr>
      <w:spacing w:before="160" w:after="80"/>
      <w:outlineLvl w:val="2"/>
    </w:pPr>
    <w:rPr>
      <w:rFonts w:eastAsiaTheme="majorEastAsia" w:cstheme="majorBidi"/>
      <w:i/>
      <w:color w:val="C00000"/>
      <w:szCs w:val="28"/>
    </w:rPr>
  </w:style>
  <w:style w:type="paragraph" w:styleId="Heading4">
    <w:name w:val="heading 4"/>
    <w:basedOn w:val="Normal"/>
    <w:next w:val="Normal"/>
    <w:link w:val="Heading4Char"/>
    <w:uiPriority w:val="9"/>
    <w:semiHidden/>
    <w:unhideWhenUsed/>
    <w:qFormat/>
    <w:rsid w:val="00A8525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25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25E"/>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25E"/>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25E"/>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25E"/>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DDE"/>
    <w:rPr>
      <w:rFonts w:ascii="Times New Roman" w:eastAsiaTheme="majorEastAsia" w:hAnsi="Times New Roman" w:cstheme="majorBidi"/>
      <w:color w:val="C00000"/>
      <w:sz w:val="28"/>
      <w:szCs w:val="40"/>
    </w:rPr>
  </w:style>
  <w:style w:type="character" w:customStyle="1" w:styleId="Heading2Char">
    <w:name w:val="Heading 2 Char"/>
    <w:basedOn w:val="DefaultParagraphFont"/>
    <w:link w:val="Heading2"/>
    <w:uiPriority w:val="9"/>
    <w:rsid w:val="00821130"/>
    <w:rPr>
      <w:rFonts w:ascii="Times New Roman" w:eastAsiaTheme="majorEastAsia" w:hAnsi="Times New Roman" w:cstheme="majorBidi"/>
      <w:color w:val="C00000"/>
      <w:szCs w:val="32"/>
    </w:rPr>
  </w:style>
  <w:style w:type="character" w:customStyle="1" w:styleId="Heading3Char">
    <w:name w:val="Heading 3 Char"/>
    <w:basedOn w:val="DefaultParagraphFont"/>
    <w:link w:val="Heading3"/>
    <w:uiPriority w:val="9"/>
    <w:rsid w:val="00EF26BF"/>
    <w:rPr>
      <w:rFonts w:ascii="Times New Roman" w:eastAsiaTheme="majorEastAsia" w:hAnsi="Times New Roman" w:cstheme="majorBidi"/>
      <w:i/>
      <w:color w:val="C00000"/>
      <w:szCs w:val="28"/>
    </w:rPr>
  </w:style>
  <w:style w:type="character" w:customStyle="1" w:styleId="Heading4Char">
    <w:name w:val="Heading 4 Char"/>
    <w:basedOn w:val="DefaultParagraphFont"/>
    <w:link w:val="Heading4"/>
    <w:uiPriority w:val="9"/>
    <w:semiHidden/>
    <w:rsid w:val="00A85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25E"/>
    <w:rPr>
      <w:rFonts w:eastAsiaTheme="majorEastAsia" w:cstheme="majorBidi"/>
      <w:color w:val="272727" w:themeColor="text1" w:themeTint="D8"/>
    </w:rPr>
  </w:style>
  <w:style w:type="paragraph" w:styleId="Title">
    <w:name w:val="Title"/>
    <w:basedOn w:val="Normal"/>
    <w:next w:val="Normal"/>
    <w:link w:val="TitleChar"/>
    <w:uiPriority w:val="10"/>
    <w:qFormat/>
    <w:rsid w:val="00A85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25E"/>
    <w:pPr>
      <w:spacing w:before="160"/>
      <w:jc w:val="center"/>
    </w:pPr>
    <w:rPr>
      <w:i/>
      <w:iCs/>
      <w:color w:val="404040" w:themeColor="text1" w:themeTint="BF"/>
    </w:rPr>
  </w:style>
  <w:style w:type="character" w:customStyle="1" w:styleId="QuoteChar">
    <w:name w:val="Quote Char"/>
    <w:basedOn w:val="DefaultParagraphFont"/>
    <w:link w:val="Quote"/>
    <w:uiPriority w:val="29"/>
    <w:rsid w:val="00A8525E"/>
    <w:rPr>
      <w:i/>
      <w:iCs/>
      <w:color w:val="404040" w:themeColor="text1" w:themeTint="BF"/>
    </w:rPr>
  </w:style>
  <w:style w:type="paragraph" w:styleId="ListParagraph">
    <w:name w:val="List Paragraph"/>
    <w:basedOn w:val="Normal"/>
    <w:uiPriority w:val="34"/>
    <w:qFormat/>
    <w:rsid w:val="00A8525E"/>
    <w:pPr>
      <w:ind w:left="720"/>
      <w:contextualSpacing/>
    </w:pPr>
  </w:style>
  <w:style w:type="character" w:styleId="IntenseEmphasis">
    <w:name w:val="Intense Emphasis"/>
    <w:basedOn w:val="DefaultParagraphFont"/>
    <w:uiPriority w:val="21"/>
    <w:qFormat/>
    <w:rsid w:val="00A8525E"/>
    <w:rPr>
      <w:i/>
      <w:iCs/>
      <w:color w:val="0F4761" w:themeColor="accent1" w:themeShade="BF"/>
    </w:rPr>
  </w:style>
  <w:style w:type="paragraph" w:styleId="IntenseQuote">
    <w:name w:val="Intense Quote"/>
    <w:basedOn w:val="Normal"/>
    <w:next w:val="Normal"/>
    <w:link w:val="IntenseQuoteChar"/>
    <w:uiPriority w:val="30"/>
    <w:qFormat/>
    <w:rsid w:val="00A85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25E"/>
    <w:rPr>
      <w:i/>
      <w:iCs/>
      <w:color w:val="0F4761" w:themeColor="accent1" w:themeShade="BF"/>
    </w:rPr>
  </w:style>
  <w:style w:type="character" w:styleId="IntenseReference">
    <w:name w:val="Intense Reference"/>
    <w:basedOn w:val="DefaultParagraphFont"/>
    <w:uiPriority w:val="32"/>
    <w:qFormat/>
    <w:rsid w:val="00A8525E"/>
    <w:rPr>
      <w:b/>
      <w:bCs/>
      <w:smallCaps/>
      <w:color w:val="0F4761" w:themeColor="accent1" w:themeShade="BF"/>
      <w:spacing w:val="5"/>
    </w:rPr>
  </w:style>
  <w:style w:type="paragraph" w:styleId="EndnoteText">
    <w:name w:val="endnote text"/>
    <w:basedOn w:val="Normal"/>
    <w:link w:val="EndnoteTextChar"/>
    <w:uiPriority w:val="99"/>
    <w:semiHidden/>
    <w:unhideWhenUsed/>
    <w:rsid w:val="00885D3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85D3F"/>
    <w:rPr>
      <w:rFonts w:ascii="Times New Roman" w:hAnsi="Times New Roman"/>
      <w:sz w:val="20"/>
      <w:szCs w:val="20"/>
    </w:rPr>
  </w:style>
  <w:style w:type="character" w:styleId="EndnoteReference">
    <w:name w:val="endnote reference"/>
    <w:basedOn w:val="DefaultParagraphFont"/>
    <w:uiPriority w:val="99"/>
    <w:semiHidden/>
    <w:unhideWhenUsed/>
    <w:rsid w:val="00885D3F"/>
    <w:rPr>
      <w:vertAlign w:val="superscript"/>
    </w:rPr>
  </w:style>
  <w:style w:type="character" w:styleId="PlaceholderText">
    <w:name w:val="Placeholder Text"/>
    <w:basedOn w:val="DefaultParagraphFont"/>
    <w:uiPriority w:val="99"/>
    <w:semiHidden/>
    <w:rsid w:val="00723B91"/>
    <w:rPr>
      <w:color w:val="666666"/>
    </w:rPr>
  </w:style>
  <w:style w:type="paragraph" w:styleId="FootnoteText">
    <w:name w:val="footnote text"/>
    <w:basedOn w:val="Normal"/>
    <w:link w:val="FootnoteTextChar"/>
    <w:uiPriority w:val="99"/>
    <w:semiHidden/>
    <w:unhideWhenUsed/>
    <w:rsid w:val="0040434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4345"/>
    <w:rPr>
      <w:rFonts w:ascii="Times New Roman" w:hAnsi="Times New Roman"/>
      <w:sz w:val="20"/>
      <w:szCs w:val="20"/>
    </w:rPr>
  </w:style>
  <w:style w:type="character" w:styleId="FootnoteReference">
    <w:name w:val="footnote reference"/>
    <w:basedOn w:val="DefaultParagraphFont"/>
    <w:uiPriority w:val="99"/>
    <w:semiHidden/>
    <w:unhideWhenUsed/>
    <w:rsid w:val="00404345"/>
    <w:rPr>
      <w:vertAlign w:val="superscript"/>
    </w:rPr>
  </w:style>
  <w:style w:type="table" w:styleId="TableGrid">
    <w:name w:val="Table Grid"/>
    <w:basedOn w:val="TableNormal"/>
    <w:uiPriority w:val="39"/>
    <w:rsid w:val="00282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F460E-22F3-4EEA-86DB-2D49A7837921}">
  <ds:schemaRefs>
    <ds:schemaRef ds:uri="http://schemas.openxmlformats.org/officeDocument/2006/bibliography"/>
  </ds:schemaRefs>
</ds:datastoreItem>
</file>

<file path=docMetadata/LabelInfo.xml><?xml version="1.0" encoding="utf-8"?>
<clbl:labelList xmlns:clbl="http://schemas.microsoft.com/office/2020/mipLabelMetadata">
  <clbl:label id="{b4fff8a3-050f-428f-b966-cc56f581f9b1}" enabled="1" method="Standard" siteId="{7dfbfb93-19b6-4985-ac7e-501a37938456}" contentBits="0" removed="0"/>
</clbl:labelList>
</file>

<file path=docProps/app.xml><?xml version="1.0" encoding="utf-8"?>
<Properties xmlns="http://schemas.openxmlformats.org/officeDocument/2006/extended-properties" xmlns:vt="http://schemas.openxmlformats.org/officeDocument/2006/docPropsVTypes">
  <Template>Normal.dotm</Template>
  <TotalTime>1180</TotalTime>
  <Pages>11</Pages>
  <Words>1926</Words>
  <Characters>10983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Joseph</dc:creator>
  <cp:keywords/>
  <dc:description/>
  <cp:lastModifiedBy>Charles Joseph</cp:lastModifiedBy>
  <cp:revision>108</cp:revision>
  <dcterms:created xsi:type="dcterms:W3CDTF">2026-02-11T14:44:00Z</dcterms:created>
  <dcterms:modified xsi:type="dcterms:W3CDTF">2026-02-13T15:27:00Z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3baa56b3-b89e-49ce-9f42-be4eb306a8e5</vt:lpwstr>
  </property>
</Properties>
</file>