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5436AA96" w14:textId="77777777" w:rsidR="00312456" w:rsidRDefault="00312456" w:rsidP="00312456">
      <w:pPr>
        <w:numPr>
          <w:ilvl w:val="0"/>
          <w:numId w:val="3"/>
        </w:numPr>
      </w:pPr>
      <w:r>
        <w:t>Se centra en la fuente centralizada de alojamiento de código</w:t>
      </w:r>
    </w:p>
    <w:p w14:paraId="2141D40B" w14:textId="77777777" w:rsidR="00312456" w:rsidRDefault="00312456" w:rsidP="00312456">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2C777C"/>
    <w:rsid w:val="00312456"/>
    <w:rsid w:val="00520980"/>
    <w:rsid w:val="00820908"/>
    <w:rsid w:val="009A3500"/>
    <w:rsid w:val="00AE02A3"/>
    <w:rsid w:val="00C74362"/>
    <w:rsid w:val="00D524F6"/>
    <w:rsid w:val="00DB25E3"/>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354</Words>
  <Characters>1947</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25</cp:revision>
  <dcterms:created xsi:type="dcterms:W3CDTF">2022-05-13T01:25:00Z</dcterms:created>
  <dcterms:modified xsi:type="dcterms:W3CDTF">2022-05-13T01:46:00Z</dcterms:modified>
</cp:coreProperties>
</file>