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pBdr>
          <w:bottom w:val="single" w:sz="12" w:space="8" w:color="C2410C"/>
        </w:pBdr>
      </w:pPr>
      <w:r>
        <w:rPr>
          <w:rFonts w:ascii="思源黑体 CN" w:hAnsi="思源黑体 CN" w:eastAsia="思源黑体 CN"/>
          <w:b/>
          <w:i w:val="0"/>
          <w:color w:val="1A1A1A"/>
          <w:sz w:val="48"/>
        </w:rPr>
        <w:t>SkillHub 入库测试报告</w:t>
      </w:r>
    </w:p>
    <w:p>
      <w:pPr>
        <w:spacing w:line="384" w:lineRule="auto" w:after="120"/>
      </w:pPr>
      <w:r>
        <w:rPr>
          <w:rFonts w:ascii="思源宋体 CN" w:hAnsi="思源宋体 CN" w:eastAsia="思源宋体 CN"/>
          <w:b w:val="0"/>
          <w:i w:val="0"/>
          <w:sz w:val="22"/>
        </w:rPr>
        <w:t xml:space="preserve">这是一份用于测试 </w:t>
      </w:r>
      <w:r>
        <w:rPr>
          <w:rFonts w:ascii="JetBrains Mono" w:hAnsi="JetBrains Mono" w:eastAsia="JetBrains Mono"/>
          <w:b w:val="0"/>
          <w:i w:val="0"/>
          <w:color w:val="C2410C"/>
          <w:sz w:val="21"/>
        </w:rPr>
        <w:t>huashu-md-html</w:t>
      </w:r>
      <w:r>
        <w:rPr>
          <w:rFonts w:ascii="思源宋体 CN" w:hAnsi="思源宋体 CN" w:eastAsia="思源宋体 CN"/>
          <w:b w:val="0"/>
          <w:i w:val="0"/>
          <w:sz w:val="22"/>
        </w:rPr>
        <w:t xml:space="preserve"> skill 的短文档。目标是验证 Markdown 到 HTML 的兜底流水线是否可运行，并确认产物具备基本排版结构。</w:t>
      </w:r>
    </w:p>
    <w:p>
      <w:pPr>
        <w:spacing w:before="400" w:after="160"/>
      </w:pPr>
      <w:r>
        <w:rPr>
          <w:rFonts w:ascii="思源黑体 CN" w:hAnsi="思源黑体 CN" w:eastAsia="思源黑体 CN"/>
          <w:b/>
          <w:i w:val="0"/>
          <w:color w:val="1A1A1A"/>
          <w:sz w:val="34"/>
        </w:rPr>
        <w:t>测试范围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536"/>
        <w:gridCol w:w="4536"/>
      </w:tblGrid>
      <w:tr>
        <w:tc>
          <w:tcPr>
            <w:tcW w:type="dxa" w:w="4536"/>
            <w:shd w:val="clear" w:fill="F5F5F0"/>
            <w:vAlign w:val="center"/>
          </w:tcPr>
          <w:p>
            <w:r>
              <w:rPr>
                <w:b/>
                <w:color w:val="1A1A1A"/>
              </w:rPr>
            </w:r>
            <w:r>
              <w:rPr>
                <w:rFonts w:ascii="思源宋体 CN" w:hAnsi="思源宋体 CN" w:eastAsia="思源宋体 CN"/>
                <w:b/>
                <w:i w:val="0"/>
                <w:color w:val="1A1A1A"/>
                <w:sz w:val="20"/>
              </w:rPr>
              <w:t>项目</w:t>
            </w:r>
          </w:p>
        </w:tc>
        <w:tc>
          <w:tcPr>
            <w:tcW w:type="dxa" w:w="4536"/>
            <w:shd w:val="clear" w:fill="F5F5F0"/>
            <w:vAlign w:val="center"/>
          </w:tcPr>
          <w:p>
            <w:r>
              <w:rPr>
                <w:b/>
                <w:color w:val="1A1A1A"/>
              </w:rPr>
            </w:r>
            <w:r>
              <w:rPr>
                <w:rFonts w:ascii="思源宋体 CN" w:hAnsi="思源宋体 CN" w:eastAsia="思源宋体 CN"/>
                <w:b/>
                <w:i w:val="0"/>
                <w:color w:val="1A1A1A"/>
                <w:sz w:val="20"/>
              </w:rPr>
              <w:t>预期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思源宋体 CN" w:hAnsi="思源宋体 CN" w:eastAsia="思源宋体 CN"/>
                <w:b w:val="0"/>
                <w:i w:val="0"/>
                <w:sz w:val="20"/>
              </w:rPr>
              <w:t>标题层级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思源宋体 CN" w:hAnsi="思源宋体 CN" w:eastAsia="思源宋体 CN"/>
                <w:b w:val="0"/>
                <w:i w:val="0"/>
                <w:sz w:val="20"/>
              </w:rPr>
              <w:t>保留 h1 / h2 / h3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思源宋体 CN" w:hAnsi="思源宋体 CN" w:eastAsia="思源宋体 CN"/>
                <w:b w:val="0"/>
                <w:i w:val="0"/>
                <w:sz w:val="20"/>
              </w:rPr>
              <w:t>表格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思源宋体 CN" w:hAnsi="思源宋体 CN" w:eastAsia="思源宋体 CN"/>
                <w:b w:val="0"/>
                <w:i w:val="0"/>
                <w:sz w:val="20"/>
              </w:rPr>
              <w:t>渲染为可读表格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思源宋体 CN" w:hAnsi="思源宋体 CN" w:eastAsia="思源宋体 CN"/>
                <w:b w:val="0"/>
                <w:i w:val="0"/>
                <w:sz w:val="20"/>
              </w:rPr>
              <w:t>引用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思源宋体 CN" w:hAnsi="思源宋体 CN" w:eastAsia="思源宋体 CN"/>
                <w:b w:val="0"/>
                <w:i w:val="0"/>
                <w:sz w:val="20"/>
              </w:rPr>
              <w:t>转换为明确的引用块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思源宋体 CN" w:hAnsi="思源宋体 CN" w:eastAsia="思源宋体 CN"/>
                <w:b w:val="0"/>
                <w:i w:val="0"/>
                <w:sz w:val="20"/>
              </w:rPr>
              <w:t>代码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思源宋体 CN" w:hAnsi="思源宋体 CN" w:eastAsia="思源宋体 CN"/>
                <w:b w:val="0"/>
                <w:i w:val="0"/>
                <w:sz w:val="20"/>
              </w:rPr>
              <w:t>保留等宽代码块</w:t>
            </w:r>
          </w:p>
        </w:tc>
      </w:tr>
    </w:tbl>
    <w:p>
      <w:pPr>
        <w:shd w:val="clear" w:fill="FFF7ED"/>
        <w:pBdr>
          <w:left w:val="single" w:sz="20" w:space="10" w:color="C2410C"/>
        </w:pBdr>
        <w:spacing w:before="160" w:after="160" w:line="360" w:lineRule="auto"/>
      </w:pPr>
      <w:r>
        <w:rPr>
          <w:rFonts w:ascii="思源宋体 CN" w:hAnsi="思源宋体 CN" w:eastAsia="思源宋体 CN"/>
          <w:b w:val="0"/>
          <w:i w:val="0"/>
          <w:sz w:val="21"/>
        </w:rPr>
        <w:t>好的文档流水线应该把 Markdown 当作源代码，把 HTML 当作可发布产物。</w:t>
      </w:r>
    </w:p>
    <w:p>
      <w:pPr>
        <w:spacing w:before="400" w:after="160"/>
      </w:pPr>
      <w:r>
        <w:rPr>
          <w:rFonts w:ascii="思源黑体 CN" w:hAnsi="思源黑体 CN" w:eastAsia="思源黑体 CN"/>
          <w:b/>
          <w:i w:val="0"/>
          <w:color w:val="1A1A1A"/>
          <w:sz w:val="34"/>
        </w:rPr>
        <w:t>示例代码</w:t>
      </w:r>
    </w:p>
    <w:p>
      <w:pPr>
        <w:shd w:val="clear" w:fill="F5F5F0"/>
        <w:pBdr>
          <w:left w:val="single" w:sz="16" w:space="10" w:color="C2410C"/>
        </w:pBdr>
        <w:spacing w:before="160" w:after="160" w:line="336" w:lineRule="auto"/>
      </w:pPr>
      <w:r>
        <w:rPr>
          <w:rFonts w:ascii="JetBrains Mono" w:hAnsi="JetBrains Mono" w:eastAsia="JetBrains Mono"/>
          <w:b w:val="0"/>
          <w:i w:val="0"/>
          <w:color w:val="1A1A1A"/>
          <w:sz w:val="19"/>
        </w:rPr>
        <w:t>const workflow = ["import", "extract", "document", "validate"];</w:t>
        <w:br/>
        <w:t>console.log(workflow.join(" -&gt; "));</w:t>
      </w:r>
    </w:p>
    <w:p>
      <w:pPr>
        <w:spacing w:before="400" w:after="160"/>
      </w:pPr>
      <w:r>
        <w:rPr>
          <w:rFonts w:ascii="思源黑体 CN" w:hAnsi="思源黑体 CN" w:eastAsia="思源黑体 CN"/>
          <w:b/>
          <w:i w:val="0"/>
          <w:color w:val="1A1A1A"/>
          <w:sz w:val="34"/>
        </w:rPr>
        <w:t>结论</w:t>
      </w:r>
    </w:p>
    <w:p>
      <w:pPr>
        <w:spacing w:line="384" w:lineRule="auto" w:after="120"/>
      </w:pPr>
      <w:r>
        <w:rPr>
          <w:rFonts w:ascii="思源宋体 CN" w:hAnsi="思源宋体 CN" w:eastAsia="思源宋体 CN"/>
          <w:b w:val="0"/>
          <w:i w:val="0"/>
          <w:sz w:val="22"/>
        </w:rPr>
        <w:t>如果这个文件能稳定转换为 HTML，说明基础模板、Pandoc 调用和输出路径都工作正常。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思源宋体 C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