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Mapa de navegación y flujo de pantallas</w:t>
      </w:r>
    </w:p>
    <w:p>
      <w:pPr>
        <w:pStyle w:val="Subtitle"/>
      </w:pPr>
      <w:r>
        <w:t>Pantallas declaradas en Screen y flujo principal del operador</w:t>
      </w:r>
    </w:p>
    <w:p>
      <w:r>
        <w:t>Proyecto: VITAIROS Industrial AI  |  Asignatura: DSY1105</w:t>
      </w:r>
    </w:p>
    <w:p>
      <w:r>
        <w:t>Equipo: Chiguin Chiang · Lizandro Godoy  |  Versión: 0.1 · 20/10/2026</w:t>
      </w:r>
    </w:p>
    <w:p>
      <w:r>
        <w:t>Estado: documento técnico preliminar; sujeto a revisión del equipo y validación empresarial.</w:t>
      </w:r>
    </w:p>
    <w:p>
      <w:pPr>
        <w:pStyle w:val="Heading1"/>
      </w:pPr>
      <w:r>
        <w:t>1. Pantallas identificadas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Pantalla (enum)</w:t>
            </w:r>
          </w:p>
        </w:tc>
        <w:tc>
          <w:tcPr>
            <w:tcW w:type="dxa" w:w="2880"/>
          </w:tcPr>
          <w:p>
            <w:r>
              <w:t>Nombre visible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Ingreso simulado</w:t>
            </w:r>
          </w:p>
        </w:tc>
        <w:tc>
          <w:tcPr>
            <w:tcW w:type="dxa" w:w="2880"/>
          </w:tcPr>
          <w:p>
            <w:r>
              <w:t>Iniciar sesión local ficticia.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Panel principal</w:t>
            </w:r>
          </w:p>
        </w:tc>
        <w:tc>
          <w:tcPr>
            <w:tcW w:type="dxa" w:w="2880"/>
          </w:tcPr>
          <w:p>
            <w:r>
              <w:t>Resumen y acceso a acciones.</w:t>
            </w:r>
          </w:p>
        </w:tc>
      </w:tr>
      <w:tr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Nuevo reporte</w:t>
            </w:r>
          </w:p>
        </w:tc>
        <w:tc>
          <w:tcPr>
            <w:tcW w:type="dxa" w:w="2880"/>
          </w:tcPr>
          <w:p>
            <w:r>
              <w:t>Formulario de metadata.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Adjuntos y vista previa</w:t>
            </w:r>
          </w:p>
        </w:tc>
        <w:tc>
          <w:tcPr>
            <w:tcW w:type="dxa" w:w="2880"/>
          </w:tcPr>
          <w:p>
            <w:r>
              <w:t>Captura y selección de archivos.</w:t>
            </w:r>
          </w:p>
        </w:tc>
      </w:tr>
      <w:tr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Revisión y confirmación</w:t>
            </w:r>
          </w:p>
        </w:tc>
        <w:tc>
          <w:tcPr>
            <w:tcW w:type="dxa" w:w="2880"/>
          </w:tcPr>
          <w:p>
            <w:r>
              <w:t>Verificar información y guardar.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Cola de envíos</w:t>
            </w:r>
          </w:p>
        </w:tc>
        <w:tc>
          <w:tcPr>
            <w:tcW w:type="dxa" w:w="2880"/>
          </w:tcPr>
          <w:p>
            <w:r>
              <w:t>Pendientes, estados y acciones de envío.</w:t>
            </w:r>
          </w:p>
        </w:tc>
      </w:tr>
      <w:tr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Historial</w:t>
            </w:r>
          </w:p>
        </w:tc>
        <w:tc>
          <w:tcPr>
            <w:tcW w:type="dxa" w:w="2880"/>
          </w:tcPr>
          <w:p>
            <w:r>
              <w:t>Consultar reportes registrados.</w:t>
            </w:r>
          </w:p>
        </w:tc>
      </w:tr>
      <w:tr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Detalle y trazabilidad</w:t>
            </w:r>
          </w:p>
        </w:tc>
        <w:tc>
          <w:tcPr>
            <w:tcW w:type="dxa" w:w="2880"/>
          </w:tcPr>
          <w:p>
            <w:r>
              <w:t>Información y eventos de un reporte.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Configuración demo</w:t>
            </w:r>
          </w:p>
        </w:tc>
        <w:tc>
          <w:tcPr>
            <w:tcW w:type="dxa" w:w="2880"/>
          </w:tcPr>
          <w:p>
            <w:r>
              <w:t>Controles y datos de demostración.</w:t>
            </w:r>
          </w:p>
        </w:tc>
      </w:tr>
    </w:tbl>
    <w:p>
      <w:pPr>
        <w:pStyle w:val="Heading1"/>
      </w:pPr>
      <w:r>
        <w:t>2. Flujo principal</w:t>
      </w:r>
    </w:p>
    <w:p>
      <w:r>
        <w:t>LOGIN → HOME → FORM → FILES → REVIEW → [Guardar borrador / En cola / Enviar simulado] → QUEUE → HISTORY → DETAIL.</w:t>
      </w:r>
    </w:p>
    <w:p>
      <w:pPr>
        <w:pStyle w:val="Heading1"/>
      </w:pPr>
      <w:r>
        <w:t>3. Flujos secundarios</w:t>
      </w:r>
    </w:p>
    <w:p>
      <w:pPr>
        <w:pStyle w:val="ListBullet"/>
      </w:pPr>
      <w:r>
        <w:t>HOME → QUEUE / HISTORY / SETTINGS mediante navegación de la interfaz.</w:t>
      </w:r>
    </w:p>
    <w:p>
      <w:pPr>
        <w:pStyle w:val="ListBullet"/>
      </w:pPr>
      <w:r>
        <w:t>FILES → FORM con retroceso; REVIEW → FILES con retroceso.</w:t>
      </w:r>
    </w:p>
    <w:p>
      <w:pPr>
        <w:pStyle w:val="ListBullet"/>
      </w:pPr>
      <w:r>
        <w:t>DETAIL → HISTORY mediante el botón Atrás del sistema.</w:t>
      </w:r>
    </w:p>
    <w:p>
      <w:pPr>
        <w:pStyle w:val="ListBullet"/>
      </w:pPr>
      <w:r>
        <w:t>Desde pantallas no principales, Atrás retorna al panel principal, salvo las excepciones indicadas.</w:t>
      </w:r>
    </w:p>
    <w:p>
      <w:pPr>
        <w:pStyle w:val="ListBullet"/>
      </w:pPr>
      <w:r>
        <w:t>La edición de reportes pendientes se gestiona desde AppViewModel; las restricciones dependen del estado del reporte.</w:t>
      </w:r>
    </w:p>
    <w:p>
      <w:pPr>
        <w:pStyle w:val="Heading1"/>
      </w:pPr>
      <w:r>
        <w:t>4. Reglas que deben probarse</w:t>
      </w:r>
    </w:p>
    <w:p>
      <w:pPr>
        <w:pStyle w:val="ListBullet"/>
      </w:pPr>
      <w:r>
        <w:t>No avanzar a revisión sin al menos un adjunto, según la validación de AppViewModel.</w:t>
      </w:r>
    </w:p>
    <w:p>
      <w:pPr>
        <w:pStyle w:val="ListBullet"/>
      </w:pPr>
      <w:r>
        <w:t>Comprobar que la navegación no descarta un borrador sin el flujo de confirmación previsto.</w:t>
      </w:r>
    </w:p>
    <w:p>
      <w:pPr>
        <w:pStyle w:val="ListBullet"/>
      </w:pPr>
      <w:r>
        <w:t>Verificar retorno a cola/historial y persistencia tras cerrar y abrir la aplicación.</w:t>
      </w:r>
    </w:p>
    <w:p>
      <w:pPr>
        <w:pStyle w:val="ListBullet"/>
      </w:pPr>
      <w:r>
        <w:t>Confirmar visualmente todas las transiciones en un emulador o teléfono Android.</w:t>
      </w:r>
    </w:p>
    <w:p>
      <w:pPr>
        <w:pStyle w:val="Heading1"/>
      </w:pPr>
      <w:r>
        <w:t>5. Diferencia entre maqueta y Android</w:t>
      </w:r>
    </w:p>
    <w:p>
      <w:r>
        <w:t>El archivo prototipo/index.html es una demostración web independiente. Este documento describe las pantallas declaradas en el código Android revisado, no acredita equivalencia funcional completa entre ambas versiones.</w:t>
      </w:r>
    </w:p>
    <w:sectPr w:rsidR="00FC693F" w:rsidRPr="0006063C" w:rsidSect="00034616">
      <w:pgSz w:w="12240" w:h="15840"/>
      <w:pgMar w:top="1080" w:right="1800" w:bottom="936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31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E603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31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