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Revisión documental RF/RNF y ERS</w:t>
      </w:r>
    </w:p>
    <w:p>
      <w:pPr>
        <w:pStyle w:val="Subtitle"/>
      </w:pPr>
      <w:r>
        <w:t>Control de consistencia, decisiones y validaciones pendientes</w:t>
      </w:r>
    </w:p>
    <w:p>
      <w:r>
        <w:t>Proyecto: VITAIROS Industrial AI  |  Asignatura: DSY1105</w:t>
      </w:r>
    </w:p>
    <w:p>
      <w:r>
        <w:t>Equipo: Chiguin Chiang · Lizandro Godoy  |  Versión: 0.1 · 20/10/2026</w:t>
      </w:r>
    </w:p>
    <w:p>
      <w:r>
        <w:t>Estado: documento técnico preliminar; sujeto a revisión del equipo y validación empresarial.</w:t>
      </w:r>
    </w:p>
    <w:p>
      <w:pPr>
        <w:pStyle w:val="Heading1"/>
      </w:pPr>
      <w:r>
        <w:t>1. Documentos de referencia</w:t>
      </w:r>
    </w:p>
    <w:p>
      <w:pPr>
        <w:pStyle w:val="ListBullet"/>
      </w:pPr>
      <w:r>
        <w:t>VITAIROS_ERS_preliminar_v0.1(1).docx: especificación de 28 RF y 10 RNF.</w:t>
      </w:r>
    </w:p>
    <w:p>
      <w:pPr>
        <w:pStyle w:val="ListBullet"/>
      </w:pPr>
      <w:r>
        <w:t>VITAIROS_Matriz_Requerimientos_v0.1.xlsx: matriz disponible para revisión cruzada.</w:t>
      </w:r>
    </w:p>
    <w:p>
      <w:pPr>
        <w:pStyle w:val="ListBullet"/>
      </w:pPr>
      <w:r>
        <w:t>Vitairos-main.zip: código Android revisado de manera estática.</w:t>
      </w:r>
    </w:p>
    <w:p>
      <w:pPr>
        <w:pStyle w:val="ListBullet"/>
      </w:pPr>
      <w:r>
        <w:t>Cuestionario_VITAIROS_unificado_RESPONDIDO.docx: fuente de respuestas empresariales indicada en la ERS.</w:t>
      </w:r>
    </w:p>
    <w:p>
      <w:pPr>
        <w:pStyle w:val="Heading1"/>
      </w:pPr>
      <w:r>
        <w:t>2. Hallazgos técnicos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Aspecto</w:t>
            </w:r>
          </w:p>
        </w:tc>
        <w:tc>
          <w:tcPr>
            <w:tcW w:type="dxa" w:w="2880"/>
          </w:tcPr>
          <w:p>
            <w:r>
              <w:t>ERS / propuesta</w:t>
            </w:r>
          </w:p>
        </w:tc>
        <w:tc>
          <w:tcPr>
            <w:tcW w:type="dxa" w:w="2880"/>
          </w:tcPr>
          <w:p>
            <w:r>
              <w:t>Código revisado / observación</w:t>
            </w:r>
          </w:p>
        </w:tc>
      </w:tr>
      <w:tr>
        <w:tc>
          <w:tcPr>
            <w:tcW w:type="dxa" w:w="2880"/>
          </w:tcPr>
          <w:p>
            <w:r>
              <w:t>Persistencia</w:t>
            </w:r>
          </w:p>
        </w:tc>
        <w:tc>
          <w:tcPr>
            <w:tcW w:type="dxa" w:w="2880"/>
          </w:tcPr>
          <w:p>
            <w:r>
              <w:t>Room/SQLite recomendados</w:t>
            </w:r>
          </w:p>
        </w:tc>
        <w:tc>
          <w:tcPr>
            <w:tcW w:type="dxa" w:w="2880"/>
          </w:tcPr>
          <w:p>
            <w:r>
              <w:t>Se implementa JSON local + SharedPreferences. Actualizar decisión tecnológica, no declarar Room implementado.</w:t>
            </w:r>
          </w:p>
        </w:tc>
      </w:tr>
      <w:tr>
        <w:tc>
          <w:tcPr>
            <w:tcW w:type="dxa" w:w="2880"/>
          </w:tcPr>
          <w:p>
            <w:r>
              <w:t>Arquitectura</w:t>
            </w:r>
          </w:p>
        </w:tc>
        <w:tc>
          <w:tcPr>
            <w:tcW w:type="dxa" w:w="2880"/>
          </w:tcPr>
          <w:p>
            <w:r>
              <w:t>MVVM + Repository propuestos</w:t>
            </w:r>
          </w:p>
        </w:tc>
        <w:tc>
          <w:tcPr>
            <w:tcW w:type="dxa" w:w="2880"/>
          </w:tcPr>
          <w:p>
            <w:r>
              <w:t>AppViewModel + ReportRepository presentes; MVVM simplificado.</w:t>
            </w:r>
          </w:p>
        </w:tc>
      </w:tr>
      <w:tr>
        <w:tc>
          <w:tcPr>
            <w:tcW w:type="dxa" w:w="2880"/>
          </w:tcPr>
          <w:p>
            <w:r>
              <w:t>Sincronización</w:t>
            </w:r>
          </w:p>
        </w:tc>
        <w:tc>
          <w:tcPr>
            <w:tcW w:type="dxa" w:w="2880"/>
          </w:tcPr>
          <w:p>
            <w:r>
              <w:t>API mock permitida</w:t>
            </w:r>
          </w:p>
        </w:tc>
        <w:tc>
          <w:tcPr>
            <w:tcW w:type="dxa" w:w="2880"/>
          </w:tcPr>
          <w:p>
            <w:r>
              <w:t>MockSyncApi implementada; sin backend productivo.</w:t>
            </w:r>
          </w:p>
        </w:tc>
      </w:tr>
      <w:tr>
        <w:tc>
          <w:tcPr>
            <w:tcW w:type="dxa" w:w="2880"/>
          </w:tcPr>
          <w:p>
            <w:r>
              <w:t>Reintentos</w:t>
            </w:r>
          </w:p>
        </w:tc>
        <w:tc>
          <w:tcPr>
            <w:tcW w:type="dxa" w:w="2880"/>
          </w:tcPr>
          <w:p>
            <w:r>
              <w:t>Tres reintentos automáticos</w:t>
            </w:r>
          </w:p>
        </w:tc>
        <w:tc>
          <w:tcPr>
            <w:tcW w:type="dxa" w:w="2880"/>
          </w:tcPr>
          <w:p>
            <w:r>
              <w:t>MAX_ATTEMPTS=4; intento inicial + 3 reintentos, esperas 5/15/30 s.</w:t>
            </w:r>
          </w:p>
        </w:tc>
      </w:tr>
      <w:tr>
        <w:tc>
          <w:tcPr>
            <w:tcW w:type="dxa" w:w="2880"/>
          </w:tcPr>
          <w:p>
            <w:r>
              <w:t>Estados</w:t>
            </w:r>
          </w:p>
        </w:tc>
        <w:tc>
          <w:tcPr>
            <w:tcW w:type="dxa" w:w="2880"/>
          </w:tcPr>
          <w:p>
            <w:r>
              <w:t>Borrador, En cola, Enviando, Sincronizado, Error</w:t>
            </w:r>
          </w:p>
        </w:tc>
        <w:tc>
          <w:tcPr>
            <w:tcW w:type="dxa" w:w="2880"/>
          </w:tcPr>
          <w:p>
            <w:r>
              <w:t>Enum ReportStatus en Models.kt.</w:t>
            </w:r>
          </w:p>
        </w:tc>
      </w:tr>
      <w:tr>
        <w:tc>
          <w:tcPr>
            <w:tcW w:type="dxa" w:w="2880"/>
          </w:tcPr>
          <w:p>
            <w:r>
              <w:t>Aprobación</w:t>
            </w:r>
          </w:p>
        </w:tc>
        <w:tc>
          <w:tcPr>
            <w:tcW w:type="dxa" w:w="2880"/>
          </w:tcPr>
          <w:p>
            <w:r>
              <w:t>Pendiente de validación formal</w:t>
            </w:r>
          </w:p>
        </w:tc>
        <w:tc>
          <w:tcPr>
            <w:tcW w:type="dxa" w:w="2880"/>
          </w:tcPr>
          <w:p>
            <w:r>
              <w:t>No se aporta evidencia de aprobación empresarial.</w:t>
            </w:r>
          </w:p>
        </w:tc>
      </w:tr>
    </w:tbl>
    <w:p>
      <w:pPr>
        <w:pStyle w:val="Heading1"/>
      </w:pPr>
      <w:r>
        <w:t>3. Pendientes antes de cerrar revisión</w:t>
      </w:r>
    </w:p>
    <w:p>
      <w:pPr>
        <w:pStyle w:val="ListBullet"/>
      </w:pPr>
      <w:r>
        <w:t>Confirmar catálogo definitivo de tipos/procesos y campos condicionales con VITAIROS.</w:t>
      </w:r>
    </w:p>
    <w:p>
      <w:pPr>
        <w:pStyle w:val="ListBullet"/>
      </w:pPr>
      <w:r>
        <w:t>Confirmar política final de PDF y máximo de adjuntos.</w:t>
      </w:r>
    </w:p>
    <w:p>
      <w:pPr>
        <w:pStyle w:val="ListBullet"/>
      </w:pPr>
      <w:r>
        <w:t>Verificar la versión de la matriz y la correspondencia exacta RF/RNF con la ERS.</w:t>
      </w:r>
    </w:p>
    <w:p>
      <w:pPr>
        <w:pStyle w:val="ListBullet"/>
      </w:pPr>
      <w:r>
        <w:t>Ejecutar pruebas y contrastar criterios de aceptación con resultados reales.</w:t>
      </w:r>
    </w:p>
    <w:p>
      <w:pPr>
        <w:pStyle w:val="ListBullet"/>
      </w:pPr>
      <w:r>
        <w:t>Validar documento y alcance con ambos integrantes y registrar aprobación empresarial.</w:t>
      </w:r>
    </w:p>
    <w:p>
      <w:pPr>
        <w:pStyle w:val="Heading1"/>
      </w:pPr>
      <w:r>
        <w:t>4. Estado de la tarjeta Trello</w:t>
      </w:r>
    </w:p>
    <w:p>
      <w:r>
        <w:t>Sugerencia: mantener “Documentación técnica y requisitos” en En desarrollo. Los documentos están preparados, pero la revisión técnica final, las pruebas y la validación empresarial no se consideran cerradas.</w:t>
      </w:r>
    </w:p>
    <w:sectPr w:rsidR="00FC693F" w:rsidRPr="0006063C" w:rsidSect="00034616">
      <w:pgSz w:w="12240" w:h="15840"/>
      <w:pgMar w:top="1080" w:right="1800" w:bottom="936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31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E603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C31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