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Almacenamiento local y funcionamiento offline</w:t>
      </w:r>
    </w:p>
    <w:p>
      <w:pPr>
        <w:pStyle w:val="Subtitle"/>
      </w:pPr>
      <w:r>
        <w:t>Persistencia, adjuntos y sincronización simulada</w:t>
      </w:r>
    </w:p>
    <w:p>
      <w:r>
        <w:t>Proyecto: VITAIROS Industrial AI  |  Asignatura: DSY1105</w:t>
      </w:r>
    </w:p>
    <w:p>
      <w:r>
        <w:t>Equipo: Chiguin Chiang · Lizandro Godoy  |  Versión: 0.1 · 20/10/2026</w:t>
      </w:r>
    </w:p>
    <w:p>
      <w:r>
        <w:t>Estado: documento técnico preliminar; sujeto a revisión del equipo y validación empresarial.</w:t>
      </w:r>
    </w:p>
    <w:p>
      <w:pPr>
        <w:pStyle w:val="Heading1"/>
      </w:pPr>
      <w:r>
        <w:t>1. Persistencia implementada en el código revisado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Tecnología real</w:t>
            </w:r>
          </w:p>
        </w:tc>
        <w:tc>
          <w:tcPr>
            <w:tcW w:type="dxa" w:w="2880"/>
          </w:tcPr>
          <w:p>
            <w:r>
              <w:t>Ubicación / comportamiento</w:t>
            </w:r>
          </w:p>
        </w:tc>
      </w:tr>
      <w:tr>
        <w:tc>
          <w:tcPr>
            <w:tcW w:type="dxa" w:w="2880"/>
          </w:tcPr>
          <w:p>
            <w:r>
              <w:t>Reportes</w:t>
            </w:r>
          </w:p>
        </w:tc>
        <w:tc>
          <w:tcPr>
            <w:tcW w:type="dxa" w:w="2880"/>
          </w:tcPr>
          <w:p>
            <w:r>
              <w:t>JSON + archivos privados</w:t>
            </w:r>
          </w:p>
        </w:tc>
        <w:tc>
          <w:tcPr>
            <w:tcW w:type="dxa" w:w="2880"/>
          </w:tcPr>
          <w:p>
            <w:r>
              <w:t>ReportRepository usa filesDir/data/reports.json.</w:t>
            </w:r>
          </w:p>
        </w:tc>
      </w:tr>
      <w:tr>
        <w:tc>
          <w:tcPr>
            <w:tcW w:type="dxa" w:w="2880"/>
          </w:tcPr>
          <w:p>
            <w:r>
              <w:t>Borrador en curso</w:t>
            </w:r>
          </w:p>
        </w:tc>
        <w:tc>
          <w:tcPr>
            <w:tcW w:type="dxa" w:w="2880"/>
          </w:tcPr>
          <w:p>
            <w:r>
              <w:t>JSON + archivos privados</w:t>
            </w:r>
          </w:p>
        </w:tc>
        <w:tc>
          <w:tcPr>
            <w:tcW w:type="dxa" w:w="2880"/>
          </w:tcPr>
          <w:p>
            <w:r>
              <w:t>ReportRepository usa filesDir/data/draft.json.</w:t>
            </w:r>
          </w:p>
        </w:tc>
      </w:tr>
      <w:tr>
        <w:tc>
          <w:tcPr>
            <w:tcW w:type="dxa" w:w="2880"/>
          </w:tcPr>
          <w:p>
            <w:r>
              <w:t>Adjuntos</w:t>
            </w:r>
          </w:p>
        </w:tc>
        <w:tc>
          <w:tcPr>
            <w:tcW w:type="dxa" w:w="2880"/>
          </w:tcPr>
          <w:p>
            <w:r>
              <w:t>Archivos privados</w:t>
            </w:r>
          </w:p>
        </w:tc>
        <w:tc>
          <w:tcPr>
            <w:tcW w:type="dxa" w:w="2880"/>
          </w:tcPr>
          <w:p>
            <w:r>
              <w:t>AttachmentStore usa filesDir/attachments/&lt;id-reporte&gt;/.</w:t>
            </w:r>
          </w:p>
        </w:tc>
      </w:tr>
      <w:tr>
        <w:tc>
          <w:tcPr>
            <w:tcW w:type="dxa" w:w="2880"/>
          </w:tcPr>
          <w:p>
            <w:r>
              <w:t>Cámara temporal</w:t>
            </w:r>
          </w:p>
        </w:tc>
        <w:tc>
          <w:tcPr>
            <w:tcW w:type="dxa" w:w="2880"/>
          </w:tcPr>
          <w:p>
            <w:r>
              <w:t>Archivos de caché</w:t>
            </w:r>
          </w:p>
        </w:tc>
        <w:tc>
          <w:tcPr>
            <w:tcW w:type="dxa" w:w="2880"/>
          </w:tcPr>
          <w:p>
            <w:r>
              <w:t>AttachmentStore usa cacheDir/camera y FileProvider.</w:t>
            </w:r>
          </w:p>
        </w:tc>
      </w:tr>
      <w:tr>
        <w:tc>
          <w:tcPr>
            <w:tcW w:type="dxa" w:w="2880"/>
          </w:tcPr>
          <w:p>
            <w:r>
              <w:t>Preferencias</w:t>
            </w:r>
          </w:p>
        </w:tc>
        <w:tc>
          <w:tcPr>
            <w:tcW w:type="dxa" w:w="2880"/>
          </w:tcPr>
          <w:p>
            <w:r>
              <w:t>SharedPreferences</w:t>
            </w:r>
          </w:p>
        </w:tc>
        <w:tc>
          <w:tcPr>
            <w:tcW w:type="dxa" w:w="2880"/>
          </w:tcPr>
          <w:p>
            <w:r>
              <w:t>vitairos_prefs: user, online, fail_next, draft_step, install_id.</w:t>
            </w:r>
          </w:p>
        </w:tc>
      </w:tr>
      <w:tr>
        <w:tc>
          <w:tcPr>
            <w:tcW w:type="dxa" w:w="2880"/>
          </w:tcPr>
          <w:p>
            <w:r>
              <w:t>Observación de cambios</w:t>
            </w:r>
          </w:p>
        </w:tc>
        <w:tc>
          <w:tcPr>
            <w:tcW w:type="dxa" w:w="2880"/>
          </w:tcPr>
          <w:p>
            <w:r>
              <w:t>StateFlow</w:t>
            </w:r>
          </w:p>
        </w:tc>
        <w:tc>
          <w:tcPr>
            <w:tcW w:type="dxa" w:w="2880"/>
          </w:tcPr>
          <w:p>
            <w:r>
              <w:t>ReportRepository expone StateFlow&lt;List&lt;Report&gt;&gt; a la interfaz.</w:t>
            </w:r>
          </w:p>
        </w:tc>
      </w:tr>
    </w:tbl>
    <w:p>
      <w:pPr>
        <w:pStyle w:val="Heading1"/>
      </w:pPr>
      <w:r>
        <w:t>2. Ciclo de vida de datos</w:t>
      </w:r>
    </w:p>
    <w:p>
      <w:pPr>
        <w:pStyle w:val="ListBullet"/>
      </w:pPr>
      <w:r>
        <w:t>El formulario genera un borrador que se conserva localmente; el repositorio lo serializa a JSON.</w:t>
      </w:r>
    </w:p>
    <w:p>
      <w:pPr>
        <w:pStyle w:val="ListBullet"/>
      </w:pPr>
      <w:r>
        <w:t>Al guardar un reporte, se actualiza la colección de reportes y se escribe reports.json.</w:t>
      </w:r>
    </w:p>
    <w:p>
      <w:pPr>
        <w:pStyle w:val="ListBullet"/>
      </w:pPr>
      <w:r>
        <w:t>Si un reporte estaba ENVIANDO al reabrir la aplicación, el repositorio lo devuelve a EN_COLA.</w:t>
      </w:r>
    </w:p>
    <w:p>
      <w:pPr>
        <w:pStyle w:val="ListBullet"/>
      </w:pPr>
      <w:r>
        <w:t>Al aceptar el envío simulado, se conservan metadata e historial, pero se eliminan los archivos adjuntos locales de ese reporte.</w:t>
      </w:r>
    </w:p>
    <w:p>
      <w:pPr>
        <w:pStyle w:val="ListBullet"/>
      </w:pPr>
      <w:r>
        <w:t>Si reports.json no puede leerse, el código intenta renombrarlo como respaldo corrupto e inicia la lista vacía.</w:t>
      </w:r>
    </w:p>
    <w:p>
      <w:pPr>
        <w:pStyle w:val="Heading1"/>
      </w:pPr>
      <w:r>
        <w:t>3. Estados y reintentos</w:t>
      </w:r>
    </w:p>
    <w:p>
      <w:r>
        <w:t>Estados declarados: BORRADOR, EN_COLA, ENVIANDO, SINCRONIZADO y ERROR. El código define MAX_ATTEMPTS = 4, es decir, un intento inicial y hasta tres reintentos automáticos, con pausas de 5, 15 y 30 segundos. Los envíos se realizan mediante MockSyncApi, no contra un servidor real.</w:t>
      </w:r>
    </w:p>
    <w:p>
      <w:pPr>
        <w:pStyle w:val="Heading1"/>
      </w:pPr>
      <w:r>
        <w:t>4. Seguridad y limitaciones</w:t>
      </w:r>
    </w:p>
    <w:p>
      <w:pPr>
        <w:pStyle w:val="ListBullet"/>
      </w:pPr>
      <w:r>
        <w:t>Se utiliza almacenamiento privado de Android y datos de demostración. No se evidencia cifrado adicional de los archivos JSON en el código revisado.</w:t>
      </w:r>
    </w:p>
    <w:p>
      <w:pPr>
        <w:pStyle w:val="ListBullet"/>
      </w:pPr>
      <w:r>
        <w:t>La variable online corresponde a un control de conectividad simulada; no debe describirse como verificación de red productiva.</w:t>
      </w:r>
    </w:p>
    <w:p>
      <w:pPr>
        <w:pStyle w:val="ListBullet"/>
      </w:pPr>
      <w:r>
        <w:t>Room y SQLite no aparecen implementados en la versión del proyecto examinada.</w:t>
      </w:r>
    </w:p>
    <w:p>
      <w:pPr>
        <w:pStyle w:val="ListBullet"/>
      </w:pPr>
      <w:r>
        <w:t>Persistencia y resiliencia requieren pruebas reales: cerrar/abrir app, reiniciar dispositivo, archivos inválidos, 10 reportes en cola y eliminación.</w:t>
      </w:r>
    </w:p>
    <w:p>
      <w:pPr>
        <w:pStyle w:val="Heading1"/>
      </w:pPr>
      <w:r>
        <w:t>5. Requisitos relacionados</w:t>
      </w:r>
    </w:p>
    <w:p>
      <w:r>
        <w:t>ERS: RF-13, RF-14, RF-15, RF-16, RF-17, RF-19, RF-25 y RNF-03, RNF-04, RNF-05, RNF-08. Su cumplimiento se debe registrar mediante evidencia de pruebas, no inferirse únicamente del código.</w:t>
      </w:r>
    </w:p>
    <w:sectPr w:rsidR="00FC693F" w:rsidRPr="0006063C" w:rsidSect="00034616">
      <w:pgSz w:w="12240" w:h="15840"/>
      <w:pgMar w:top="1080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31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E60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31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